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122555</wp:posOffset>
            </wp:positionV>
            <wp:extent cx="196278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6" w:lineRule="exact"/>
        <w:rPr>
          <w:sz w:val="24"/>
          <w:szCs w:val="24"/>
          <w:color w:val="auto"/>
        </w:rPr>
      </w:pPr>
    </w:p>
    <w:tbl>
      <w:tblPr>
        <w:tblLayout w:type="fixed"/>
        <w:tblInd w:w="1300" w:type="dxa"/>
        <w:tblCellMar>
          <w:top w:w="0" w:type="dxa"/>
          <w:left w:w="0" w:type="dxa"/>
          <w:bottom w:w="0" w:type="dxa"/>
          <w:right w:w="0" w:type="dxa"/>
        </w:tblCellMar>
      </w:tblPr>
      <w:tr>
        <w:trPr>
          <w:trHeight w:val="190"/>
        </w:trPr>
        <w:tc>
          <w:tcPr>
            <w:tcW w:w="27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30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001-11625</w:t>
            </w:r>
          </w:p>
        </w:tc>
        <w:tc>
          <w:tcPr>
            <w:tcW w:w="2340" w:type="dxa"/>
            <w:vAlign w:val="bottom"/>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rPr>
              <w:t>98-1141328</w:t>
            </w:r>
          </w:p>
        </w:tc>
      </w:tr>
      <w:tr>
        <w:trPr>
          <w:trHeight w:val="163"/>
        </w:trPr>
        <w:tc>
          <w:tcPr>
            <w:tcW w:w="2760" w:type="dxa"/>
            <w:vAlign w:val="bottom"/>
          </w:tcPr>
          <w:p>
            <w:pPr>
              <w:jc w:val="center"/>
              <w:ind w:right="9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0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(Commission</w:t>
            </w:r>
          </w:p>
        </w:tc>
        <w:tc>
          <w:tcPr>
            <w:tcW w:w="2340" w:type="dxa"/>
            <w:vAlign w:val="bottom"/>
          </w:tcPr>
          <w:p>
            <w:pPr>
              <w:jc w:val="center"/>
              <w:ind w:left="120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760" w:type="dxa"/>
            <w:vAlign w:val="bottom"/>
          </w:tcPr>
          <w:p>
            <w:pPr>
              <w:jc w:val="center"/>
              <w:ind w:right="9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File No.)</w:t>
            </w:r>
          </w:p>
        </w:tc>
        <w:tc>
          <w:tcPr>
            <w:tcW w:w="234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Regal House, 70 London Road, Twickenham, London, TW13QS United Kingdom</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44-74-9421-6154</w:t>
      </w:r>
    </w:p>
    <w:p>
      <w:pPr>
        <w:spacing w:after="0" w:line="391"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00" w:firstLine="26"/>
        <w:spacing w:after="0" w:line="383"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01"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(17 CFR 230.405) or Rule 12b-2 of the Exchange Act (17 CFR 240.12b-2).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205740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162560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34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2025, Pentair plc (the “Company”) issued a press release announcing its earnings for the fourth quarter and full year of 2024 and a conference call in connection therewith. A copy of the release is attached hereto as Exhibit 99.1 and incorporated herein by reference.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refers to certain non-generally accepted accounting principles (“GAAP”) financial measures (core sales, adjusted operating income, adjusted return on sales, adjusted net income from continuing operations, adjusted diluted earnings per share from continuing operations and free cash flow) and a reconciliation of those non-GAAP financial measures to the corresponding financial measures contained in the Company’s financial statements prepared in accordance with GAAP.</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2024 adjusted operating income, adjusted return on sales, adjusted net income from continuing operations and adjusted diluted earnings per share from continuing operations (“EPS”) include equity income of unconsolidated subsidiaries and eliminate intangible amortization, costs of certain restructuring, transformation and other activities, certain legal accrual adjustments and settlements, asset impairment and write-offs, pension and other post-retirement mark-to-market gain, other income and certain tax items. The 2023 adjusted operating income, adjusted return on sales, adjusted net income from continuing operations and adjusted diluted EPS include equity income of unconsolidated subsidiaries and eliminate intangible amortization, costs of certain restructuring, transformation and other activities, certain legal accrual adjustments and settlements, asset impairment and write-offs, pension and other post-retirement mark-to-market loss, other income and certain tax items.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term “core sales” to refer to GAAP net sales from continuing operations excluding (1) the impact of currency translation and (2) the impact of net sales from acquired businesses recorded prior to the first anniversary of the acquisition, excluding the excess over prior year net sales of the acquired business less the amount of net sales attributable to discontinued or divested product lines not considered discontinued operations (“acquisition sales”). The portion of GAAP net sales attributable to currency translation is calculated as the difference between (a) the period-to-period change in net sales (excluding acquisition sales) and (b) the period-to-period change in net sales (excluding acquisition sales) after applying current period foreign exchange rates to the prior year period. We use the term “core sales growth” to refer to the measure of comparing current period core net sales with the corresponding period of the prior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utilizes these adjusted financial measures to assess the run-rate of its continuing operations against those of prior periods without the distortion of these factors. The Company believes that these non-GAAP financial measures will be useful to investors as well to assess the continuing strength of the Company’s underlying operations. In addition, adjusted EPS is used as a criterion to measure and pay long-term incentive compensation and adjusted operating income is used as a criterion to measure and pay annual incentive compensation. These non-GAAP measures may not be comparable to similarly titled measures reported by other companies.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free cash flow to assess its cash flow performance. The Company believes free cash flow is an important measure of liquidity because it provides the Company and its investors a measurement of cash generated from operations that is available to pay dividends, repurchase shares and repay debt. In addition, free cash flow is used as a criterion to measure and pay annual incentive compensation. The Company’s measure of free cash flow may not be comparable to similarly titled measures reported by other companies.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80" w:right="7420" w:hanging="329"/>
        <w:spacing w:after="0" w:line="375" w:lineRule="auto"/>
        <w:tabs>
          <w:tab w:leader="none" w:pos="5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Not applicable.</w:t>
      </w:r>
    </w:p>
    <w:p>
      <w:pPr>
        <w:spacing w:after="0" w:line="1" w:lineRule="exact"/>
        <w:rPr>
          <w:rFonts w:ascii="Times New Roman" w:cs="Times New Roman" w:eastAsia="Times New Roman" w:hAnsi="Times New Roman"/>
          <w:sz w:val="18"/>
          <w:szCs w:val="18"/>
          <w:color w:val="auto"/>
        </w:rPr>
      </w:pPr>
    </w:p>
    <w:p>
      <w:pPr>
        <w:ind w:left="580" w:right="8280" w:hanging="329"/>
        <w:spacing w:after="0" w:line="375" w:lineRule="auto"/>
        <w:tabs>
          <w:tab w:leader="none" w:pos="5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Not applicable.</w:t>
      </w:r>
    </w:p>
    <w:p>
      <w:pPr>
        <w:spacing w:after="0" w:line="1" w:lineRule="exact"/>
        <w:rPr>
          <w:rFonts w:ascii="Times New Roman" w:cs="Times New Roman" w:eastAsia="Times New Roman" w:hAnsi="Times New Roman"/>
          <w:sz w:val="18"/>
          <w:szCs w:val="18"/>
          <w:color w:val="auto"/>
        </w:rPr>
      </w:pPr>
    </w:p>
    <w:p>
      <w:pPr>
        <w:ind w:left="580" w:right="8600" w:hanging="329"/>
        <w:spacing w:after="0" w:line="397" w:lineRule="auto"/>
        <w:tabs>
          <w:tab w:leader="none" w:pos="57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Shell Company Transactions Not applicable.</w:t>
      </w:r>
    </w:p>
    <w:p>
      <w:pPr>
        <w:spacing w:after="0" w:line="1" w:lineRule="exact"/>
        <w:rPr>
          <w:rFonts w:ascii="Times New Roman" w:cs="Times New Roman" w:eastAsia="Times New Roman" w:hAnsi="Times New Roman"/>
          <w:sz w:val="17"/>
          <w:szCs w:val="17"/>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6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ind w:left="120"/>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Pentair plc press release dated February 4, 2025 announcing earnings for the fourth quarter and full year of 2024</w:t>
      </w:r>
    </w:p>
    <w:p>
      <w:pPr>
        <w:spacing w:after="0" w:line="23" w:lineRule="exact"/>
        <w:rPr>
          <w:sz w:val="20"/>
          <w:szCs w:val="20"/>
          <w:color w:val="auto"/>
        </w:rPr>
      </w:pPr>
    </w:p>
    <w:p>
      <w:pPr>
        <w:ind w:left="860" w:hanging="721"/>
        <w:spacing w:after="0"/>
        <w:tabs>
          <w:tab w:leader="none" w:pos="8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687705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887" w:right="1440"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4, 2025.</w:t>
      </w:r>
    </w:p>
    <w:p>
      <w:pPr>
        <w:spacing w:after="0" w:line="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060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Executive Vice President, Chief Financial Officer and Chief</w:t>
      </w:r>
    </w:p>
    <w:p>
      <w:pPr>
        <w:ind w:left="626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0580"/>
          </w:cols>
          <w:pgMar w:left="320" w:top="887"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96278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Release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Pentair Reports Strong Fourth Quarter and Full Year 2024 Results</w:t>
      </w:r>
    </w:p>
    <w:p>
      <w:pPr>
        <w:spacing w:after="0" w:line="16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Fourth quarter sales of $973 million; full year 2024 sales of $4.1 billion.</w:t>
      </w:r>
    </w:p>
    <w:p>
      <w:pPr>
        <w:spacing w:after="0" w:line="11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fourth quarter increased 17 percent to $195 million reflecting ROS of 20.1 percent, an increase of 310 basis points when compared to fourth quarter 2023; on an adjusted basis, ROS expanded 370 basis points to 23.8 percent. Full year operating income increased 9 percent to $804 million reflecting ROS of 19.7 percent, an increase of 170 basis points from the prior year; on an adjusted basis, ROS expanded 270 basis points to 23.5 percent.</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GAAP EPS of $0.99 and adjusted EPS of $1.08; full year 2024 GAAP EPS of $3.74 and adjusted EPS of $4.33.</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net cash provided by operating activities of continuing operations was $767 million, an increase of $146 million compared to the prior year and free cash flow provided by continuing operations for the full year was $693 million, an increase of $143 million compared to full year 2023.</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introduces 2025 GAAP EPS guidance of approximately $4.37 to $4.52; and adjusted EPS guidance of approximately $4.65 to $4.80.</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Reconciliations of GAAP to Non-GAAP measures are in the attached financial tables.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LONDON, United Kingdom — February 4, 2025 — Pentair plc (NYSE: PNR) today announced fourth quarter 2024 sales of $973 million. Sales were down 1 percent compared to sales for the same period last year. Excluding currency translation, acquisitions and divestitures, core sales declined 1 percent in the fourth quarter. Fourth quarter 2024 earnings per diluted share from continuing operations (“EPS”) were $0.99 compared to $1.25 in the fourth quarter of 2023. On an adjusted basis, the Company reported EPS of $1.08 in the fourth quarter compared to $0.87 in the fourth quarter of 2023. Adjusted operating income, reportable segment income, adjusted net income, free cash flow, and adjusted EPS are described in the attached schedules.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Fourth quarter 2024 operating income was $195 million, up 17 percent compared to operating income for the fourth quarter of 2023, and return on sales (“ROS”) was 20.1 percent, an increase of 310 basis points when compared to the fourth quarter of 2023. On an adjusted basis, the Company reported adjusted operating income of $231 million, up 17 percent for the fourth quarter of 2024 compared to adjusted operating income for the fourth quarter of 2023, and ROS was 23.8 percent, an increase of 370 basis points when compared to the fourth quarter of 2023.</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delivered another transformative year in 2024 and drove strong margin expansion across our entire portfolio despite a challenging global macroeconomic and geopolitical environment. By leveraging our Transformation initiatives and 80/20, our teams produced another solid year of operational and financial performance which mitigated risk to the topline while expanding profitability. This was a direct reflection of the power of our balanced and resilient water portfolio, our focused growth strategy and strong execution,” said John L. Stauch, Pentair’s President and Chief Executive Officer. “Each of our Move, Improve and Enjoy Water segments drove record margins for another consecutive year post the nVent separation in 2018. In Flow, we continued to grow our Commercial business while evolving our go-to-market strategy within Industrial. In Water Solutions, our filtration sales delivered another year of growth, and in Pool, we returned to sales growth driven by a strong aftermarket. We ended the year with strong cash flow and a solid balance sheet. We increased our dividend by approximately 9 percent for 2025 marking the 49th consecutive year of dividend increases and reaffirming our dividend aristocrat status. I’m proud of our accomplishments across the company and how our teams have delivered for customers and shareholders in 2024.”</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Full year 2024 sales were $4.1 billion. Sales were down 1 percent compared to sales last year. Excluding currency translation, acquisitions and divestitures, core sales were flat in 2024. Full year 2024 EPS from continuing operations was $3.74 compared to $3.75 in 2023. On an adjusted basis, the Company reported EPS of $4.33 for 2024 compared to $3.75 in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 year 2024 operating income was $804 million, up 9 percent compared to operating income in 2023, and ROS was 19.7 percent, an increase of 170 basis points when compared to 2023. On an adjusted basis, the Company reported adjusted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99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income of $959 million, up 12 percent in 2024, compared to adjusted operating income in 2023, and ROS was 23.5 percent, an increase of 270 basis points when compared to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Flow sales were down 5 percent in the fourth quarter of 2024 compared to sales for the same period last year. Excluding currency translation, acquisitions and divestitures, core sales declined 5 percent in the fourth quarter. Reportable segment income of $74 million was up 13 percent compared to the fourth quarter of 2023, and ROS was 20.4 percent, an increase of 320 basis points when compared to the fourth quarter of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Flow sales were down 4 percent for the full year of 2024 compared to sales for 2023. Excluding currency translation, acquisitions and divestitures, core sales declined 4 percent in 2024. Reportable segment income of $318 million was up 13 percent compared to 2023, and ROS was 21.0 percent, an increase of 320 basis points when compared to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 Solutions sales were down 4 percent in the fourth quarter of 2024 compared to sales for the same period last year. Excluding currency translation, acquisitions and divestitures, core sales declined 4 percent in the fourth quarter. Reportable segment income of $62 million was up 21 percent compared to the fourth quarter of 2023, and ROS was 24.1 percent, an increase of 500 basis points when compared to the fourth quarter of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 Solutions sales were down 4 percent for the full year of 2024 compared to sales for 2023. Excluding currency translation, acquisitions and divestitures, core sales declined 4 percent in 2024. Reportable segment income of $255 million was up 3 percent compared to 2023, and ROS was 22.6 percent, an increase of 160 basis points when compared to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Pool sales were up 5 percent in the fourth quarter of 2024 compared to sales for the same period last year. Excluding currency translation, acquisitions and divestitures, core sales grew 4 percent in the fourth quarter. Reportable segment income of $119 million was up 14 percent compared to the fourth quarter of 2023, and ROS was 33.8 percent, an increase of 250 basis points when compared to the fourth quarter of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Pool sales were up 7 percent for the full year of 2024 compared to sales for 2023. Excluding currency translation, acquisitions and divestitures, core sales grew 7 percent in 2024. Reportable segment income of $476 million was up 14 percent compared to 2023, and ROS was 33.2 percent, an increase of 220 basis points when compared to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Full year net cash provided by operating activities of continuing operations was $767 million and free cash flow from continuing operations was $693 million.</w:t>
      </w:r>
    </w:p>
    <w:p>
      <w:pPr>
        <w:spacing w:after="0" w:line="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Pentair paid a regular cash dividend of $0.23 per share in the fourth quarter of 2024. Pentair previously announced on December 16, 2024 that it will pay a regular quarterly cash dividend of $0.25 per share on February 7, 2025 to shareholders of record at the close of business on January 24, 2025. This $0.25 per share quarterly cash dividend reflects an approximate 9 percent increase in the Company’s regular cash dividend rate as compared to $0.23 per share per quarter in 2024 and marks the 49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consecutive year that Pentair has increased its dividend.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the company repurchased 0.4 million shares for $50 million. During the year ended December 31, 2024, the company repurchased 1.6 million shares for $150 million. As of December 31, 2024, we had $450 million available for share repurchases under our share repurchase authorization.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Stauch concluded, “As we look to 2025, we are focused on our mission to help the world sustainably move, improve, and enjoy water, life’s most essential resource. We expect to continue to invest in key areas across the company and execute on our Transformation initiatives and 80/20 to drive long-term growth, profitability and returns. We believe our balanced water portfolio is proving its resilience as Pool is expected to grow offsetting our Flow and Water Solutions residential end markets that remain pressured by higher interest rates. We are confident in our strategy and our ability to control what we can internally while mitigating risk from an uncertain macroeconomic and geopolitical environment near-term.”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introducing 2025 GAAP EPS guidance of approximately $4.37 to $4.52, up 17 percent to 21 percent; and on an adjusted basis of approximately $4.65 to $4.80. This is an increase of 7 percent to 11 percent compared to 2024 adjusted EPS. The Company anticipates full year 2025 sales to be approximately flat to up 2 percent on a reported basis.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introduces first quarter 2025 GAAP EPS of approximately $0.93 to $0.95 and on an adjusted EPS basis of approximately $1.00 to $1.02. The Company expects first quarter sales to be down approximately 3 percent to 4 percent on a reported basis compared to first quarter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Pentair President and Chief Executive Officer John L. Stauch and Chief Financial Officer Robert P. Fishman will discuss the Company’s fourth quarter and full year 2024 results on a conference call with investors at 9:00 a.m. Eastern today. A live audio webcast of the call, along with the related presentation, can be accessed in the Investor Relations section of the Company’s website,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 shortly before the call begins.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are set forth in the attachments to this release and in the presentations, each of which can be found on Pentair’s website. The webcast and presentations will be archived at the Company’s website following the conclusion of the event.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(the “SEC”), including our Annual Report on Form 10-K for the year ended December 31, 2023. All forward-looking statements, including all financial forecasts, speak only as of the date of this release. Pentair assumes no obligation, and disclaims any obligation, to update the information contained in this 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PENTAIR PLC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Pentair, we help the world sustainably move, improve, and enjoy water, life’s most essential resource. From our residential and commercial water solutions, to industrial water management and everything in between, Pentair is a core large cap value S&amp;P 500 equity stock focused on smart, sustainable water solutions that help our planet and people thrive.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Pentair had revenue in 2024 of approximately $4.1 billion, and trades under the ticker symbol PNR. With approximately 9,750 global employees serving customers in more than 150 countries, we work to help improve lives and the environment around the world. To learn more, visit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PENTAIR CONTACTS:</w:t>
            </w:r>
          </w:p>
        </w:tc>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6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Shelly Hubbard</w:t>
            </w:r>
          </w:p>
        </w:tc>
        <w:tc>
          <w:tcPr>
            <w:tcW w:w="58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Rebecca Osborn</w:t>
            </w:r>
          </w:p>
        </w:tc>
      </w:tr>
      <w:tr>
        <w:trPr>
          <w:trHeight w:val="23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President, Investor Relations</w:t>
            </w:r>
          </w:p>
        </w:tc>
        <w:tc>
          <w:tcPr>
            <w:tcW w:w="58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w w:val="98"/>
              </w:rPr>
              <w:t>Sr. Director, External Communications</w:t>
            </w:r>
          </w:p>
        </w:tc>
      </w:tr>
      <w:tr>
        <w:trPr>
          <w:trHeight w:val="23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 763-656-5575</w:t>
            </w:r>
          </w:p>
        </w:tc>
        <w:tc>
          <w:tcPr>
            <w:tcW w:w="58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Direct: 763-656-5589</w:t>
            </w:r>
          </w:p>
        </w:tc>
      </w:tr>
      <w:tr>
        <w:trPr>
          <w:trHeight w:val="194"/>
        </w:trPr>
        <w:tc>
          <w:tcPr>
            <w:tcW w:w="26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w w:val="98"/>
              </w:rPr>
              <w:t>Email: shelly.hubbard@pentair.com</w:t>
            </w:r>
          </w:p>
        </w:tc>
        <w:tc>
          <w:tcPr>
            <w:tcW w:w="5800" w:type="dxa"/>
            <w:vAlign w:val="bottom"/>
            <w:gridSpan w:val="3"/>
          </w:tcPr>
          <w:p>
            <w:pPr>
              <w:ind w:left="3000"/>
              <w:spacing w:after="0" w:line="194" w:lineRule="exact"/>
              <w:rPr>
                <w:sz w:val="20"/>
                <w:szCs w:val="20"/>
                <w:color w:val="auto"/>
              </w:rPr>
            </w:pPr>
            <w:r>
              <w:rPr>
                <w:rFonts w:ascii="Times New Roman" w:cs="Times New Roman" w:eastAsia="Times New Roman" w:hAnsi="Times New Roman"/>
                <w:sz w:val="18"/>
                <w:szCs w:val="18"/>
                <w:color w:val="auto"/>
              </w:rPr>
              <w:t>Email: rebecca.osborn@pentair.com</w:t>
            </w:r>
          </w:p>
        </w:tc>
      </w:tr>
      <w:tr>
        <w:trPr>
          <w:trHeight w:val="20"/>
        </w:trPr>
        <w:tc>
          <w:tcPr>
            <w:tcW w:w="5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8"/>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per-share data</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972.9</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4,082.8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4,104.5</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595.3</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618.5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2,484.0</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2,585.3</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1,598.8</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1,519.2</w:t>
            </w:r>
          </w:p>
        </w:tc>
        <w:tc>
          <w:tcPr>
            <w:tcW w:w="0" w:type="dxa"/>
            <w:vAlign w:val="bottom"/>
          </w:tcPr>
          <w:p>
            <w:pPr>
              <w:spacing w:after="0"/>
              <w:rPr>
                <w:sz w:val="1"/>
                <w:szCs w:val="1"/>
                <w:color w:val="auto"/>
              </w:rPr>
            </w:pPr>
          </w:p>
        </w:tc>
      </w:tr>
      <w:tr>
        <w:trPr>
          <w:trHeight w:val="214"/>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38.8 %</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39.2 %</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37.0 %</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160.7</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701.4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680.2</w:t>
            </w:r>
          </w:p>
        </w:tc>
        <w:tc>
          <w:tcPr>
            <w:tcW w:w="0" w:type="dxa"/>
            <w:vAlign w:val="bottom"/>
          </w:tcPr>
          <w:p>
            <w:pPr>
              <w:spacing w:after="0"/>
              <w:rPr>
                <w:sz w:val="1"/>
                <w:szCs w:val="1"/>
                <w:color w:val="auto"/>
              </w:rPr>
            </w:pPr>
          </w:p>
        </w:tc>
      </w:tr>
      <w:tr>
        <w:trPr>
          <w:trHeight w:val="214"/>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16.5 %</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17.2 %</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16.6 %</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93.6</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195.1</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803.8</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739.2</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20.1 %</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17.0 %</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19.7 %</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18.0 %</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88.6</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2.7 %</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2.9 %</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618.9</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93.3</w:t>
            </w:r>
          </w:p>
        </w:tc>
        <w:tc>
          <w:tcPr>
            <w:tcW w:w="180" w:type="dxa"/>
            <w:vAlign w:val="bottom"/>
          </w:tcPr>
          <w:p>
            <w:pPr>
              <w:spacing w:after="0"/>
              <w:rPr>
                <w:sz w:val="18"/>
                <w:szCs w:val="18"/>
                <w:color w:val="auto"/>
              </w:rPr>
            </w:pPr>
          </w:p>
        </w:tc>
        <w:tc>
          <w:tcPr>
            <w:tcW w:w="13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9.8 %</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(55.3)%</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13.0 %</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i w:val="1"/>
                <w:iCs w:val="1"/>
                <w:color w:val="auto"/>
                <w:w w:val="99"/>
              </w:rPr>
              <w:t>(0.6)%</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166.4</w:t>
            </w: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625.6</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622.9</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166.4</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625.4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622.7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ordinary share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Basic</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ordinary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Diluted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0.99</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ordinary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0.99</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ordinary shares outstanding</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165.6</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165.1</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166.8</w:t>
            </w: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167.1</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dividends paid per ordinary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180"/>
          </w:cols>
          <w:pgMar w:left="320" w:top="121"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88"/>
              </w:rPr>
              <w:t>5</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4,651.6</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shd w:val="clear" w:color="auto" w:fill="CCEEFF"/>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short-term borrowings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20"/>
          </w:cols>
          <w:pgMar w:left="320" w:top="12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20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88"/>
              </w:rPr>
              <w:t>6</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801"/>
        </w:trPr>
        <w:tc>
          <w:tcPr>
            <w:tcW w:w="820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820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53"/>
        </w:trPr>
        <w:tc>
          <w:tcPr>
            <w:tcW w:w="8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176"/>
        </w:trPr>
        <w:tc>
          <w:tcPr>
            <w:tcW w:w="8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operating</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1"/>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 of continuing operations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contributions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8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29"/>
        </w:trPr>
        <w:tc>
          <w:tcPr>
            <w:tcW w:w="82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upon the settlement of net investment hedges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receipts of short-term borrowings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(repayments) of revolving long-term debt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29"/>
        </w:trPr>
        <w:tc>
          <w:tcPr>
            <w:tcW w:w="8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upon the settlement of cross currency swaps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30"/>
        </w:trPr>
        <w:tc>
          <w:tcPr>
            <w:tcW w:w="8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8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00"/>
          </w:cols>
          <w:pgMar w:left="340" w:top="121"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the GAAP Operating Activities Cash Flow to the Non-GAAP Free Cash Flow (Unaudited)</w:t>
      </w:r>
    </w:p>
    <w:p>
      <w:pPr>
        <w:spacing w:after="0" w:line="39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2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2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23"/>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20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r>
      <w:tr>
        <w:trPr>
          <w:trHeight w:val="21"/>
        </w:trPr>
        <w:tc>
          <w:tcPr>
            <w:tcW w:w="65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00"/>
          </w:cols>
          <w:pgMar w:left="340" w:top="121"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88"/>
              </w:rPr>
              <w:t>8</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8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 by Reportable Segment (Unaudited)</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280" w:type="dxa"/>
            <w:vAlign w:val="bottom"/>
          </w:tcPr>
          <w:p>
            <w:pPr>
              <w:spacing w:after="0"/>
              <w:rPr>
                <w:sz w:val="14"/>
                <w:szCs w:val="14"/>
                <w:color w:val="auto"/>
              </w:rPr>
            </w:pPr>
          </w:p>
        </w:tc>
        <w:tc>
          <w:tcPr>
            <w:tcW w:w="1260" w:type="dxa"/>
            <w:vAlign w:val="bottom"/>
          </w:tcPr>
          <w:p>
            <w:pPr>
              <w:jc w:val="center"/>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Second</w:t>
            </w:r>
          </w:p>
        </w:tc>
        <w:tc>
          <w:tcPr>
            <w:tcW w:w="280" w:type="dxa"/>
            <w:vAlign w:val="bottom"/>
          </w:tcPr>
          <w:p>
            <w:pPr>
              <w:spacing w:after="0"/>
              <w:rPr>
                <w:sz w:val="14"/>
                <w:szCs w:val="14"/>
                <w:color w:val="auto"/>
              </w:rPr>
            </w:pPr>
          </w:p>
        </w:tc>
        <w:tc>
          <w:tcPr>
            <w:tcW w:w="1240" w:type="dxa"/>
            <w:vAlign w:val="bottom"/>
          </w:tcPr>
          <w:p>
            <w:pPr>
              <w:jc w:val="center"/>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Third</w:t>
            </w:r>
          </w:p>
        </w:tc>
        <w:tc>
          <w:tcPr>
            <w:tcW w:w="360" w:type="dxa"/>
            <w:vAlign w:val="bottom"/>
          </w:tcPr>
          <w:p>
            <w:pPr>
              <w:spacing w:after="0"/>
              <w:rPr>
                <w:sz w:val="14"/>
                <w:szCs w:val="14"/>
                <w:color w:val="auto"/>
              </w:rPr>
            </w:pPr>
          </w:p>
        </w:tc>
        <w:tc>
          <w:tcPr>
            <w:tcW w:w="1180" w:type="dxa"/>
            <w:vAlign w:val="bottom"/>
          </w:tcPr>
          <w:p>
            <w:pPr>
              <w:jc w:val="center"/>
              <w:ind w:right="3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Fourth</w:t>
            </w:r>
          </w:p>
        </w:tc>
        <w:tc>
          <w:tcPr>
            <w:tcW w:w="340" w:type="dxa"/>
            <w:vAlign w:val="bottom"/>
          </w:tcPr>
          <w:p>
            <w:pPr>
              <w:spacing w:after="0"/>
              <w:rPr>
                <w:sz w:val="14"/>
                <w:szCs w:val="14"/>
                <w:color w:val="auto"/>
              </w:rPr>
            </w:pPr>
          </w:p>
        </w:tc>
        <w:tc>
          <w:tcPr>
            <w:tcW w:w="1180" w:type="dxa"/>
            <w:vAlign w:val="bottom"/>
          </w:tcPr>
          <w:p>
            <w:pPr>
              <w:jc w:val="center"/>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Full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70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Pr>
          <w:p>
            <w:pPr>
              <w:spacing w:after="0"/>
              <w:rPr>
                <w:sz w:val="21"/>
                <w:szCs w:val="21"/>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Pr>
          <w:p>
            <w:pPr>
              <w:spacing w:after="0"/>
              <w:rPr>
                <w:sz w:val="21"/>
                <w:szCs w:val="21"/>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360" w:type="dxa"/>
            <w:vAlign w:val="bottom"/>
          </w:tcPr>
          <w:p>
            <w:pPr>
              <w:spacing w:after="0"/>
              <w:rPr>
                <w:sz w:val="21"/>
                <w:szCs w:val="21"/>
                <w:color w:val="auto"/>
              </w:rPr>
            </w:pPr>
          </w:p>
        </w:tc>
        <w:tc>
          <w:tcPr>
            <w:tcW w:w="1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4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396.8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360.7</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310.5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257.9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359.5</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391.5</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331.4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353.7</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net sales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1,016.9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1,098.8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972.3</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1,017.2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1,099.3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972.9</w:t>
            </w: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Reportable segment income (loss)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73.6</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64.4</w:t>
            </w:r>
          </w:p>
        </w:tc>
        <w:tc>
          <w:tcPr>
            <w:tcW w:w="3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8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110.8</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133.6</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112.7</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119.4</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243.7</w:t>
            </w:r>
          </w:p>
        </w:tc>
        <w:tc>
          <w:tcPr>
            <w:tcW w:w="2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290.9</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259.9</w:t>
            </w:r>
          </w:p>
        </w:tc>
        <w:tc>
          <w:tcPr>
            <w:tcW w:w="3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255.2</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217.3</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271.4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239.2</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231.3</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Return on sales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sales</w:t>
            </w: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280" w:type="dxa"/>
            <w:vAlign w:val="bottom"/>
          </w:tcPr>
          <w:p>
            <w:pPr>
              <w:spacing w:after="0"/>
              <w:rPr>
                <w:sz w:val="14"/>
                <w:szCs w:val="14"/>
                <w:color w:val="auto"/>
              </w:rPr>
            </w:pPr>
          </w:p>
        </w:tc>
        <w:tc>
          <w:tcPr>
            <w:tcW w:w="126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Second</w:t>
            </w:r>
          </w:p>
        </w:tc>
        <w:tc>
          <w:tcPr>
            <w:tcW w:w="280" w:type="dxa"/>
            <w:vAlign w:val="bottom"/>
          </w:tcPr>
          <w:p>
            <w:pPr>
              <w:spacing w:after="0"/>
              <w:rPr>
                <w:sz w:val="14"/>
                <w:szCs w:val="14"/>
                <w:color w:val="auto"/>
              </w:rPr>
            </w:pPr>
          </w:p>
        </w:tc>
        <w:tc>
          <w:tcPr>
            <w:tcW w:w="124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Third</w:t>
            </w:r>
          </w:p>
        </w:tc>
        <w:tc>
          <w:tcPr>
            <w:tcW w:w="360" w:type="dxa"/>
            <w:vAlign w:val="bottom"/>
          </w:tcPr>
          <w:p>
            <w:pPr>
              <w:spacing w:after="0"/>
              <w:rPr>
                <w:sz w:val="14"/>
                <w:szCs w:val="14"/>
                <w:color w:val="auto"/>
              </w:rPr>
            </w:pPr>
          </w:p>
        </w:tc>
        <w:tc>
          <w:tcPr>
            <w:tcW w:w="1180" w:type="dxa"/>
            <w:vAlign w:val="bottom"/>
          </w:tcPr>
          <w:p>
            <w:pPr>
              <w:jc w:val="center"/>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Fourth</w:t>
            </w:r>
          </w:p>
        </w:tc>
        <w:tc>
          <w:tcPr>
            <w:tcW w:w="340" w:type="dxa"/>
            <w:vAlign w:val="bottom"/>
          </w:tcPr>
          <w:p>
            <w:pPr>
              <w:spacing w:after="0"/>
              <w:rPr>
                <w:sz w:val="14"/>
                <w:szCs w:val="14"/>
                <w:color w:val="auto"/>
              </w:rPr>
            </w:pPr>
          </w:p>
        </w:tc>
        <w:tc>
          <w:tcPr>
            <w:tcW w:w="12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Full</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Flow</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378.5</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Solutions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269.6</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Pool</w:t>
            </w: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364.3</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334.3</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308.8</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336.2</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1,343.6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net sales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1,028.1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1,008.4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984.3</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4,102.9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1,028.6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1,008.8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984.6</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4,104.5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Reportable segment income (loss)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77.5</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Water Solutions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c>
          <w:tcPr>
            <w:tcW w:w="28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68.8</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51.6</w:t>
            </w:r>
          </w:p>
        </w:tc>
        <w:tc>
          <w:tcPr>
            <w:tcW w:w="3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Pool</w:t>
            </w:r>
          </w:p>
        </w:tc>
        <w:tc>
          <w:tcPr>
            <w:tcW w:w="8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116.2</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90.6</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105.1</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233.6</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254.7</w:t>
            </w:r>
          </w:p>
        </w:tc>
        <w:tc>
          <w:tcPr>
            <w:tcW w:w="28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236.9</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221.7</w:t>
            </w:r>
          </w:p>
        </w:tc>
        <w:tc>
          <w:tcPr>
            <w:tcW w:w="3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212.1</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197.8</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855.1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Return on sales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Flow</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Solutions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Pool</w:t>
            </w: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return on sales</w:t>
            </w: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for the Year Ended December 31,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Excluding the Effect of Adjustments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5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00" w:type="dxa"/>
            <w:vAlign w:val="bottom"/>
          </w:tcPr>
          <w:p>
            <w:pPr>
              <w:spacing w:after="0"/>
              <w:rPr>
                <w:sz w:val="17"/>
                <w:szCs w:val="17"/>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0" w:type="dxa"/>
            <w:vAlign w:val="bottom"/>
          </w:tcPr>
          <w:p>
            <w:pPr>
              <w:spacing w:after="0"/>
              <w:rPr>
                <w:sz w:val="17"/>
                <w:szCs w:val="17"/>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6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1,017.2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1,099.3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993.4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972.9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4,082.8</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180.8</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248.0</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179.9</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803.8</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17.8 %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22.6 %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18.1 %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19.7 %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other</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Transformation costs</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amortization</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5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217.3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271.4</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239.2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231.3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r>
        <w:trPr>
          <w:trHeight w:val="196"/>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21.4 %</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24.7 %</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24.1 %</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23.8 %</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23.5 %</w:t>
            </w: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186.1</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166.4</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229"/>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and other post-retirement mark-to-market gain</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723.7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180"/>
          </w:cols>
          <w:pgMar w:left="360" w:top="121"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7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140" w:type="dxa"/>
            <w:vAlign w:val="bottom"/>
          </w:tcPr>
          <w:p>
            <w:pPr>
              <w:spacing w:after="0"/>
              <w:rPr>
                <w:sz w:val="24"/>
                <w:szCs w:val="24"/>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36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Ending December 31, 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380" w:type="dxa"/>
            <w:vAlign w:val="bottom"/>
            <w:gridSpan w:val="4"/>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Forecast</w:t>
            </w:r>
          </w:p>
        </w:tc>
        <w:tc>
          <w:tcPr>
            <w:tcW w:w="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660" w:type="dxa"/>
            <w:vAlign w:val="bottom"/>
          </w:tcPr>
          <w:p>
            <w:pPr>
              <w:spacing w:after="0"/>
              <w:rPr>
                <w:sz w:val="14"/>
                <w:szCs w:val="14"/>
                <w:color w:val="auto"/>
              </w:rPr>
            </w:pPr>
          </w:p>
        </w:tc>
        <w:tc>
          <w:tcPr>
            <w:tcW w:w="2080" w:type="dxa"/>
            <w:vAlign w:val="bottom"/>
          </w:tcPr>
          <w:p>
            <w:pPr>
              <w:ind w:left="154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40" w:type="dxa"/>
            <w:vAlign w:val="bottom"/>
          </w:tcPr>
          <w:p>
            <w:pPr>
              <w:jc w:val="right"/>
              <w:ind w:right="1290"/>
              <w:spacing w:after="0" w:line="169" w:lineRule="exact"/>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Down 3% - 4%</w:t>
            </w: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Flat - Up 2%</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tcPr>
          <w:p>
            <w:pPr>
              <w:spacing w:after="0"/>
              <w:rPr>
                <w:sz w:val="19"/>
                <w:szCs w:val="19"/>
                <w:color w:val="auto"/>
              </w:rPr>
            </w:pP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Up 16% - 18%</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19% - 23%</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amortization</w:t>
            </w:r>
          </w:p>
        </w:tc>
        <w:tc>
          <w:tcPr>
            <w:tcW w:w="660" w:type="dxa"/>
            <w:vAlign w:val="bottom"/>
          </w:tcPr>
          <w:p>
            <w:pPr>
              <w:spacing w:after="0"/>
              <w:rPr>
                <w:sz w:val="19"/>
                <w:szCs w:val="19"/>
                <w:color w:val="auto"/>
              </w:rPr>
            </w:pP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approx $</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6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660" w:type="dxa"/>
            <w:vAlign w:val="bottom"/>
          </w:tcPr>
          <w:p>
            <w:pPr>
              <w:spacing w:after="0"/>
              <w:rPr>
                <w:sz w:val="19"/>
                <w:szCs w:val="19"/>
                <w:color w:val="auto"/>
              </w:rPr>
            </w:pP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Up 3% - 5%</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6% - 9%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660" w:type="dxa"/>
            <w:vAlign w:val="bottom"/>
          </w:tcPr>
          <w:p>
            <w:pPr>
              <w:spacing w:after="0"/>
              <w:rPr>
                <w:sz w:val="19"/>
                <w:szCs w:val="19"/>
                <w:color w:val="auto"/>
              </w:rPr>
            </w:pP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$155 - $158</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$726 - $751</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6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6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$167 - $170</w:t>
            </w: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 $797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$0.93 - $0.95</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 $4.52</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6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approx</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$1.00 - $1.02</w:t>
            </w: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 $4.80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100"/>
          </w:cols>
          <w:pgMar w:left="400" w:top="121" w:right="3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01"/>
        </w:trPr>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2620" w:type="dxa"/>
            <w:vAlign w:val="bottom"/>
          </w:tcPr>
          <w:p>
            <w:pPr>
              <w:spacing w:after="0"/>
              <w:rPr>
                <w:sz w:val="19"/>
                <w:szCs w:val="19"/>
                <w:color w:val="auto"/>
              </w:rPr>
            </w:pPr>
          </w:p>
        </w:tc>
        <w:tc>
          <w:tcPr>
            <w:tcW w:w="6560" w:type="dxa"/>
            <w:vAlign w:val="bottom"/>
            <w:gridSpan w:val="7"/>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Reconciliation of Net Sales Growth to Core Net Sales Growth by Segment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2620" w:type="dxa"/>
            <w:vAlign w:val="bottom"/>
          </w:tcPr>
          <w:p>
            <w:pPr>
              <w:spacing w:after="0"/>
              <w:rPr>
                <w:sz w:val="20"/>
                <w:szCs w:val="20"/>
                <w:color w:val="auto"/>
              </w:rPr>
            </w:pPr>
          </w:p>
        </w:tc>
        <w:tc>
          <w:tcPr>
            <w:tcW w:w="6560" w:type="dxa"/>
            <w:vAlign w:val="bottom"/>
            <w:gridSpan w:val="7"/>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For the Quarter and Year Ended December 31, 2024 (Unaudited)</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3"/>
        </w:trPr>
        <w:tc>
          <w:tcPr>
            <w:tcW w:w="26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Q4 Net Sales Growth</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Full Year Net Sales Growth</w:t>
            </w:r>
          </w:p>
        </w:tc>
        <w:tc>
          <w:tcPr>
            <w:tcW w:w="880" w:type="dxa"/>
            <w:vAlign w:val="bottom"/>
            <w:tcBorders>
              <w:bottom w:val="single" w:sz="8" w:color="auto"/>
            </w:tcBorders>
          </w:tcPr>
          <w:p>
            <w:pPr>
              <w:spacing w:after="0"/>
              <w:rPr>
                <w:sz w:val="24"/>
                <w:szCs w:val="24"/>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Core</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Acq. / Div.</w:t>
            </w: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Core</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Acq. / Div.</w:t>
            </w: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Pentair</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29"/>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Flow</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Solutions</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4"/>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Pool</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180"/>
          </w:cols>
          <w:pgMar w:left="360" w:top="121" w:right="359" w:bottom="1440" w:gutter="0" w:footer="0" w:header="0"/>
        </w:sectPr>
      </w:pPr>
    </w:p>
    <w:bookmarkStart w:id="15" w:name="page16"/>
    <w:bookmarkEnd w:id="15"/>
    <w:tbl>
      <w:tblPr>
        <w:tblLayout w:type="fixed"/>
        <w:tblInd w:w="32"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440" w:type="dxa"/>
            <w:vAlign w:val="bottom"/>
          </w:tcPr>
          <w:p>
            <w:pPr>
              <w:spacing w:after="0"/>
              <w:rPr>
                <w:sz w:val="24"/>
                <w:szCs w:val="24"/>
                <w:color w:val="auto"/>
              </w:rPr>
            </w:pPr>
          </w:p>
        </w:tc>
        <w:tc>
          <w:tcPr>
            <w:tcW w:w="3100" w:type="dxa"/>
            <w:vAlign w:val="bottom"/>
            <w:gridSpan w:val="4"/>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960" w:type="dxa"/>
            <w:vAlign w:val="bottom"/>
            <w:gridSpan w:val="9"/>
          </w:tcPr>
          <w:p>
            <w:pPr>
              <w:jc w:val="center"/>
              <w:ind w:left="1111"/>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Ended December 31, 2023</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540" w:type="dxa"/>
            <w:vAlign w:val="bottom"/>
            <w:gridSpan w:val="5"/>
          </w:tcPr>
          <w:p>
            <w:pPr>
              <w:jc w:val="center"/>
              <w:ind w:left="3531"/>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86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0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6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1,028.6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984.6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4,104.5</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183.6</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208.5</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167.0</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8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17.8 %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19.3 %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17.9 %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17.0 %</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18.0 %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costs</w:t>
            </w:r>
          </w:p>
        </w:tc>
        <w:tc>
          <w:tcPr>
            <w:tcW w:w="8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Intangible amortization</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8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211.0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234.2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212.1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197.8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196"/>
        </w:trPr>
        <w:tc>
          <w:tcPr>
            <w:tcW w:w="444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8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20.5 %</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21.6 %</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20.8 %</w:t>
            </w: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8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154.2</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208.1</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622.9</w:t>
            </w:r>
          </w:p>
        </w:tc>
        <w:tc>
          <w:tcPr>
            <w:tcW w:w="0" w:type="dxa"/>
            <w:vAlign w:val="bottom"/>
          </w:tcPr>
          <w:p>
            <w:pPr>
              <w:spacing w:after="0"/>
              <w:rPr>
                <w:sz w:val="1"/>
                <w:szCs w:val="1"/>
                <w:color w:val="auto"/>
              </w:rPr>
            </w:pPr>
          </w:p>
        </w:tc>
      </w:tr>
      <w:tr>
        <w:trPr>
          <w:trHeight w:val="230"/>
        </w:trPr>
        <w:tc>
          <w:tcPr>
            <w:tcW w:w="4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and other post-retirement mark-to-market loss</w:t>
            </w:r>
          </w:p>
        </w:tc>
        <w:tc>
          <w:tcPr>
            <w:tcW w:w="8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8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Income tax adjustments </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171.1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145.8</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72" w:hanging="172"/>
        <w:spacing w:after="0" w:line="229" w:lineRule="auto"/>
        <w:tabs>
          <w:tab w:leader="none" w:pos="189"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Income tax adjustments in the fourth quarter include $74.3 million resulting from favorable impacts of worthless stock deductions related to exiting certain businesses in our Water Solutions segment and favorable discrete items primarily related to the recognition of deferred tax assets.</w:t>
      </w:r>
    </w:p>
    <w:sectPr>
      <w:pgSz w:w="11900" w:h="16838" w:orient="portrait"/>
      <w:cols w:equalWidth="0" w:num="1">
        <w:col w:w="11232"/>
      </w:cols>
      <w:pgMar w:left="32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2025-02-04T05:59:56Z</dcterms:created>
  <dcterms:modified xsi:type="dcterms:W3CDTF">2025-02-04T05:59:56Z</dcterms:modified>
</cp:coreProperties>
</file>