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Fishman Robert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5500 WAYZATA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GOLDEN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PENTAIR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3"/>
        <w:gridCol w:w="902"/>
        <w:gridCol w:w="774"/>
        <w:gridCol w:w="599"/>
        <w:gridCol w:w="340"/>
        <w:gridCol w:w="909"/>
        <w:gridCol w:w="432"/>
        <w:gridCol w:w="595"/>
        <w:gridCol w:w="1387"/>
        <w:gridCol w:w="970"/>
        <w:gridCol w:w="10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79,229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4,263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79,229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79,229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Fishman Family Trust</w:t>
            </w:r>
          </w:p>
        </w:tc>
      </w:tr>
      <w:tr>
        <w:trPr/>
        <w:tc>
          <w:tcPr>
            <w:tcW w:w="22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Restricted Stock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18,583.444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End-of-period holdings include shares acquired under a dividend reinvestment plan in exempt transactions not required to be reported pursuant to Section 16(a).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Wilson, Attorney-in-Fact for Robert P. Fishman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744" TargetMode="External"/><Relationship Id="rId5" Type="http://schemas.openxmlformats.org/officeDocument/2006/relationships/hyperlink" Target="http://www.sec.gov/cgi-bin/browse-edgar?action=getcompany&amp;CIK=00000773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3328</Characters>
  <CharactersWithSpaces>3862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