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808990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July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71120</wp:posOffset>
            </wp:positionV>
            <wp:extent cx="196278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140" w:type="dxa"/>
            <w:vAlign w:val="bottom"/>
          </w:tcPr>
          <w:p>
            <w:pPr>
              <w:jc w:val="center"/>
              <w:ind w:left="1084"/>
              <w:spacing w:after="0"/>
              <w:rPr>
                <w:sz w:val="20"/>
                <w:szCs w:val="20"/>
                <w:color w:val="auto"/>
              </w:rPr>
            </w:pPr>
            <w:r>
              <w:rPr>
                <w:rFonts w:ascii="Times New Roman" w:cs="Times New Roman" w:eastAsia="Times New Roman" w:hAnsi="Times New Roman"/>
                <w:sz w:val="18"/>
                <w:szCs w:val="18"/>
                <w:b w:val="1"/>
                <w:bCs w:val="1"/>
                <w:color w:val="auto"/>
                <w:w w:val="99"/>
              </w:rPr>
              <w:t>001-11625</w:t>
            </w:r>
          </w:p>
        </w:tc>
        <w:tc>
          <w:tcPr>
            <w:tcW w:w="3280" w:type="dxa"/>
            <w:vAlign w:val="bottom"/>
          </w:tcPr>
          <w:p>
            <w:pPr>
              <w:jc w:val="center"/>
              <w:ind w:left="2144"/>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149"/>
        </w:trPr>
        <w:tc>
          <w:tcPr>
            <w:tcW w:w="244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tcPr>
          <w:p>
            <w:pPr>
              <w:ind w:left="174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3280" w:type="dxa"/>
            <w:vAlign w:val="bottom"/>
          </w:tcPr>
          <w:p>
            <w:pPr>
              <w:jc w:val="center"/>
              <w:ind w:left="214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44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40" w:type="dxa"/>
            <w:vAlign w:val="bottom"/>
          </w:tcPr>
          <w:p>
            <w:pPr>
              <w:jc w:val="center"/>
              <w:ind w:left="1104"/>
              <w:spacing w:after="0"/>
              <w:rPr>
                <w:sz w:val="20"/>
                <w:szCs w:val="20"/>
                <w:color w:val="auto"/>
              </w:rPr>
            </w:pPr>
            <w:r>
              <w:rPr>
                <w:rFonts w:ascii="Times New Roman" w:cs="Times New Roman" w:eastAsia="Times New Roman" w:hAnsi="Times New Roman"/>
                <w:sz w:val="14"/>
                <w:szCs w:val="14"/>
                <w:color w:val="auto"/>
              </w:rPr>
              <w:t>File No.)</w:t>
            </w:r>
          </w:p>
        </w:tc>
        <w:tc>
          <w:tcPr>
            <w:tcW w:w="3280" w:type="dxa"/>
            <w:vAlign w:val="bottom"/>
          </w:tcPr>
          <w:p>
            <w:pPr>
              <w:jc w:val="center"/>
              <w:ind w:left="212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41"/>
        </w:trPr>
        <w:tc>
          <w:tcPr>
            <w:tcW w:w="8860" w:type="dxa"/>
            <w:vAlign w:val="bottom"/>
            <w:gridSpan w:val="3"/>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Regal House, 70 London Road, Twickenham, London, TW13QS United Kingdom</w:t>
            </w:r>
          </w:p>
        </w:tc>
      </w:tr>
      <w:tr>
        <w:trPr>
          <w:trHeight w:val="188"/>
        </w:trPr>
        <w:tc>
          <w:tcPr>
            <w:tcW w:w="2440" w:type="dxa"/>
            <w:vAlign w:val="bottom"/>
          </w:tcPr>
          <w:p>
            <w:pPr>
              <w:spacing w:after="0"/>
              <w:rPr>
                <w:sz w:val="16"/>
                <w:szCs w:val="16"/>
                <w:color w:val="auto"/>
              </w:rPr>
            </w:pPr>
          </w:p>
        </w:tc>
        <w:tc>
          <w:tcPr>
            <w:tcW w:w="31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9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60" w:type="dxa"/>
            <w:vAlign w:val="bottom"/>
          </w:tcPr>
          <w:p>
            <w:pPr>
              <w:spacing w:after="0"/>
              <w:rPr>
                <w:sz w:val="24"/>
                <w:szCs w:val="24"/>
                <w:color w:val="auto"/>
              </w:rPr>
            </w:pPr>
          </w:p>
        </w:tc>
        <w:tc>
          <w:tcPr>
            <w:tcW w:w="4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60" w:type="dxa"/>
            <w:vAlign w:val="bottom"/>
          </w:tcPr>
          <w:p>
            <w:pPr>
              <w:spacing w:after="0"/>
              <w:rPr>
                <w:sz w:val="19"/>
                <w:szCs w:val="19"/>
                <w:color w:val="auto"/>
              </w:rPr>
            </w:pPr>
          </w:p>
        </w:tc>
        <w:tc>
          <w:tcPr>
            <w:tcW w:w="4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(17 CFR 230.405) or Rule 12b-2 of the Exchange Act (17 CFR 240.12b-2).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42545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22, 2025, Pentair plc (the “Company”) issued a press release announcing its earnings for the second quarter of 2025 and a conference call in connection therewith. A copy of the release is attached hereto as Exhibit 99.1 and incorporated herein by reference.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refers to certain non-generally accepted accounting principles (“GAAP”) financial measures (core sales, adjusted operating income, adjusted return on sales, adjusted net income from continuing operations, adjusted diluted earnings per share from continuing operations and free cash flow) and a reconciliation of those non-GAAP financial measures to the corresponding financial measures contained in the Company’s financial statements prepared in accordance with GAAP.</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2025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asset impairment and write-offs, loss on sale of business and certain tax items. The 2024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pension and other post-retirement mark-to-market gain, other income and certain tax items.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term “core sales” to refer to GAAP net sales from continuing operations excluding (1) the impact of currency translation and (2) the impact of net sales from acquired businesses recorded prior to the first anniversary of the acquisition, excluding the excess over prior year net sales of the acquired business less the amount of net sales attributable to discontinued or divested product lines not considered discontinued operations (“acquisition sales”). The portion of GAAP net sales attributable to currency translation is calculated as the difference between (a) the period-to-period change in net sales (excluding acquisition sales) and (b) the period-to-period change in net sales (excluding acquisition sales) after applying current period foreign exchange rates to the prior year period. We use the term “core sales growth” to refer to the measure of comparing current period core net sales with the corresponding period of the prior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free cash flow to assess its cash flow performance. The Company believes free cash flow is an important measure of liquidity because it provides the Company and its investors a measurement of cash generated from operations that is available to pay dividends, repurchase shares and repay debt. In addition, free cash flow is used as a criterion to measure and pay annual incentive compensation. The Company’s measure of free cash flow may not be comparable to similarly titled measures reported by other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80" w:right="7420" w:hanging="329"/>
        <w:spacing w:after="0" w:line="375" w:lineRule="auto"/>
        <w:tabs>
          <w:tab w:leader="none" w:pos="5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Businesses Acquired Not applicable.</w:t>
      </w:r>
    </w:p>
    <w:p>
      <w:pPr>
        <w:spacing w:after="0" w:line="1" w:lineRule="exact"/>
        <w:rPr>
          <w:rFonts w:ascii="Times New Roman" w:cs="Times New Roman" w:eastAsia="Times New Roman" w:hAnsi="Times New Roman"/>
          <w:sz w:val="18"/>
          <w:szCs w:val="18"/>
          <w:color w:val="auto"/>
        </w:rPr>
      </w:pPr>
    </w:p>
    <w:p>
      <w:pPr>
        <w:ind w:left="580" w:right="8280" w:hanging="329"/>
        <w:spacing w:after="0" w:line="375" w:lineRule="auto"/>
        <w:tabs>
          <w:tab w:leader="none" w:pos="5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Financial Information Not applicable.</w:t>
      </w:r>
    </w:p>
    <w:p>
      <w:pPr>
        <w:spacing w:after="0" w:line="1" w:lineRule="exact"/>
        <w:rPr>
          <w:rFonts w:ascii="Times New Roman" w:cs="Times New Roman" w:eastAsia="Times New Roman" w:hAnsi="Times New Roman"/>
          <w:sz w:val="18"/>
          <w:szCs w:val="18"/>
          <w:color w:val="auto"/>
        </w:rPr>
      </w:pPr>
    </w:p>
    <w:p>
      <w:pPr>
        <w:ind w:left="580" w:right="8600" w:hanging="329"/>
        <w:spacing w:after="0" w:line="397" w:lineRule="auto"/>
        <w:tabs>
          <w:tab w:leader="none" w:pos="57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Shell Company Transactions Not applicable.</w:t>
      </w:r>
    </w:p>
    <w:p>
      <w:pPr>
        <w:spacing w:after="0" w:line="1" w:lineRule="exact"/>
        <w:rPr>
          <w:rFonts w:ascii="Times New Roman" w:cs="Times New Roman" w:eastAsia="Times New Roman" w:hAnsi="Times New Roman"/>
          <w:sz w:val="17"/>
          <w:szCs w:val="17"/>
          <w:color w:val="auto"/>
        </w:rPr>
      </w:pPr>
    </w:p>
    <w:p>
      <w:pPr>
        <w:ind w:left="560" w:hanging="309"/>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6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ind w:left="74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Pentair plc press release dated July 22, 2025 announcing earnings for the second quarter of 2025</w:t>
      </w:r>
    </w:p>
    <w:p>
      <w:pPr>
        <w:spacing w:after="0" w:line="23" w:lineRule="exact"/>
        <w:rPr>
          <w:sz w:val="20"/>
          <w:szCs w:val="20"/>
          <w:color w:val="auto"/>
        </w:rPr>
      </w:pPr>
    </w:p>
    <w:p>
      <w:pPr>
        <w:ind w:left="1480" w:hanging="709"/>
        <w:spacing w:after="0"/>
        <w:tabs>
          <w:tab w:leader="none" w:pos="1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July 22, 2025.</w:t>
      </w:r>
    </w:p>
    <w:p>
      <w:pPr>
        <w:spacing w:after="0" w:line="9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3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6278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Pentair Reports Strong Second Quarter 2025 Results</w:t>
      </w:r>
    </w:p>
    <w:p>
      <w:pPr>
        <w:spacing w:after="0" w:line="16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$1.1 billion, up 2 percent compared to sales for the same period last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$218 million with ROS of 19.4 percent; on an adjusted basis, operating income was $297 million with ROS of 26.4 percent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was $0.90 and adjusted EPS was $1.39</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continuing operations was $607 million, an increase of $68 million compared to the same period last year, and free cash flow provided by continuing operations for the quarter was $596 million, an increase of $74 million compared to the same period last year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$75 million of ordinary shares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updated its full year 2025 GAAP EPS guidance to approximately $3.95 to $4.05, up 6 percent to 8 percent versus the prior year, and increased EPS guidance on an adjusted basis of approximately $4.75 to $4.85, up 10 percent to 12 percent versus the prior year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Reconciliations of GAAP to Non-GAAP measures are in the attached financial tables.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LONDON, United Kingdom — July 22, 2025 — Pentair plc (NYSE: PNR), a leader in helping the world sustainably move, improve and enjoy water, life’s most essential resource, today announced second quarter 2025 sales of $1.1 billion. Sales were up 2 percent compared to sales for the same period last year. Excluding currency translation, acquisitions and divestitures, core sales grew 1 percent in the second quarter. Second quarter 2025 earnings per diluted share from continuing operations (“EPS”) were $0.90 compared to $1.11 in the second quarter of 2024, a 19 percent decrease. On an adjusted basis, the Company reported second quarter 2025 EPS of $1.39 compared to $1.22 in the second quarter of 2024, reflecting a 14 percent increase. Adjusted operating income, reportable segment income, adjusted net income, free cash flow and adjusted EPS are described in the attached schedules.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 L. Stauch, Pentair’s President and Chief Executive Officer commented, “We delivered another strong quarter of free cash flow, sales and adjusted earnings growth as we navigated through tariff and economic uncertainty. Our team executed with precision to deliver for our customers and drive solid financial and operating performance as well as shareholder value. As we look ahead, we believe we are ready to capture higher demand when the residential market returns to growth while continuing to invest in innovation and growth initiatives to drive differentiated growth across our Move, Improve and Enjoy Water segments.”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Second quarter 2025 operating income was $218 million, down 12 percent compared to operating income for the second quarter of 2024, and return on sales (“ROS”) was 19.4 percent, a decrease of 320 basis points when compared to the second quarter of 2024. On an adjusted basis, the Company had adjusted operating income of $297 million for the second quarter of 2025, up 9 percent compared to adjusted operating income for the second quarter of 2024, and ROS was 26.4 percent, an increase of 170 basis points when compared to the second quarter of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Flow sales were flat compared to sales for the same period last year. Excluding currency translation, acquisitions and divestitures, core sales declined 1 percent in the second quarter. Reportable segment income of $93 million was up 10 percent compared to the second quarter of 2024, and ROS was 23.4 percent, an increase of 210 basis points when compared to the second quarter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Water Solutions sales were down 4 percent compared to sales for the same period last year. Excluding currency translation, acquisitions and divestitures, core sales declined 3 percent in the second quarter. Reportable segment income of $70 million was down 4 percent compared to the second quarter of 2024, and ROS was 23.5 percent, which is flat when compared to the second quarter of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Pool sales were up 9 percent compared to sales for the same period last year. Excluding currency translation, acquisitions and divestitures, core sales grew 7 percent in the second quarter. Reportable segment income of $153 million was up 14 percent compared to the second quarter of 2024, and ROS was 35.7 percent, an increase of 160 basis points when compared to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 was $607 million for the quarter compared to $539 million in the second quarter of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provided by continuing operations for the quarter was $596 million compared to $522 million in the second quarter of 2024.</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Pentair paid a regular cash dividend of $0.25 per share in the second quarter of 2025. Pentair previously announced on May 5, 2025 that it will pay a regular quarterly cash dividend of $0.25 per share on August 1, 2025 to shareholders of record at the close of business on July 18, 2025. This year marks the 49th consecutive year that Pentair has increased its dividend.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the Company repurchased 0.7 million shares for $75 million. During the six months ended June 30, 2025, the Company repurchased 1.3 million shares for $125 million. As of June 30, 2025, we had $325 million available for share repurchases under our share repurchase authorization.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Stauch concluded, “Driven by our strong performance in the first half of the year and continued confidence in our resilient business model, we are increasing our sales growth outlook and estimated adjusted EPS range for the full year. We also introduced third quarter guidance reflecting sales growth, margin expansion and adjusted EPS growth. Our Transformation initiatives are on track to deliver expected savings this year and our 80/20 actions are showing early signs of success. As a leader in helping the world move, improve and enjoy water, life’s most essential resource, we are well positioned to capture opportunities from favorable secular trends in water availability, increased awareness of water challenges, aging commercial, public and municipal infrastructure, outdoor healthy living and favorable housing migration.”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updated its estimated 2025 GAAP EPS from continuing operations to approximately $3.95 to $4.05, up 6 percent to 8 percent versus the prior year, and increased estimated EPS on an adjusted basis to approximately $4.75 to $4.85, up 10 percent to 12 percent versus the prior year. The Company updates its estimated full year 2025 sales to be up approximately 1 percent to 2 percent on a reported basis.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introduces estimated third quarter 2025 GAAP EPS from continuing operations guidance of approximately $1.09 to $1.13, up approximately 29 percent to 35 percent compared to the prior year period, and on an adjusted EPS basis of approximately $1.16 to $1.20, up approximately 6 percent to 10 percent compared to the prior year period. The Company expects third quarter sales to be approximately flat to up 1 percent on a reported basis compared to the third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Pentair President and Chief Executive Officer John L. Stauch and Chief Financial Officer Robert P. Fishman will discuss the Company’s second quarter 2025 results on a conference call with investors at 9:00 a.m. Eastern today. A live audio webcast of the call, along with the related presentation, can be accessed in the Investor Relations section of the Company’s website,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 shortly before the call begins.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are set forth in the attachments to this release and in the presentations, each of which can be found on Pentair’s website. The webcast and presentations will be archived at the Company’s website following the conclusion of the event.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our Annual Report on Form 10-K for the year ended December 31, 2024. All forward-looking statements, including all financial forecasts, speak only as of the date of this release. Pentair assumes no obligation, and disclaims any obligation, to update the information contained in this release.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PENTAIR PLC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Pentair, we help the world sustainably move, improve and enjoy water, life’s most essential resource. From our residential and commercial water solutions, to industrial water management and everything in between, Pentair is a core large cap value S&amp;P 500 equity stock focused on smart, sustainable water solutions that help our planet and people thrive.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Pentair had revenue in 2024 of approximately $4.1 billion, and trades under the ticker symbol PNR. With approximately 9,750 global employees serving customers in more than 150 countries, we work to help improve lives and the environment around the world. To learn more, visit </w:t>
      </w:r>
      <w:r>
        <w:rPr>
          <w:rFonts w:ascii="Times New Roman" w:cs="Times New Roman" w:eastAsia="Times New Roman" w:hAnsi="Times New Roman"/>
          <w:sz w:val="18"/>
          <w:szCs w:val="18"/>
          <w:u w:val="single" w:color="auto"/>
          <w:color w:val="auto"/>
        </w:rPr>
        <w:t>www.pentair.com</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PENTAIR CONTACTS</w:t>
            </w: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6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Shelly Hubbard</w:t>
            </w:r>
          </w:p>
        </w:tc>
        <w:tc>
          <w:tcPr>
            <w:tcW w:w="46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Rebecca Osborn</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tc>
        <w:tc>
          <w:tcPr>
            <w:tcW w:w="46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w w:val="99"/>
              </w:rPr>
              <w:t>Vice President, External Communications</w:t>
            </w: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 763-656-5575</w:t>
            </w:r>
          </w:p>
        </w:tc>
        <w:tc>
          <w:tcPr>
            <w:tcW w:w="466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Direct: 763-656-5589</w:t>
            </w:r>
          </w:p>
        </w:tc>
      </w:tr>
      <w:tr>
        <w:trPr>
          <w:trHeight w:val="194"/>
        </w:trPr>
        <w:tc>
          <w:tcPr>
            <w:tcW w:w="4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Email: shelly.hubbard@pentair.com</w:t>
            </w:r>
          </w:p>
        </w:tc>
        <w:tc>
          <w:tcPr>
            <w:tcW w:w="4660" w:type="dxa"/>
            <w:vAlign w:val="bottom"/>
            <w:gridSpan w:val="3"/>
          </w:tcPr>
          <w:p>
            <w:pPr>
              <w:ind w:left="1640"/>
              <w:spacing w:after="0" w:line="194" w:lineRule="exact"/>
              <w:rPr>
                <w:sz w:val="20"/>
                <w:szCs w:val="20"/>
                <w:color w:val="auto"/>
              </w:rPr>
            </w:pPr>
            <w:r>
              <w:rPr>
                <w:rFonts w:ascii="Times New Roman" w:cs="Times New Roman" w:eastAsia="Times New Roman" w:hAnsi="Times New Roman"/>
                <w:sz w:val="18"/>
                <w:szCs w:val="18"/>
                <w:color w:val="auto"/>
              </w:rPr>
              <w:t>Email: rebecca.osborn@pentair.com</w:t>
            </w:r>
          </w:p>
        </w:tc>
      </w:tr>
      <w:tr>
        <w:trPr>
          <w:trHeight w:val="885"/>
        </w:trPr>
        <w:tc>
          <w:tcPr>
            <w:tcW w:w="56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1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(more)</w:t>
            </w:r>
          </w:p>
        </w:tc>
        <w:tc>
          <w:tcPr>
            <w:tcW w:w="2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76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per-share data</w:t>
            </w: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9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2,133.5</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2,116.5</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666.5</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661.4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1,273.6</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1,288.5</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859.9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828.0</w:t>
            </w:r>
          </w:p>
        </w:tc>
        <w:tc>
          <w:tcPr>
            <w:tcW w:w="0" w:type="dxa"/>
            <w:vAlign w:val="bottom"/>
          </w:tcPr>
          <w:p>
            <w:pPr>
              <w:spacing w:after="0"/>
              <w:rPr>
                <w:sz w:val="1"/>
                <w:szCs w:val="1"/>
                <w:color w:val="auto"/>
              </w:rPr>
            </w:pPr>
          </w:p>
        </w:tc>
      </w:tr>
      <w:tr>
        <w:trPr>
          <w:trHeight w:val="214"/>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40.7 %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40.3 %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39.1 %</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390.4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350.3</w:t>
            </w:r>
          </w:p>
        </w:tc>
        <w:tc>
          <w:tcPr>
            <w:tcW w:w="0" w:type="dxa"/>
            <w:vAlign w:val="bottom"/>
          </w:tcPr>
          <w:p>
            <w:pPr>
              <w:spacing w:after="0"/>
              <w:rPr>
                <w:sz w:val="1"/>
                <w:szCs w:val="1"/>
                <w:color w:val="auto"/>
              </w:rPr>
            </w:pPr>
          </w:p>
        </w:tc>
      </w:tr>
      <w:tr>
        <w:trPr>
          <w:trHeight w:val="214"/>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19.0 %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18.3 %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16.6 %</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217.7</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420.8</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19.4 %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22.6 %</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19.7 %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20.3 %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37.6</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 of net sales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2.4 %</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2.5 %</w:t>
            </w: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172.5</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355.4</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374.3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54.7</w:t>
            </w:r>
          </w:p>
        </w:tc>
        <w:tc>
          <w:tcPr>
            <w:tcW w:w="0" w:type="dxa"/>
            <w:vAlign w:val="bottom"/>
          </w:tcPr>
          <w:p>
            <w:pPr>
              <w:spacing w:after="0"/>
              <w:rPr>
                <w:sz w:val="1"/>
                <w:szCs w:val="1"/>
                <w:color w:val="auto"/>
              </w:rPr>
            </w:pPr>
          </w:p>
        </w:tc>
      </w:tr>
      <w:tr>
        <w:trPr>
          <w:trHeight w:val="214"/>
        </w:trPr>
        <w:tc>
          <w:tcPr>
            <w:tcW w:w="5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13.9 %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15.8 %</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14.6 %</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14.6 %</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from continuing operations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148.5</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303.4</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ordinary share</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Basic</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0.90</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Basic earnings per ordinary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0.90</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Diluted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0.90</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Diluted earnings per ordinary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0.90</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ordinary shares outstanding</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164.5</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164.7</w:t>
            </w:r>
          </w:p>
        </w:tc>
        <w:tc>
          <w:tcPr>
            <w:tcW w:w="2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paid per ordinary share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0.25</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0.50</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88"/>
              </w:rPr>
              <w:t>5</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4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short-term borrowings</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Pentair plc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60" w:type="dxa"/>
            <w:vAlign w:val="bottom"/>
          </w:tcPr>
          <w:p>
            <w:pPr>
              <w:spacing w:after="0"/>
              <w:rPr>
                <w:sz w:val="13"/>
                <w:szCs w:val="13"/>
                <w:color w:val="auto"/>
              </w:rPr>
            </w:pPr>
          </w:p>
        </w:tc>
        <w:tc>
          <w:tcPr>
            <w:tcW w:w="1460" w:type="dxa"/>
            <w:vAlign w:val="bottom"/>
          </w:tcPr>
          <w:p>
            <w:pPr>
              <w:jc w:val="right"/>
              <w:ind w:right="539"/>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3"/>
                <w:szCs w:val="13"/>
                <w:color w:val="auto"/>
              </w:rPr>
            </w:pPr>
          </w:p>
        </w:tc>
        <w:tc>
          <w:tcPr>
            <w:tcW w:w="1140" w:type="dxa"/>
            <w:vAlign w:val="bottom"/>
          </w:tcPr>
          <w:p>
            <w:pPr>
              <w:jc w:val="right"/>
              <w:ind w:right="4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to reconcile net income from continuing operations to net cash provided by (used for) operating</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activities of continuing operations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income of unconsolidated subsidiaries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impairment and write-offs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assets and liabilities, net of effects of business acquisitions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9"/>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for operating activities of discontinued operations</w:t>
            </w: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investments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(repayments) receipts of short-term borrowings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of revolving long-term debt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to employees, net of shares withheld</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ordinary shares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cash and cash equivalents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120"/>
          </w:cols>
          <w:pgMar w:left="380" w:top="121"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100" w:type="dxa"/>
            <w:vAlign w:val="bottom"/>
          </w:tcPr>
          <w:p>
            <w:pPr>
              <w:jc w:val="center"/>
              <w:ind w:left="4050"/>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7100" w:type="dxa"/>
            <w:vAlign w:val="bottom"/>
          </w:tcPr>
          <w:p>
            <w:pPr>
              <w:jc w:val="center"/>
              <w:ind w:left="40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60" w:type="dxa"/>
            <w:vAlign w:val="bottom"/>
            <w:gridSpan w:val="5"/>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Reconciliation of the GAAP Operating Activities Cash Flow to the Non-GAAP Free Cash Flow (Unaudited)</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124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4"/>
                <w:szCs w:val="14"/>
                <w:color w:val="auto"/>
              </w:rPr>
            </w:pPr>
          </w:p>
        </w:tc>
        <w:tc>
          <w:tcPr>
            <w:tcW w:w="124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4"/>
                <w:szCs w:val="14"/>
                <w:color w:val="auto"/>
              </w:rPr>
            </w:pPr>
          </w:p>
        </w:tc>
        <w:tc>
          <w:tcPr>
            <w:tcW w:w="120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8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41"/>
        </w:trPr>
        <w:tc>
          <w:tcPr>
            <w:tcW w:w="7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14"/>
                <w:szCs w:val="14"/>
                <w:color w:val="auto"/>
              </w:rPr>
            </w:pPr>
          </w:p>
        </w:tc>
        <w:tc>
          <w:tcPr>
            <w:tcW w:w="124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4"/>
                <w:szCs w:val="14"/>
                <w:color w:val="auto"/>
              </w:rPr>
            </w:pPr>
          </w:p>
        </w:tc>
        <w:tc>
          <w:tcPr>
            <w:tcW w:w="124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4"/>
                <w:szCs w:val="14"/>
                <w:color w:val="auto"/>
              </w:rPr>
            </w:pPr>
          </w:p>
        </w:tc>
        <w:tc>
          <w:tcPr>
            <w:tcW w:w="120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6100" w:type="dxa"/>
            <w:vAlign w:val="bottom"/>
            <w:gridSpan w:val="10"/>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Supplemental Financial Information by Reportable Segment (Unaudited)</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80" w:type="dxa"/>
            <w:vAlign w:val="bottom"/>
          </w:tcPr>
          <w:p>
            <w:pPr>
              <w:spacing w:after="0"/>
              <w:rPr>
                <w:sz w:val="14"/>
                <w:szCs w:val="14"/>
                <w:color w:val="auto"/>
              </w:rPr>
            </w:pPr>
          </w:p>
        </w:tc>
        <w:tc>
          <w:tcPr>
            <w:tcW w:w="10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Second</w:t>
            </w:r>
          </w:p>
        </w:tc>
        <w:tc>
          <w:tcPr>
            <w:tcW w:w="200" w:type="dxa"/>
            <w:vAlign w:val="bottom"/>
          </w:tcPr>
          <w:p>
            <w:pPr>
              <w:spacing w:after="0"/>
              <w:rPr>
                <w:sz w:val="14"/>
                <w:szCs w:val="14"/>
                <w:color w:val="auto"/>
              </w:rPr>
            </w:pPr>
          </w:p>
        </w:tc>
        <w:tc>
          <w:tcPr>
            <w:tcW w:w="100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Six</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14"/>
                <w:szCs w:val="14"/>
                <w:color w:val="auto"/>
              </w:rPr>
            </w:pPr>
          </w:p>
        </w:tc>
        <w:tc>
          <w:tcPr>
            <w:tcW w:w="100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Second</w:t>
            </w:r>
          </w:p>
        </w:tc>
        <w:tc>
          <w:tcPr>
            <w:tcW w:w="220" w:type="dxa"/>
            <w:vAlign w:val="bottom"/>
          </w:tcPr>
          <w:p>
            <w:pPr>
              <w:spacing w:after="0"/>
              <w:rPr>
                <w:sz w:val="14"/>
                <w:szCs w:val="14"/>
                <w:color w:val="auto"/>
              </w:rPr>
            </w:pPr>
          </w:p>
        </w:tc>
        <w:tc>
          <w:tcPr>
            <w:tcW w:w="98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Six</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765.2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781.1</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258.2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583.6</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383.9</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427.2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811.1</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359.5</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net sales</w:t>
            </w: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1,010.0</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1,122.8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2,132.8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1,016.9</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1,098.8</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2,115.7</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2,133.5</w:t>
            </w:r>
          </w:p>
        </w:tc>
        <w:tc>
          <w:tcPr>
            <w:tcW w:w="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2,116.5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Reportable segment income (loss)</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278.7</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270.3</w:t>
            </w:r>
          </w:p>
        </w:tc>
        <w:tc>
          <w:tcPr>
            <w:tcW w:w="18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243.7</w:t>
            </w:r>
          </w:p>
        </w:tc>
        <w:tc>
          <w:tcPr>
            <w:tcW w:w="2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290.9</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534.6</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296.7</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539.2</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sales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22.7 %</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23.5 %</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32.8 %</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return on sales</w:t>
            </w:r>
          </w:p>
        </w:tc>
        <w:tc>
          <w:tcPr>
            <w:tcW w:w="1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24.0 %</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00"/>
          </w:cols>
          <w:pgMar w:left="340" w:top="121"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200" w:type="dxa"/>
            <w:vAlign w:val="bottom"/>
          </w:tcPr>
          <w:p>
            <w:pPr>
              <w:spacing w:after="0"/>
              <w:rPr>
                <w:sz w:val="24"/>
                <w:szCs w:val="24"/>
                <w:color w:val="auto"/>
              </w:rPr>
            </w:pPr>
          </w:p>
        </w:tc>
        <w:tc>
          <w:tcPr>
            <w:tcW w:w="2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980" w:type="dxa"/>
            <w:vAlign w:val="bottom"/>
            <w:gridSpan w:val="9"/>
          </w:tcPr>
          <w:p>
            <w:pPr>
              <w:jc w:val="center"/>
              <w:ind w:left="1172"/>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2025</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40" w:type="dxa"/>
            <w:vAlign w:val="bottom"/>
            <w:gridSpan w:val="7"/>
          </w:tcPr>
          <w:p>
            <w:pPr>
              <w:jc w:val="center"/>
              <w:ind w:left="3312"/>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Forecast</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32"/>
              <w:spacing w:after="0" w:line="169" w:lineRule="exact"/>
              <w:rPr>
                <w:sz w:val="20"/>
                <w:szCs w:val="20"/>
                <w:color w:val="auto"/>
              </w:rPr>
            </w:pPr>
            <w:r>
              <w:rPr>
                <w:rFonts w:ascii="Times New Roman" w:cs="Times New Roman" w:eastAsia="Times New Roman" w:hAnsi="Times New Roman"/>
                <w:sz w:val="18"/>
                <w:szCs w:val="18"/>
                <w:b w:val="1"/>
                <w:bCs w:val="1"/>
                <w:color w:val="auto"/>
              </w:rPr>
              <w:t>First</w:t>
            </w:r>
          </w:p>
        </w:tc>
        <w:tc>
          <w:tcPr>
            <w:tcW w:w="160" w:type="dxa"/>
            <w:vAlign w:val="bottom"/>
          </w:tcPr>
          <w:p>
            <w:pPr>
              <w:spacing w:after="0"/>
              <w:rPr>
                <w:sz w:val="14"/>
                <w:szCs w:val="14"/>
                <w:color w:val="auto"/>
              </w:rPr>
            </w:pPr>
          </w:p>
        </w:tc>
        <w:tc>
          <w:tcPr>
            <w:tcW w:w="1000" w:type="dxa"/>
            <w:vAlign w:val="bottom"/>
          </w:tcPr>
          <w:p>
            <w:pPr>
              <w:jc w:val="right"/>
              <w:ind w:right="292"/>
              <w:spacing w:after="0" w:line="169" w:lineRule="exact"/>
              <w:rPr>
                <w:sz w:val="20"/>
                <w:szCs w:val="20"/>
                <w:color w:val="auto"/>
              </w:rPr>
            </w:pPr>
            <w:r>
              <w:rPr>
                <w:rFonts w:ascii="Times New Roman" w:cs="Times New Roman" w:eastAsia="Times New Roman" w:hAnsi="Times New Roman"/>
                <w:sz w:val="18"/>
                <w:szCs w:val="18"/>
                <w:b w:val="1"/>
                <w:bCs w:val="1"/>
                <w:color w:val="auto"/>
              </w:rPr>
              <w:t>Second</w:t>
            </w:r>
          </w:p>
        </w:tc>
        <w:tc>
          <w:tcPr>
            <w:tcW w:w="800" w:type="dxa"/>
            <w:vAlign w:val="bottom"/>
          </w:tcPr>
          <w:p>
            <w:pPr>
              <w:spacing w:after="0"/>
              <w:rPr>
                <w:sz w:val="14"/>
                <w:szCs w:val="14"/>
                <w:color w:val="auto"/>
              </w:rPr>
            </w:pPr>
          </w:p>
        </w:tc>
        <w:tc>
          <w:tcPr>
            <w:tcW w:w="1380" w:type="dxa"/>
            <w:vAlign w:val="bottom"/>
          </w:tcPr>
          <w:p>
            <w:pPr>
              <w:jc w:val="right"/>
              <w:ind w:right="850"/>
              <w:spacing w:after="0" w:line="169" w:lineRule="exact"/>
              <w:rPr>
                <w:sz w:val="20"/>
                <w:szCs w:val="20"/>
                <w:color w:val="auto"/>
              </w:rPr>
            </w:pPr>
            <w:r>
              <w:rPr>
                <w:rFonts w:ascii="Times New Roman" w:cs="Times New Roman" w:eastAsia="Times New Roman" w:hAnsi="Times New Roman"/>
                <w:sz w:val="18"/>
                <w:szCs w:val="18"/>
                <w:b w:val="1"/>
                <w:bCs w:val="1"/>
                <w:color w:val="auto"/>
                <w:w w:val="93"/>
              </w:rPr>
              <w:t>Third</w:t>
            </w:r>
          </w:p>
        </w:tc>
        <w:tc>
          <w:tcPr>
            <w:tcW w:w="760" w:type="dxa"/>
            <w:vAlign w:val="bottom"/>
          </w:tcPr>
          <w:p>
            <w:pPr>
              <w:spacing w:after="0"/>
              <w:rPr>
                <w:sz w:val="14"/>
                <w:szCs w:val="14"/>
                <w:color w:val="auto"/>
              </w:rPr>
            </w:pPr>
          </w:p>
        </w:tc>
        <w:tc>
          <w:tcPr>
            <w:tcW w:w="1260" w:type="dxa"/>
            <w:vAlign w:val="bottom"/>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18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1,123.1</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Flat - Up 1%</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1% - 2%</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217.7</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Up 30% - 34%</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9% - 12%</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19.4 %</w:t>
            </w: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approx $</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12.5</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14.3</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41.8</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242.5</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296.7</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Up 4% - 7%</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7% - 9%</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24.0 %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i w:val="1"/>
                <w:iCs w:val="1"/>
                <w:color w:val="auto"/>
              </w:rPr>
              <w:t>26.4 %</w:t>
            </w: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148.5</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$181 - $187</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$656 - $672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26.3</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tcPr>
          <w:p>
            <w:pPr>
              <w:spacing w:after="0"/>
              <w:rPr>
                <w:sz w:val="19"/>
                <w:szCs w:val="19"/>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79.0</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(23.3)</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230.5</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$193 - $199</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$789 - $805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0.90</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$1.09 - $1.13</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 $4.05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0.49</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1.39</w:t>
            </w: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approx</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$1.16 - $1.20</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approx</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$4.75 - $4.85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4460" w:type="dxa"/>
            <w:vAlign w:val="bottom"/>
          </w:tcPr>
          <w:p>
            <w:pPr>
              <w:spacing w:after="0"/>
              <w:rPr>
                <w:sz w:val="24"/>
                <w:szCs w:val="24"/>
                <w:color w:val="auto"/>
              </w:rPr>
            </w:pPr>
          </w:p>
        </w:tc>
        <w:tc>
          <w:tcPr>
            <w:tcW w:w="3140" w:type="dxa"/>
            <w:vAlign w:val="bottom"/>
            <w:gridSpan w:val="4"/>
          </w:tcPr>
          <w:p>
            <w:pPr>
              <w:jc w:val="center"/>
              <w:ind w:right="732"/>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20" w:type="dxa"/>
            <w:vAlign w:val="bottom"/>
            <w:gridSpan w:val="9"/>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Reconciliation of GAAP to Non-GAAP Financial Measures for the Year Ending December 31, 2024</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00" w:type="dxa"/>
            <w:vAlign w:val="bottom"/>
            <w:gridSpan w:val="5"/>
          </w:tcPr>
          <w:p>
            <w:pPr>
              <w:jc w:val="center"/>
              <w:ind w:left="3551"/>
              <w:spacing w:after="0"/>
              <w:rPr>
                <w:sz w:val="20"/>
                <w:szCs w:val="20"/>
                <w:color w:val="auto"/>
              </w:rPr>
            </w:pPr>
            <w:r>
              <w:rPr>
                <w:rFonts w:ascii="Times New Roman" w:cs="Times New Roman" w:eastAsia="Times New Roman" w:hAnsi="Times New Roman"/>
                <w:sz w:val="18"/>
                <w:szCs w:val="18"/>
                <w:b w:val="1"/>
                <w:bCs w:val="1"/>
                <w:color w:val="auto"/>
                <w:w w:val="99"/>
              </w:rPr>
              <w:t>Excluding the Effect of Adjustments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920" w:type="dxa"/>
            <w:vAlign w:val="bottom"/>
          </w:tcPr>
          <w:p>
            <w:pPr>
              <w:spacing w:after="0"/>
              <w:rPr>
                <w:sz w:val="24"/>
                <w:szCs w:val="24"/>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00" w:type="dxa"/>
            <w:vAlign w:val="bottom"/>
          </w:tcPr>
          <w:p>
            <w:pPr>
              <w:spacing w:after="0"/>
              <w:rPr>
                <w:sz w:val="24"/>
                <w:szCs w:val="24"/>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0" w:type="dxa"/>
            <w:vAlign w:val="bottom"/>
          </w:tcPr>
          <w:p>
            <w:pPr>
              <w:spacing w:after="0"/>
              <w:rPr>
                <w:sz w:val="24"/>
                <w:szCs w:val="24"/>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Third</w:t>
            </w:r>
          </w:p>
        </w:tc>
        <w:tc>
          <w:tcPr>
            <w:tcW w:w="18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26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Full</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1,017.2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1,099.3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993.4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972.9</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4,082.8</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248.0</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803.8</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Return on sales</w:t>
            </w: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17.8 %</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22.6 %</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18.1 %</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20.1 %</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19.7 %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other</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Transformation costs</w:t>
            </w:r>
          </w:p>
        </w:tc>
        <w:tc>
          <w:tcPr>
            <w:tcW w:w="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Intangible amortization</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92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9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217.3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271.4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231.3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196"/>
        </w:trPr>
        <w:tc>
          <w:tcPr>
            <w:tcW w:w="446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Adjusted return on sales</w:t>
            </w:r>
          </w:p>
        </w:tc>
        <w:tc>
          <w:tcPr>
            <w:tcW w:w="9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21.4 %</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24.7 %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24.1 %</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23.8 %</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23.5 %</w:t>
            </w: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reported</w:t>
            </w:r>
          </w:p>
        </w:tc>
        <w:tc>
          <w:tcPr>
            <w:tcW w:w="9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139.6</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166.4</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30"/>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Pension and other post retirement mark to market gain</w:t>
            </w:r>
          </w:p>
        </w:tc>
        <w:tc>
          <w:tcPr>
            <w:tcW w:w="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Adjustments to operating income</w:t>
            </w:r>
          </w:p>
        </w:tc>
        <w:tc>
          <w:tcPr>
            <w:tcW w:w="92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9"/>
                <w:szCs w:val="19"/>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adjustments</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operations—as adjusted</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Continuing earnings per ordinary share—diluted</w:t>
            </w:r>
          </w:p>
        </w:tc>
        <w:tc>
          <w:tcPr>
            <w:tcW w:w="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reported</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share—as adjusted</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0.94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506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99"/>
              </w:rPr>
              <w:t>11</w:t>
            </w:r>
          </w:p>
        </w:tc>
        <w:tc>
          <w:tcPr>
            <w:tcW w:w="1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801"/>
        </w:trPr>
        <w:tc>
          <w:tcPr>
            <w:tcW w:w="1820" w:type="dxa"/>
            <w:vAlign w:val="bottom"/>
          </w:tcPr>
          <w:p>
            <w:pPr>
              <w:spacing w:after="0"/>
              <w:rPr>
                <w:sz w:val="24"/>
                <w:szCs w:val="24"/>
                <w:color w:val="auto"/>
              </w:rPr>
            </w:pPr>
          </w:p>
        </w:tc>
        <w:tc>
          <w:tcPr>
            <w:tcW w:w="5060" w:type="dxa"/>
            <w:vAlign w:val="bottom"/>
            <w:gridSpan w:val="2"/>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9"/>
        </w:trPr>
        <w:tc>
          <w:tcPr>
            <w:tcW w:w="1820" w:type="dxa"/>
            <w:vAlign w:val="bottom"/>
          </w:tcPr>
          <w:p>
            <w:pPr>
              <w:spacing w:after="0"/>
              <w:rPr>
                <w:sz w:val="19"/>
                <w:szCs w:val="19"/>
                <w:color w:val="auto"/>
              </w:rPr>
            </w:pPr>
          </w:p>
        </w:tc>
        <w:tc>
          <w:tcPr>
            <w:tcW w:w="810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Reconciliation of Net Sales Growth to Core Net Sales Growth by Reportable Segment</w:t>
            </w:r>
          </w:p>
        </w:tc>
        <w:tc>
          <w:tcPr>
            <w:tcW w:w="1320" w:type="dxa"/>
            <w:vAlign w:val="bottom"/>
          </w:tcPr>
          <w:p>
            <w:pPr>
              <w:spacing w:after="0"/>
              <w:rPr>
                <w:sz w:val="19"/>
                <w:szCs w:val="19"/>
                <w:color w:val="auto"/>
              </w:rPr>
            </w:pPr>
          </w:p>
        </w:tc>
      </w:tr>
      <w:tr>
        <w:trPr>
          <w:trHeight w:val="238"/>
        </w:trPr>
        <w:tc>
          <w:tcPr>
            <w:tcW w:w="1820" w:type="dxa"/>
            <w:vAlign w:val="bottom"/>
          </w:tcPr>
          <w:p>
            <w:pPr>
              <w:spacing w:after="0"/>
              <w:rPr>
                <w:sz w:val="20"/>
                <w:szCs w:val="20"/>
                <w:color w:val="auto"/>
              </w:rPr>
            </w:pPr>
          </w:p>
        </w:tc>
        <w:tc>
          <w:tcPr>
            <w:tcW w:w="65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For the Quarter Ended June 30, 2025 (Unaudited)</w:t>
            </w: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3"/>
        </w:trPr>
        <w:tc>
          <w:tcPr>
            <w:tcW w:w="18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Q2 Net Sales Growth</w:t>
            </w:r>
          </w:p>
        </w:tc>
        <w:tc>
          <w:tcPr>
            <w:tcW w:w="1320" w:type="dxa"/>
            <w:vAlign w:val="bottom"/>
            <w:tcBorders>
              <w:bottom w:val="single" w:sz="8" w:color="auto"/>
            </w:tcBorders>
          </w:tcPr>
          <w:p>
            <w:pPr>
              <w:spacing w:after="0"/>
              <w:rPr>
                <w:sz w:val="24"/>
                <w:szCs w:val="24"/>
                <w:color w:val="auto"/>
              </w:rPr>
            </w:pPr>
          </w:p>
        </w:tc>
      </w:tr>
      <w:tr>
        <w:trPr>
          <w:trHeight w:val="223"/>
        </w:trPr>
        <w:tc>
          <w:tcPr>
            <w:tcW w:w="18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Core</w:t>
            </w:r>
          </w:p>
        </w:tc>
        <w:tc>
          <w:tcPr>
            <w:tcW w:w="15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Acq. / Div.</w:t>
            </w: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Pentair</w:t>
            </w:r>
          </w:p>
        </w:tc>
        <w:tc>
          <w:tcPr>
            <w:tcW w:w="5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1.3 %</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0.7 %</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0.2 %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r>
      <w:tr>
        <w:trPr>
          <w:trHeight w:val="229"/>
        </w:trPr>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w:t>
            </w:r>
          </w:p>
        </w:tc>
        <w:tc>
          <w:tcPr>
            <w:tcW w:w="5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 %</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1.4 %</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 Solutions</w:t>
            </w:r>
          </w:p>
        </w:tc>
        <w:tc>
          <w:tcPr>
            <w:tcW w:w="5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 %</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0.6 %</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Pool</w:t>
            </w:r>
          </w:p>
        </w:tc>
        <w:tc>
          <w:tcPr>
            <w:tcW w:w="5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7.3 %</w:t>
            </w: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2025-07-22T05:57:09Z</dcterms:created>
  <dcterms:modified xsi:type="dcterms:W3CDTF">2025-07-22T05:57:09Z</dcterms:modified>
</cp:coreProperties>
</file>