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572135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left="4300" w:right="142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-30480</wp:posOffset>
            </wp:positionV>
            <wp:extent cx="197167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228"/>
        </w:trPr>
        <w:tc>
          <w:tcPr>
            <w:tcW w:w="59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180" w:type="dxa"/>
            <w:vAlign w:val="bottom"/>
          </w:tcPr>
          <w:p>
            <w:pPr>
              <w:spacing w:after="0"/>
              <w:rPr>
                <w:sz w:val="19"/>
                <w:szCs w:val="19"/>
                <w:color w:val="auto"/>
              </w:rPr>
            </w:pPr>
          </w:p>
        </w:tc>
        <w:tc>
          <w:tcPr>
            <w:tcW w:w="4100" w:type="dxa"/>
            <w:vAlign w:val="bottom"/>
            <w:gridSpan w:val="2"/>
          </w:tcPr>
          <w:p>
            <w:pPr>
              <w:jc w:val="center"/>
              <w:ind w:right="12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9"/>
        </w:trPr>
        <w:tc>
          <w:tcPr>
            <w:tcW w:w="41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London,</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TW13QS</w:t>
            </w:r>
          </w:p>
        </w:tc>
        <w:tc>
          <w:tcPr>
            <w:tcW w:w="3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4140" w:type="dxa"/>
            <w:vAlign w:val="bottom"/>
          </w:tcPr>
          <w:p>
            <w:pPr>
              <w:spacing w:after="0"/>
              <w:rPr>
                <w:sz w:val="19"/>
                <w:szCs w:val="19"/>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September 30, 2026, 159,654,682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5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6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80" w:type="dxa"/>
            <w:vAlign w:val="bottom"/>
            <w:gridSpan w:val="1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6"/>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20" w:type="dxa"/>
            <w:vAlign w:val="bottom"/>
            <w:gridSpan w:val="3"/>
          </w:tcPr>
          <w:p>
            <w:pPr>
              <w:jc w:val="center"/>
              <w:ind w:left="443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60" w:type="dxa"/>
            <w:vAlign w:val="bottom"/>
            <w:gridSpan w:val="8"/>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145.1</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446.1</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52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$5.2 and $6.8, respectively</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159.7 and 163.2 issued at September 30, 2026 and</w:t>
            </w: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5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bridge financing fees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repayments of short-term borrowings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(repayments) borrowings of revolving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40" w:type="dxa"/>
            <w:vAlign w:val="bottom"/>
          </w:tcPr>
          <w:p>
            <w:pPr>
              <w:spacing w:after="0"/>
              <w:rPr>
                <w:sz w:val="16"/>
                <w:szCs w:val="16"/>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6"/>
                <w:szCs w:val="16"/>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6"/>
                <w:szCs w:val="16"/>
                <w:color w:val="auto"/>
              </w:rPr>
            </w:pPr>
          </w:p>
        </w:tc>
        <w:tc>
          <w:tcPr>
            <w:tcW w:w="14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820" w:type="dxa"/>
            <w:vAlign w:val="bottom"/>
            <w:tcBorders>
              <w:bottom w:val="single" w:sz="8" w:color="auto"/>
            </w:tcBorders>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40" w:type="dxa"/>
            <w:vAlign w:val="bottom"/>
            <w:gridSpan w:val="2"/>
            <w:vMerge w:val="restart"/>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
                <w:szCs w:val="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$0.27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$0.27 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3,036.9</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$0.27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3,139.0</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80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5"/>
                <w:szCs w:val="15"/>
                <w:color w:val="auto"/>
              </w:rPr>
            </w:pPr>
          </w:p>
        </w:tc>
        <w:tc>
          <w:tcPr>
            <w:tcW w:w="10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4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0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restart"/>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39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$0.25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6"/>
        </w:trPr>
        <w:tc>
          <w:tcPr>
            <w:tcW w:w="3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$0.25 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$0.25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5"/>
        </w:trPr>
        <w:tc>
          <w:tcPr>
            <w:tcW w:w="3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or “Pentair”)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2025.</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The applicable prior period amounts related to this change have been retrospectively reclassified to conform to the new composition. These changes have no impact on the Company’s historical consolidated financial performance or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reportable segment, geographic location and vertical market, as we believe these factors best depict how the nature, amount, timing and uncertainty of our revenue and cash flows are affected by economic factors. Refer to Note 15 for revenue disaggregated by reportable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976.4</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1,022.0</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2,945.7</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Developing primarily includes China, Latin America, the Middle East and Southeast Asia.</w:t>
      </w:r>
    </w:p>
    <w:p>
      <w:pPr>
        <w:spacing w:after="0" w:line="65"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Developed primarily includes Australia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had $94.8 million of remaining performance obligations on contracts with an original expected duration of one year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the majority of our remaining performance obligations on these contracts within the next 12 to 18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$11.7 million increase in net contract assets from December 31, 2025 to September 30, 2026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95% of our contract liabilities at December 31, 2025 were recognized in revenue in the first nine months of 2026.</w:t>
      </w:r>
    </w:p>
    <w:p>
      <w:pPr>
        <w:spacing w:after="0" w:line="230"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1, 2026, as part of our Water Solutions reportable segment, we acquired the issued and outstanding equity securities of Taco Group Holdings (“Taco”) for a purchase price of $1.425 billion, subject to customary adjustments. Taco manufactures hydronic and water-driven solutions, providing innovative, sustainable, and high-performance products for the HVAC, plumbing, and industrial sectors. The acquisition of Taco allows us to provide a more comprehensive suite of water solutions and enhanced development capabilities to benefit our customers across commercial, industrial and residential applications. We funded this acquisition through a combination of cash on hand and debt financing. See Note 10 for further discussion of the debt financing completed during the quarter and on the acquisition closing date.</w:t>
      </w:r>
    </w:p>
    <w:p>
      <w:pPr>
        <w:spacing w:after="0" w:line="1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filing date of this Quarterly Report, the initial accounting and preliminary purchase price allocation for the acquisition is incomplete. We are continuing to evaluate information relating to acquired working capital, tangible and identifiable intangible assets, assumed liabilities, goodwill and income tax matters. As a result, certain disclosures required under accounting standards codification (“ASC”) 805 are not yet available.</w:t>
      </w:r>
    </w:p>
    <w:p>
      <w:pPr>
        <w:spacing w:after="0" w:line="11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and nine months ended September 30, 2026 and 2025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2026, we issued our annual share-based compensation grants under the Pentair plc 2020 Share and Incentive Plan to eligible employees. The total number of awards issued was approximately 0.4 million, of which 0.2 million were restricted stock units (“RSUs”), 0.1 million were stock options and 0.1 million were performance share units (“PSUs”). The weighted-average grant date fair value of the RSUs, stock options and PSUs issued was $99.59, $37.31 and $103.78,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initiated and continued execution of activities associated with our Transformation Program as well as initiated and continued certain business restructuring initiatives aimed at reducing our fixed cost structure and realigning our business. Restructuring initiatives included a reduction in hourly and salaried headcount of approximately 350 employees during the nine months ended September 30, 2026.</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expense in the Condensed Consolidated Statements of Operations and Comprehensive Income included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right="20" w:hanging="154"/>
        <w:spacing w:after="0" w:line="206" w:lineRule="auto"/>
        <w:tabs>
          <w:tab w:leader="none" w:pos="21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Other restructuring costs and related adjustments primarily consist of certain accruals and related refinements as well as various contract termination costs, asset impairments and inventory write-offs associated with business and product line exits.</w:t>
      </w:r>
    </w:p>
    <w:p>
      <w:pPr>
        <w:ind w:left="200" w:hanging="174"/>
        <w:spacing w:after="0" w:line="217"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transformation costs primarily consist of professional services and project management related costs.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as well as Corporate and other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associated with restructuring and transformation activities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is summarized as follows for the nine months ended September 30, 2026:</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145.1</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434.5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184"/>
        </w:trPr>
        <w:tc>
          <w:tcPr>
            <w:tcW w:w="5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Dilutive impact of stock options, restricted stock units and</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Anti-dilutive stock options excluded from the calculation of</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review our allowance for credit losses on a quarterly basis. Write-offs are recorded at the time all collection efforts have been exhausted. We generally do not require collateral.</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nine months ended September 30, 2026:</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6.8</w:t>
            </w:r>
          </w:p>
        </w:tc>
        <w:tc>
          <w:tcPr>
            <w:tcW w:w="0" w:type="dxa"/>
            <w:vAlign w:val="bottom"/>
          </w:tcPr>
          <w:p>
            <w:pPr>
              <w:spacing w:after="0"/>
              <w:rPr>
                <w:sz w:val="1"/>
                <w:szCs w:val="1"/>
                <w:color w:val="auto"/>
              </w:rPr>
            </w:pP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benefit</w:t>
            </w:r>
          </w:p>
        </w:tc>
        <w:tc>
          <w:tcPr>
            <w:tcW w:w="560" w:type="dxa"/>
            <w:vAlign w:val="bottom"/>
          </w:tcPr>
          <w:p>
            <w:pPr>
              <w:spacing w:after="0"/>
              <w:rPr>
                <w:sz w:val="19"/>
                <w:szCs w:val="19"/>
                <w:color w:val="auto"/>
              </w:rPr>
            </w:pPr>
          </w:p>
        </w:tc>
        <w:tc>
          <w:tcPr>
            <w:tcW w:w="13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5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9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5.2</w:t>
            </w:r>
          </w:p>
        </w:tc>
        <w:tc>
          <w:tcPr>
            <w:tcW w:w="0" w:type="dxa"/>
            <w:vAlign w:val="bottom"/>
          </w:tcPr>
          <w:p>
            <w:pPr>
              <w:spacing w:after="0"/>
              <w:rPr>
                <w:sz w:val="1"/>
                <w:szCs w:val="1"/>
                <w:color w:val="auto"/>
              </w:rPr>
            </w:pPr>
          </w:p>
        </w:tc>
      </w:tr>
      <w:tr>
        <w:trPr>
          <w:trHeight w:val="20"/>
        </w:trPr>
        <w:tc>
          <w:tcPr>
            <w:tcW w:w="9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Supplemental Balance Sheet Information</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8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92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current assets</w:t>
            </w: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in excess of billings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rebates and incentives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in excess of cost</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liability</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and interest rate contract liabilities</w:t>
            </w:r>
          </w:p>
        </w:tc>
        <w:tc>
          <w:tcPr>
            <w:tcW w:w="2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60" w:type="dxa"/>
            <w:vAlign w:val="bottom"/>
          </w:tcPr>
          <w:p>
            <w:pPr>
              <w:spacing w:after="0"/>
              <w:rPr>
                <w:sz w:val="17"/>
                <w:szCs w:val="17"/>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 xml:space="preserve">Reallocation </w:t>
            </w:r>
            <w:r>
              <w:rPr>
                <w:rFonts w:ascii="Times New Roman" w:cs="Times New Roman" w:eastAsia="Times New Roman" w:hAnsi="Times New Roman"/>
                <w:sz w:val="23"/>
                <w:szCs w:val="23"/>
                <w:b w:val="1"/>
                <w:bCs w:val="1"/>
                <w:color w:val="auto"/>
                <w:w w:val="99"/>
                <w:vertAlign w:val="superscript"/>
              </w:rPr>
              <w:t>(1)</w:t>
            </w:r>
          </w:p>
        </w:tc>
        <w:tc>
          <w:tcPr>
            <w:tcW w:w="260" w:type="dxa"/>
            <w:vAlign w:val="bottom"/>
          </w:tcPr>
          <w:p>
            <w:pPr>
              <w:spacing w:after="0"/>
              <w:rPr>
                <w:sz w:val="17"/>
                <w:szCs w:val="17"/>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200" w:type="dxa"/>
            <w:vAlign w:val="bottom"/>
          </w:tcPr>
          <w:p>
            <w:pPr>
              <w:spacing w:after="0"/>
              <w:rPr>
                <w:sz w:val="17"/>
                <w:szCs w:val="17"/>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20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0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0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80" w:hanging="172"/>
        <w:spacing w:after="0"/>
        <w:tabs>
          <w:tab w:leader="none" w:pos="18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first quarter of 2026, we reorganized the composition of our reportable segments, as disclosed in Note 1, which resulted in a change to our reporting unit structure. A quantitative assessment was performed for the impacted reporting units, using the income and market approaches. The estimated fair values of the impacted reporting units significantly exceeded the carrying values, and therefore, no impairment charge was recorded. As a result of the assessment, we reallocated $44.2 million of goodwill from the Flow segment to the Water Solutions segment based on the relative fair values of the impacted reporting units. In addition, $282.1 million was reallocated from the Flow segment to the Water Solutions segment prospectively to conform to the new segment composition.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124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5"/>
                <w:szCs w:val="15"/>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124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5"/>
                <w:szCs w:val="15"/>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 amortization expense was $15.1 million and $13.9 million for the three months ended September 30, 2026 and 2025, and $46.5 million and $42.4 million for the nine months ended September 30, 2026 and 2025,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 impairment charge was recorded for identifiable intangible assets during the three and nine months ended September 30, 2026 or the three months ended September 30, 2025. An impairment charge of $30.9 million was recorded during the nine months ended September 30, 2025 related to the write-off of a definite-lived customer relationship intangible asset resulting from a business exit within our Water Solutions segment during the second quarter of 2025. The impairment charge was recorded in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expense in the Condensed Consolidated Statements of Operations and Comprehensive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2026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2031</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Estimated amortization expense </w:t>
            </w:r>
            <w:r>
              <w:rPr>
                <w:rFonts w:ascii="Times New Roman" w:cs="Times New Roman" w:eastAsia="Times New Roman" w:hAnsi="Times New Roman"/>
                <w:sz w:val="10"/>
                <w:szCs w:val="10"/>
                <w:color w:val="auto"/>
              </w:rPr>
              <w:t>(1)</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bl>
    <w:p>
      <w:pPr>
        <w:spacing w:after="0" w:line="148" w:lineRule="exact"/>
        <w:rPr>
          <w:sz w:val="20"/>
          <w:szCs w:val="20"/>
          <w:color w:val="auto"/>
        </w:rPr>
      </w:pPr>
    </w:p>
    <w:p>
      <w:pPr>
        <w:ind w:left="180" w:hanging="172"/>
        <w:spacing w:after="0" w:line="225" w:lineRule="auto"/>
        <w:tabs>
          <w:tab w:leader="none" w:pos="18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amortization expense does not include the impact of the Taco acquisition on October 1, 2026 as the initial accounting and preliminary purchase price allocation for the acquisition is incomplete.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Average interest rate as of</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8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2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8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4.972%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 (Senior Credit Facility)</w:t>
            </w:r>
          </w:p>
        </w:tc>
        <w:tc>
          <w:tcPr>
            <w:tcW w:w="2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4.945%</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2027-2030</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Term Loan Facility</w:t>
            </w:r>
          </w:p>
        </w:tc>
        <w:tc>
          <w:tcPr>
            <w:tcW w:w="28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4.500%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5.900%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debt</w:t>
            </w:r>
          </w:p>
        </w:tc>
        <w:tc>
          <w:tcPr>
            <w:tcW w:w="28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1,484.1</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May 2025 and May 2026, providing for a $900.0 million senior unsecured revolving credit facility and a $500.0 million senior unsecured term loan facility. The revolving credit and term loan facilities have a maturity date of May 5, 2030. The term loan facility has required quarterly installment payments of $3.1 million beginning on the last day of the second quarter of 2027 and increasing to $6.3 million beginning with the last day of the second quarter of 2028.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total availability under the Senior Credit Facility, including the impact of a financial stand-by letter of credit associated with the Taco acquisition, was $698.3 million. Additionally,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definitive agreement to acquire Taco, PFSA entered into a commitment letter, dated July 27, 2026 (the “Commitment Letter”), pursuant to which, among other things, the lender committed to provide debt financing for the acquisition of Taco, consisting of a senior unsecured bridge facility of $1.4 billion (the “Bridge Facility”), on the terms and subject to the conditions set forth in the Commitment Letter. The Bridge Facility was subject to mandatory reduction and prepayment for 100% of the net cash proceeds from the issuance of any debt and other of our securities and other specified events, subject to certain exceptions.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2026, Pentair, PFSA and Pentair, Inc. entered into a Credit Agreement among PFSA as borrower, Pentair and Pentair, Inc. as guarantors, and the lenders and agents party thereto, providing for a $400.0 million senior unsecured tranche 1 delayed-draw term loan facility (the “Tranche 1 Term Loan Facility”) and a $1.0 billion senior unsecured tranche 2 delayed-draw term loan facility (the “Tranche 2 Term Loan Facility”; together with the Tranche 1 Term Loan Facility, the “Term Loan Facilities”; together with the Senior Credit Facility, the “Credit Facilities”), for an aggregate principal amount of $1.4 billion. The Tranche 1 Term Loan Facility will mature on April 1, 2028, while the Tranche 2 Term Loan Facility will mature on May 5, 2030. The Tranche 2 Term Loan Facility has required quarterly principal installment payments of $6.3 million beginning on the last day of the first quarter of 2028 and increasing to $12.5 million beginning with the last day of the first quarter of 2029. Borrowings under the Term Loan Facilities bear interest at a rate equal to an adjusted base rate or adjusted term secured overnight financing rate, plus, in each case, an applicable margin. The applicable margin is based on, at PFSA’s election, Pentair’s leverage level or PFSA’s public credit rating. No loans were outstanding under the Term Loan Facilities as of September 30, 2026.</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 2026, the aggregate principal amount of the commitments under the Term Loan Facilities replaced the corresponding amount of the commitments in respect of the Bridge Facility in accordance with the terms of the Commitment Letter. As a result, there were no remaining commitments under the Bridge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2026, upon the closing of the Taco acquisition, PFSA borrowed the full $1.4 billion aggregate principal amount available under the Term Loan Facilities. The proceeds were utilized to finance a portion of the purchase price in the Taco acquisition and pay related fees and expenses.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Pentair and PFSA were parties to a senior unsecured term loan facility (the “Prior Term Loan Facility”), with PFSA as borrower and Pentair as guarantor providing for an aggregate principal amount of $1.0 billion and a maturity date of July 28, 2027. In May 2026, PFSA repaid the remaining $575.0 million outstanding under the Prior Term Loan Facility using proceeds from borrowings under the amended Senior Credit Facility, and the Prior Term Loan Facility was terminated.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Credit Facilities. Each of the Credit Facilities contains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cash interest expense, for the same period to be less than 3.00 to 1.00 as of the end of each fiscal quarter. For purposes of the Leverage Ratio, each of the Credit Facilities provides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Credit Facilities, we have various other credit facilities with an aggregate availability of $21.2 million, of which there were no outstanding borrowings at September 30, 2026. Borrowings under these credit facilities bear interest at variable rates.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$6.3 million of payments due in the next twelve months under the term loan facility of the Senior Credit Facility. We classified this debt as long-term as of September 30, 2026, as we have the intent and ability to refinance such obligation on a long-term basis utilizing the Senior Credit Facility’s revolving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September 30, 2026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1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r>
    </w:tbl>
    <w:p>
      <w:pPr>
        <w:spacing w:after="0" w:line="248" w:lineRule="exact"/>
        <w:rPr>
          <w:sz w:val="20"/>
          <w:szCs w:val="20"/>
          <w:color w:val="auto"/>
        </w:rPr>
      </w:pPr>
    </w:p>
    <w:p>
      <w:pPr>
        <w:ind w:right="7880" w:firstLine="8"/>
        <w:spacing w:after="0" w:line="263" w:lineRule="auto"/>
        <w:tabs>
          <w:tab w:leader="none" w:pos="39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Derivatives and Financial Instruments </w:t>
      </w:r>
      <w:r>
        <w:rPr>
          <w:rFonts w:ascii="Times New Roman" w:cs="Times New Roman" w:eastAsia="Times New Roman" w:hAnsi="Times New Roman"/>
          <w:sz w:val="18"/>
          <w:szCs w:val="18"/>
          <w:b w:val="1"/>
          <w:bCs w:val="1"/>
          <w:i w:val="1"/>
          <w:iCs w:val="1"/>
          <w:color w:val="auto"/>
        </w:rPr>
        <w:t>Derivative financial instruments</w:t>
      </w:r>
    </w:p>
    <w:p>
      <w:pPr>
        <w:jc w:val="both"/>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we had outstanding foreign currency derivative contracts with gross notional U.S. dollar equivalent amounts of $29.7 million and $23.2 million, respectively. The impact of these contracts on the Condensed Consolidated Statements of Operations and Comprehensive Income was not material for any period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September 30, 2026 and December 31, 2025, we had outstanding cross currency swap agreements with a combined notional amount of $1.0 billion and $1.1 billion,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$49.5 million and $68.0 million at September 30, 2026 and December 31, 2025,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September 30, 2026, we had an aggregate notional amount of $200.0 million in interest rate collars that are designated as cash flow hedges. The $300.0 million aggregate notional amount of interest rate swaps, previously designated as cash flow hedges, expired on April 15, 2026.</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and collars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Condensed Consolidated Balance Sheets. We had an unrealized gain of $0.7 million at September 30, 2026 and an unrealized loss of $0.2 million at December 31, 2025,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interest rate swap and collar activity. The periodic interest settlements related to our interest rate swaps and collars are classified as operating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500" w:hanging="330"/>
        <w:spacing w:after="0" w:line="284" w:lineRule="auto"/>
        <w:tabs>
          <w:tab w:leader="none" w:pos="4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color w:val="auto"/>
        </w:rPr>
      </w:pPr>
    </w:p>
    <w:p>
      <w:pPr>
        <w:ind w:left="500" w:hanging="330"/>
        <w:spacing w:after="0" w:line="284" w:lineRule="auto"/>
        <w:tabs>
          <w:tab w:leader="none" w:pos="4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color w:val="auto"/>
        </w:rPr>
      </w:pPr>
    </w:p>
    <w:p>
      <w:pPr>
        <w:jc w:val="both"/>
        <w:ind w:left="500" w:hanging="330"/>
        <w:spacing w:after="0" w:line="267" w:lineRule="auto"/>
        <w:tabs>
          <w:tab w:leader="none" w:pos="4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w:t>
      </w:r>
    </w:p>
    <w:p>
      <w:pPr>
        <w:spacing w:after="0" w:line="119" w:lineRule="exact"/>
        <w:rPr>
          <w:rFonts w:ascii="Times New Roman" w:cs="Times New Roman" w:eastAsia="Times New Roman" w:hAnsi="Times New Roman"/>
          <w:sz w:val="18"/>
          <w:szCs w:val="18"/>
          <w:color w:val="auto"/>
        </w:rPr>
      </w:pPr>
    </w:p>
    <w:p>
      <w:pPr>
        <w:jc w:val="both"/>
        <w:ind w:left="460" w:hanging="331"/>
        <w:spacing w:after="0" w:line="267"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plan assets (mutual funds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 are classified as Level 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valuation hierarchy defined above;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hanging="331"/>
        <w:spacing w:after="0" w:line="284"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earn-out liabilities </w:t>
      </w:r>
      <w:r>
        <w:rPr>
          <w:rFonts w:ascii="Times New Roman" w:cs="Times New Roman" w:eastAsia="Times New Roman" w:hAnsi="Times New Roman"/>
          <w:sz w:val="18"/>
          <w:szCs w:val="18"/>
          <w:color w:val="auto"/>
        </w:rPr>
        <w:t>— fair value is generally established using a probability-weighted discounted income approach to convert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cash flows to a single present value amount. The related inputs are classified as Level 3 in the valuation hierarchy defined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center"/>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4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(4.0)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6"/>
        </w:trPr>
        <w:tc>
          <w:tcPr>
            <w:tcW w:w="55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w:t>
            </w:r>
          </w:p>
        </w:tc>
        <w:tc>
          <w:tcPr>
            <w:tcW w:w="1020" w:type="dxa"/>
            <w:vAlign w:val="bottom"/>
            <w:tcBorders>
              <w:bottom w:val="single" w:sz="8" w:color="auto"/>
            </w:tcBorders>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Nonrecurring fair value measurements </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jc w:val="both"/>
        <w:ind w:left="180" w:hanging="172"/>
        <w:spacing w:after="0" w:line="247" w:lineRule="auto"/>
        <w:tabs>
          <w:tab w:leader="none" w:pos="167"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During the year ended December 31, 2025, we recorded an impairment charge on a definite-lived customer relationship intangible asset of $30.9 million. We determined the value using unobservable inputs and wrote the balance of the definite-lived intangible asset to zero. The impairment charge was recorded in </w:t>
      </w:r>
      <w:r>
        <w:rPr>
          <w:rFonts w:ascii="Times New Roman" w:cs="Times New Roman" w:eastAsia="Times New Roman" w:hAnsi="Times New Roman"/>
          <w:sz w:val="15"/>
          <w:szCs w:val="15"/>
          <w:i w:val="1"/>
          <w:iCs w:val="1"/>
          <w:color w:val="auto"/>
        </w:rPr>
        <w:t>Selling, general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administrative </w:t>
      </w:r>
      <w:r>
        <w:rPr>
          <w:rFonts w:ascii="Times New Roman" w:cs="Times New Roman" w:eastAsia="Times New Roman" w:hAnsi="Times New Roman"/>
          <w:sz w:val="15"/>
          <w:szCs w:val="15"/>
          <w:color w:val="auto"/>
        </w:rPr>
        <w:t>expense in the Condensed Consolidated Statements of Operations and Comprehensive Income.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2024, we completed the acquisition of G &amp; F Manufacturing, LLC (“G &amp; F Manufacturing”). In conjunction with the acquisition, we recorded an estimated fair value of $8.0 million of contingent earn-out liabilities, which are considered Level 3 under the fair value hierarchy. During the second quarter of 2026, we made the first earn-out period payment and reduced the contingent earn-out liability to an estimated fair value of $4.0 million. The fair value of the remaining contingent earn-out liability was reviewed as of September 30, 2026, with no further change in fair value. The fair value of the remaining contingent earn-out liability will continue to be re-measured for each reporting period until resolution of the final contingent earn-out payment, and any resulting changes to fair value would be recorded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2026 was 14.7%, compared to 14.8% for the nine months ended September 30, 2025.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$9.2 million and $6.7 million at September 30, 2026 and December 31, 2025,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Pillar Two Model Rules (“Pillar Two”) for a global 15.0% minimum tax have been adopted by a number of jurisdictions in which we operate. For the nine months ended September 30, 2026 and September 30, 2025, the impact of Pillar Two on our condensed consolidated financial statements was not material.</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and nine months ended September 30, 2026 and 2025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0.9</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2.7</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3.3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and nine months ended September 30, 2026 and 2025 were not material.</w:t>
      </w:r>
    </w:p>
    <w:p>
      <w:pPr>
        <w:spacing w:after="0" w:line="185" w:lineRule="exact"/>
        <w:rPr>
          <w:sz w:val="20"/>
          <w:szCs w:val="20"/>
          <w:color w:val="auto"/>
        </w:rPr>
      </w:pPr>
    </w:p>
    <w:p>
      <w:pPr>
        <w:ind w:right="9200" w:firstLine="8"/>
        <w:spacing w:after="0" w:line="263" w:lineRule="auto"/>
        <w:tabs>
          <w:tab w:leader="none" w:pos="40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the Board of Directors authorized the repurchase of our ordinary shares up to a maximum dollar limit of $1.0 billion. The authorization expires on December 31, 2028. During the nine months ended September 30, 2026, we repurchased 4.0 million of our ordinary shares for $350.0 million. As of September 30, 2026, we had $650.0 million available for share repurchases under this authorization.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21, 2026, the Board of Directors declared a quarterly cash dividend of $0.27 per share, payable on November 6, 2026 to shareholders of record at the close of business on October 23, 2026.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$43.0 million at September 30, 2026, compared to $44.1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operations into three reportable segments:</w:t>
      </w:r>
    </w:p>
    <w:p>
      <w:pPr>
        <w:spacing w:after="0" w:line="149" w:lineRule="exact"/>
        <w:rPr>
          <w:sz w:val="20"/>
          <w:szCs w:val="20"/>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 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for use in residential whole home water filtration, drinking water filtration and water softening solutions in addition to commercial total water management and filtration in foodservice operations, circulation and transfer, agricultural irrigation and crop spray.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and use certain ratios, particularly return on sales, to measure performance of our reportable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ASC 280. The accounting policies of our reportable segments are consistent with those described in the summary of significant accounting policies in our Annual Report on Form 10-K for the year ended December 31, 2025.</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by reportable segment as well as a reconciliation of reportable segment income to consolidated income from continuing operations before income taxes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3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Identifiable assets </w:t>
            </w:r>
            <w:r>
              <w:rPr>
                <w:rFonts w:ascii="Times New Roman" w:cs="Times New Roman" w:eastAsia="Times New Roman" w:hAnsi="Times New Roman"/>
                <w:sz w:val="23"/>
                <w:szCs w:val="23"/>
                <w:b w:val="1"/>
                <w:bCs w:val="1"/>
                <w:color w:val="auto"/>
                <w:vertAlign w:val="superscript"/>
              </w:rPr>
              <w:t>(1)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2,900.9</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6,425.4</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All cash and cash equivalents are included in “Corporate and other.”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40" w:type="dxa"/>
            <w:vAlign w:val="bottom"/>
            <w:gridSpan w:val="3"/>
          </w:tcPr>
          <w:p>
            <w:pPr>
              <w:jc w:val="center"/>
              <w:ind w:lef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46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46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46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40" w:type="dxa"/>
            <w:vAlign w:val="bottom"/>
            <w:gridSpan w:val="3"/>
          </w:tcPr>
          <w:p>
            <w:pPr>
              <w:jc w:val="center"/>
              <w:ind w:lef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4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460" w:type="dxa"/>
            <w:vAlign w:val="bottom"/>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4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26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Flow</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Pool</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80" w:type="dxa"/>
            <w:vAlign w:val="bottom"/>
          </w:tcPr>
          <w:p>
            <w:pPr>
              <w:spacing w:after="0"/>
              <w:rPr>
                <w:sz w:val="19"/>
                <w:szCs w:val="19"/>
                <w:color w:val="auto"/>
              </w:rPr>
            </w:pPr>
          </w:p>
        </w:tc>
        <w:tc>
          <w:tcPr>
            <w:tcW w:w="17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(246.4)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(54.6)</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120.9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Income from continuing operations before income taxes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99"/>
              </w:rPr>
              <w:t>21</w:t>
            </w: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784.3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925.2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2,944.4</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20" w:type="dxa"/>
            <w:vAlign w:val="bottom"/>
          </w:tcPr>
          <w:p>
            <w:pPr>
              <w:spacing w:after="0"/>
              <w:rPr>
                <w:sz w:val="19"/>
                <w:szCs w:val="19"/>
                <w:color w:val="auto"/>
              </w:rPr>
            </w:pPr>
          </w:p>
        </w:tc>
        <w:tc>
          <w:tcPr>
            <w:tcW w:w="11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(468.4)</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34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(533.9)</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(116.1)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(133.9)</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199.8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257.4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0"/>
        </w:trPr>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3,154.4</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1"/>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80" w:hanging="172"/>
        <w:spacing w:after="0" w:line="226" w:lineRule="auto"/>
        <w:tabs>
          <w:tab w:leader="none" w:pos="183"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chief operating decision maker which includes certain corporate overhead allocations directly attributable to each of the segments.</w:t>
      </w:r>
    </w:p>
    <w:p>
      <w:pPr>
        <w:spacing w:after="0" w:line="20" w:lineRule="exact"/>
        <w:rPr>
          <w:rFonts w:ascii="Times New Roman" w:cs="Times New Roman" w:eastAsia="Times New Roman" w:hAnsi="Times New Roman"/>
          <w:sz w:val="22"/>
          <w:szCs w:val="22"/>
          <w:color w:val="auto"/>
          <w:vertAlign w:val="superscript"/>
        </w:rPr>
      </w:pPr>
    </w:p>
    <w:p>
      <w:pPr>
        <w:ind w:left="180" w:hanging="172"/>
        <w:spacing w:after="0" w:line="219" w:lineRule="auto"/>
        <w:tabs>
          <w:tab w:leader="none" w:pos="183"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expenses include selling, general, administrative, research and development costs which primarily consist of non-manufacturing employee compensation, non-manufacturing overhead and professional service costs as well as depreciation expense.</w:t>
      </w:r>
    </w:p>
    <w:p>
      <w:pPr>
        <w:spacing w:after="0" w:line="19" w:lineRule="exact"/>
        <w:rPr>
          <w:rFonts w:ascii="Times New Roman" w:cs="Times New Roman" w:eastAsia="Times New Roman" w:hAnsi="Times New Roman"/>
          <w:sz w:val="22"/>
          <w:szCs w:val="22"/>
          <w:color w:val="auto"/>
          <w:vertAlign w:val="superscript"/>
        </w:rPr>
      </w:pPr>
    </w:p>
    <w:p>
      <w:pPr>
        <w:ind w:left="180" w:hanging="172"/>
        <w:spacing w:after="0" w:line="220" w:lineRule="auto"/>
        <w:tabs>
          <w:tab w:leader="none" w:pos="2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These costs exclude certain expenses reported in the Condensed Consolidated Statements of Operations and Comprehensive Income, including costs that are reflected in "Corporate and other,” and expenses excluded from reportable segment income as defined above.</w:t>
      </w:r>
    </w:p>
    <w:p>
      <w:pPr>
        <w:spacing w:after="0" w:line="215" w:lineRule="exact"/>
        <w:rPr>
          <w:sz w:val="20"/>
          <w:szCs w:val="20"/>
          <w:color w:val="auto"/>
        </w:rPr>
      </w:pPr>
    </w:p>
    <w:p>
      <w:pPr>
        <w:ind w:right="8280" w:firstLine="8"/>
        <w:spacing w:after="0" w:line="263" w:lineRule="auto"/>
        <w:tabs>
          <w:tab w:leader="none" w:pos="40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proceedings</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shareholders,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Pentair plc, along with certain current and former executives, was sued by shareholders in a putative securities class action filed in August of 2026 in the U.S. District Court for the District of Minnesota. The lawsuit alleges that defendants made false or misleading statements, and seeks unspecified damages for declines in the value of the Company’s stock. The Company plans to vigorously defend against the claims asserted in this proceeding.</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the notes to our condensed consolidated financial statements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for the nine months ended September 30, 2026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56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auto"/>
            </w:tcBorders>
            <w:vMerge w:val="continue"/>
          </w:tcPr>
          <w:p>
            <w:pPr>
              <w:spacing w:after="0"/>
              <w:rPr>
                <w:sz w:val="21"/>
                <w:szCs w:val="21"/>
                <w:color w:val="auto"/>
              </w:rPr>
            </w:pPr>
          </w:p>
        </w:tc>
        <w:tc>
          <w:tcPr>
            <w:tcW w:w="3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outstanding value of bonds, letters of credit and bank guarantees totaled $117.2 million and $115.0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including the Taco acquisition; risks associated with operating foreign businesses; the impact of seasonality of sales and weather conditions; our ability to comply with laws and regulations; the impact of changes in laws, regulations and administrative policy, including those that limit U.S. or foreign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this Form 10-Q and our Annual Report on Form 10-K for the year ended December 31, 2025. All forward-looking statements speak only as of the date of this report. Pentair assumes no obligation, and disclaims any obligation, to update the information contained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help the world sustainably move, improve and enjoy water, life’s most essential resource. From our residential and commercial water solutions to industrial water management and everything in between, Pentair is an S&amp;P 500 company focused on smart, sustainable water solutions that help our planet and people thrive.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comprised of three reportable segments: Flow, Water Solutions and Pool. 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We believe the new alignment with our residential and irrigation flow business in our Water Solutions segment will help us accelerate our efforts to improve customer experiences, enhance operational efficiencies and deliver more comprehensive solutions. The applicable prior period amounts related to this change have been retrospectively reclassified to conform to the new composition. These changes have no impact on the Company’s historical consolidated financial performance or results of operations.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2026, the Flow, Water Solutions and Pool reportable segments represented approximately 27%, 42% and 31% of total consolidated net sales, respectively. We classify our operations into reportable segments based primarily on types of products offered and markets served:</w:t>
      </w:r>
    </w:p>
    <w:p>
      <w:pPr>
        <w:spacing w:after="0" w:line="104" w:lineRule="exact"/>
        <w:rPr>
          <w:sz w:val="20"/>
          <w:szCs w:val="20"/>
          <w:color w:val="auto"/>
        </w:rPr>
      </w:pPr>
    </w:p>
    <w:p>
      <w:pPr>
        <w:jc w:val="both"/>
        <w:ind w:left="66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 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for use in residential whole home water filtration, drinking water filtration and water softening solutions in addition to commercial total water management and filtration in foodservice operations, circulation and transfer, agricultural irrigation and crop spray.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2026, as part of our Water Solutions reportable segment, we acquired the issued and outstanding equity securities of Taco Group Holdings (“Taco”) for a purchase price of $1.425 billion, subject to customary adjustments. Taco manufactures hydronic and water-driven solutions, providing innovative, sustainable, and high-performance products for the HVAC, plumbing, and industrial sectors. We funded this acquisition through a combination of cash on hand and debt financing.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as part of our Flow reportable segment, we completed the acquisition of Hydra-Stop, LLC (“Hydra-Stop”) for $292.1 million in cash, net of cash acquired, and subject to customary adjustments. Hydra-Stop manufactures specialty insertion valves, line stop fittings and installation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nine months of 2026 and are reasonably likely to impact our results in the future:</w:t>
      </w:r>
    </w:p>
    <w:p>
      <w:pPr>
        <w:spacing w:after="0" w:line="127" w:lineRule="exact"/>
        <w:rPr>
          <w:sz w:val="20"/>
          <w:szCs w:val="20"/>
          <w:color w:val="auto"/>
        </w:rPr>
      </w:pPr>
    </w:p>
    <w:p>
      <w:pPr>
        <w:jc w:val="both"/>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Transformation Program designed to accelerate growth and drive margin expansion through transformation of our business model to drive operational excellence, reduce complexity and streamline our processes. During 2025 and the first nine months of 2026, we made strategic progress on our Transformation Program initiatives with a focus on our four key themes of pricing excellence, sourcing excellence, operational excellence and organizational effectiveness. We expect to continue to execute on our key Transformation Program initiatives to drive margin expansion and to incur transformation costs throughout the remainder of 2026 and beyond.</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the first nine months of 2026, we implemented 80/20 guiding principles to enable our Transformation Program. As we continue to focus on 80/20 guiding principles in 2026, we expect to create value by increasing focus on key customers and products through quadrant-based strategies. We expect this approach to enable improved operating performance by driving margin growth with our highest value customers, reducing lower margin sales and removing complexity in the future.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the first nine months of 2026, we executed certain business restructuring initiatives aimed at reducing our fixed cost structure and realigning our business. We expect these actions to continue throughout the remainder of 2026 and to drive margin expansion.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and third quarters of 2026, performance was negatively impacted by a decline in Pool sales largely attributed to a more pronounced inventory realignment with major channel partners than previously estimated and worsening business conditions, including higher interest rates and inflation. As of September 30, 2026, the inventory destocking with our major channel partners is complete, and we believe the Pool business is positioned for sales and margin growth in 2027.</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the first nine months of 2026, we experienced inflationary cost increases, including tariffs, for certain raw materials as well as logistics and transportation costs. Tariffs, along with potential retaliatory measures by other countries, have contributed to higher input costs and supply chain complexity. The ongoing volatility in the commodities market also has the potential to continue to drive price increases in our supply chain. To address these inflationary pressures, we have implemented pricing increases and taken other actions including inventory pre-buys and supply chain optimization. In addition, our Transformation Program initiatives are intended to improve productivity and offset cost increases. We anticipate that inflationary cost increases and supply chain pressures, including additional or increased tariffs in the future, as well as any related impacts on macroeconomic conditions and our business, will likely persist throughout the remainder of 2026.</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current U.S. administration implemented tariffs under the International Emergency Economic Powers Act (“IEEPA”). In February 2026, the U.S. Supreme Court invalidated certain tariffs imposed under the IEEPA. While we have received refunds in the first nine months of 2026 of certain previously paid IEEPA tariffs, uncertainty remains regarding the timing and ultimate amount of any additional potential refunds, as well as the scope and impact of replacement tariffs or other trade policy actions. We will continue to monitor these developments and evaluate their potential impact on our business, results of operations, cash flows and future tariff exposure.</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Organisation for Economic Co-operation and Development Pillar Two Model Rules (“Pillar Two”) for a global 15.0% minimum tax have been adopted by a number of jurisdictions in which we operate. Pillar Two has negatively impacted our effective tax rate during the first nine months of 2026 and may impact our effective tax rate in the future. We continue to evaluate the enacted legislative changes and new guidance as it becomes available.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2026,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 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growth initiatives that accelerate our investments in digital, innovation, technology and sustainability;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the Pentair Business System which includes executing our Transformation Program initiatives and using the Pentair leadership tools to drive operational excellence, reduce complexity and improve our organizational structure, with a continued focus on 80/20 guiding principles for profitable growth;</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Taco’s operations with our existing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September 30, 2026 and 2025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581.2</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603.4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40.5 %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41.0 %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(0.5) pts</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22.7 %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(2.6) pts</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nine months ended September 30, 2026 and 2025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3,155.5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(209.8)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1,722.1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1,877.0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(154.9)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1,223.6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41.5 %</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40.5 %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579.6</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552.6</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19.4 %</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 pts</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572.1</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19"/>
                <w:szCs w:val="19"/>
                <w:color w:val="auto"/>
              </w:rPr>
            </w:pPr>
          </w:p>
        </w:tc>
        <w:tc>
          <w:tcPr>
            <w:tcW w:w="4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3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r>
      <w:tr>
        <w:trPr>
          <w:trHeight w:val="238"/>
        </w:trPr>
        <w:tc>
          <w:tcPr>
            <w:tcW w:w="27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3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476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color w:val="auto"/>
              </w:rPr>
              <w:t>(9.0)%</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4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3.5</w:t>
            </w:r>
          </w:p>
        </w:tc>
        <w:tc>
          <w:tcPr>
            <w:tcW w:w="3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476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color w:val="auto"/>
              </w:rPr>
              <w:t>(5.5)</w:t>
            </w:r>
          </w:p>
        </w:tc>
        <w:tc>
          <w:tcPr>
            <w:tcW w:w="3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Acquisition/Divestitures</w:t>
            </w:r>
          </w:p>
        </w:tc>
        <w:tc>
          <w:tcPr>
            <w:tcW w:w="4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3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47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8"/>
                <w:szCs w:val="18"/>
                <w:color w:val="auto"/>
              </w:rPr>
              <w:t>(4.5)%</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
        </w:trPr>
        <w:tc>
          <w:tcPr>
            <w:tcW w:w="276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4.5 and 6.6 percent decreases in net sales in the third quarter and first nine months, respectively, of 2026 from 2025 were primarily driven by:</w:t>
      </w:r>
    </w:p>
    <w:p>
      <w:pPr>
        <w:spacing w:after="0" w:line="173"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primarily driven by destocking of channel inventory within our Pool segment.</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our segments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Hydra-Stop completed in the third quarter of 2025;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first nine months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0.5 percentage point decrease in gross profit as a percentage of net sales in the third quarter of 2026 from 2025 was primarily driven by:</w:t>
      </w:r>
    </w:p>
    <w:p>
      <w:pPr>
        <w:spacing w:after="0" w:line="153"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primarily driven by destocking of channel inventory within our Pool segment;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certain raw material costs.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our segments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across all our segments;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$7.8 million in refunds during the third quarter of 2026 associated with tariffs previously collected under IEEPA which partially mitigated inflationary cost increases.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1.0 percentage point increase in gross profit as a percentage of net sales in the first nine months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selling prices across all our segments to mitigate inflationary cost increases;</w:t>
      </w:r>
    </w:p>
    <w:p>
      <w:pPr>
        <w:spacing w:after="0" w:line="171"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across all our segments;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asset impairment and write-offs in the first nine months of 2026, compared to $16.6 million in the first nine months of 2025; and</w:t>
      </w:r>
    </w:p>
    <w:p>
      <w:pPr>
        <w:spacing w:after="0" w:line="171"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$42.7 million in refunds during the first nine months of 2026 associated with tariffs previously collected under IEEPA which partially mitigated inflationary cost increases.</w:t>
      </w:r>
    </w:p>
    <w:p>
      <w:pPr>
        <w:spacing w:after="0" w:line="200" w:lineRule="exact"/>
        <w:rPr>
          <w:sz w:val="20"/>
          <w:szCs w:val="20"/>
          <w:color w:val="auto"/>
        </w:rPr>
      </w:pPr>
    </w:p>
    <w:p>
      <w:pPr>
        <w:spacing w:after="0" w:line="286"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primarily driven by destocking of channel inventory within our Pool segment;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certain raw material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2.1 and 2.2 percentage point increases in SG&amp;A as a percentage of net sales in the third quarter and first nine months, respectively, of 2026 from 2025 were primarily driven by:</w:t>
      </w:r>
    </w:p>
    <w:p>
      <w:pPr>
        <w:spacing w:after="0" w:line="127" w:lineRule="exact"/>
        <w:rPr>
          <w:sz w:val="20"/>
          <w:szCs w:val="20"/>
          <w:color w:val="auto"/>
        </w:rPr>
      </w:pPr>
    </w:p>
    <w:p>
      <w:pPr>
        <w:ind w:left="500" w:hanging="330"/>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$9.6 million in the third quarter of 2026, compared to $0.3 million in the third quarter of 2025, and $57.8 million in the first nine months of 2026, compared to $24.2 million in the first nine months of 2025;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of $16.1 million in the third quarter of 2026 compared to $10.8 million in the third quarter of 2025, and $45.1 million in the first nine months of 2026, compared to $32.6 million in the first nine months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of $30.9 million related to the write-off of a definite-lived customer relationship intangible asset as a result of a business exit within our Water Solutions segment during the second quarter of 2025 that did not reoccur in the first nine months of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50.7 and 17.7 percent increases in net interest expense in the third quarter and first nine months, respectively, of 2026 from 2025 were primarily driven by:</w:t>
      </w:r>
    </w:p>
    <w:p>
      <w:pPr>
        <w:spacing w:after="0" w:line="127" w:lineRule="exact"/>
        <w:rPr>
          <w:sz w:val="20"/>
          <w:szCs w:val="20"/>
          <w:color w:val="auto"/>
        </w:rPr>
      </w:pPr>
    </w:p>
    <w:p>
      <w:pPr>
        <w:ind w:left="500" w:hanging="330"/>
        <w:spacing w:after="0" w:line="282" w:lineRule="auto"/>
        <w:tabs>
          <w:tab w:leader="none" w:pos="4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debt issuance costs of $4.9 million during the third quarter and first nine months of 2026 related to financing commitments for a bridge loan facility established in connection with the definitive agreement to purchase Taco.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1.3 percentage point increase in the effective tax rate in the third quarter of 2026 from 2025 was primarily driven by:</w:t>
      </w:r>
    </w:p>
    <w:p>
      <w:pPr>
        <w:spacing w:after="0" w:line="153"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unfavorable discrete items in 2026 compared to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mix of global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0.1 percentage point decrease in the effective tax rate in the first nine months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mix of global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unfavorable discrete items in 2026 compared to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251.4</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734.9</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59.7</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164.7</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26.2 %</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23.7 %</w:t>
            </w:r>
          </w:p>
        </w:tc>
        <w:tc>
          <w:tcPr>
            <w:tcW w:w="1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2.5 pts</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25.5 %</w:t>
            </w:r>
          </w:p>
        </w:tc>
        <w:tc>
          <w:tcPr>
            <w:tcW w:w="16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22.4 %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 pts</w:t>
            </w:r>
          </w:p>
        </w:tc>
      </w:tr>
      <w:tr>
        <w:trPr>
          <w:trHeight w:val="45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Flow net sales from the prior period were as follows:</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9"/>
        </w:trPr>
        <w:tc>
          <w:tcPr>
            <w:tcW w:w="2520" w:type="dxa"/>
            <w:vAlign w:val="bottom"/>
          </w:tcPr>
          <w:p>
            <w:pPr>
              <w:spacing w:after="0"/>
              <w:rPr>
                <w:sz w:val="24"/>
                <w:szCs w:val="24"/>
                <w:color w:val="auto"/>
              </w:rPr>
            </w:pPr>
          </w:p>
        </w:tc>
        <w:tc>
          <w:tcPr>
            <w:tcW w:w="49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37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r>
      <w:tr>
        <w:trPr>
          <w:trHeight w:val="238"/>
        </w:trPr>
        <w:tc>
          <w:tcPr>
            <w:tcW w:w="2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2"/>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98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780" w:type="dxa"/>
            <w:vAlign w:val="bottom"/>
            <w:tcBorders>
              <w:bottom w:val="single" w:sz="8" w:color="auto"/>
            </w:tcBorders>
          </w:tcPr>
          <w:p>
            <w:pPr>
              <w:spacing w:after="0"/>
              <w:rPr>
                <w:sz w:val="20"/>
                <w:szCs w:val="20"/>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7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1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4.4 %</w:t>
            </w:r>
          </w:p>
        </w:tc>
        <w:tc>
          <w:tcPr>
            <w:tcW w:w="1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6.7 %</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4.4 and 6.7 percent increases in net sales for Flow in the third quarter and first nine months, respectively, of 2026 from 2025 were primarily driven by:</w:t>
      </w:r>
    </w:p>
    <w:p>
      <w:pPr>
        <w:spacing w:after="0" w:line="173"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Hydra-Stop completed in the third quarter of 2025;</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first nine months of the prior year.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third quarter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3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4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c>
          <w:tcPr>
            <w:tcW w:w="260" w:type="dxa"/>
            <w:vAlign w:val="bottom"/>
          </w:tcPr>
          <w:p>
            <w:pPr>
              <w:spacing w:after="0"/>
              <w:rPr>
                <w:sz w:val="19"/>
                <w:szCs w:val="19"/>
                <w:color w:val="auto"/>
              </w:rPr>
            </w:pPr>
          </w:p>
        </w:tc>
      </w:tr>
      <w:tr>
        <w:trPr>
          <w:trHeight w:val="238"/>
        </w:trPr>
        <w:tc>
          <w:tcPr>
            <w:tcW w:w="32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4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840" w:type="dxa"/>
            <w:vAlign w:val="bottom"/>
            <w:shd w:val="clear" w:color="auto" w:fill="CCEEFF"/>
          </w:tcPr>
          <w:p>
            <w:pPr>
              <w:jc w:val="center"/>
              <w:ind w:left="339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400" w:type="dxa"/>
            <w:vAlign w:val="bottom"/>
            <w:shd w:val="clear" w:color="auto" w:fill="CCEEFF"/>
          </w:tcPr>
          <w:p>
            <w:pPr>
              <w:jc w:val="center"/>
              <w:ind w:left="295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84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w w:val="98"/>
              </w:rPr>
              <w:t>(0.1)</w:t>
            </w:r>
          </w:p>
        </w:tc>
        <w:tc>
          <w:tcPr>
            <w:tcW w:w="460" w:type="dxa"/>
            <w:vAlign w:val="bottom"/>
          </w:tcPr>
          <w:p>
            <w:pPr>
              <w:spacing w:after="0"/>
              <w:rPr>
                <w:sz w:val="19"/>
                <w:szCs w:val="19"/>
                <w:color w:val="auto"/>
              </w:rPr>
            </w:pPr>
          </w:p>
        </w:tc>
        <w:tc>
          <w:tcPr>
            <w:tcW w:w="34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(0.2)</w:t>
            </w:r>
          </w:p>
        </w:tc>
        <w:tc>
          <w:tcPr>
            <w:tcW w:w="260" w:type="dxa"/>
            <w:vAlign w:val="bottom"/>
          </w:tcPr>
          <w:p>
            <w:pPr>
              <w:spacing w:after="0"/>
              <w:rPr>
                <w:sz w:val="19"/>
                <w:szCs w:val="19"/>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40" w:type="dxa"/>
            <w:vAlign w:val="bottom"/>
            <w:shd w:val="clear" w:color="auto" w:fill="CCEEFF"/>
          </w:tcPr>
          <w:p>
            <w:pPr>
              <w:jc w:val="center"/>
              <w:ind w:left="3370"/>
              <w:spacing w:after="0"/>
              <w:rPr>
                <w:sz w:val="20"/>
                <w:szCs w:val="20"/>
                <w:color w:val="auto"/>
              </w:rPr>
            </w:pPr>
            <w:r>
              <w:rPr>
                <w:rFonts w:ascii="Times New Roman" w:cs="Times New Roman" w:eastAsia="Times New Roman" w:hAnsi="Times New Roman"/>
                <w:sz w:val="18"/>
                <w:szCs w:val="18"/>
                <w:color w:val="auto"/>
                <w:w w:val="98"/>
              </w:rPr>
              <w:t>(3.2)</w:t>
            </w:r>
          </w:p>
        </w:tc>
        <w:tc>
          <w:tcPr>
            <w:tcW w:w="460" w:type="dxa"/>
            <w:vAlign w:val="bottom"/>
            <w:shd w:val="clear" w:color="auto" w:fill="CCEEFF"/>
          </w:tcPr>
          <w:p>
            <w:pPr>
              <w:spacing w:after="0"/>
              <w:rPr>
                <w:sz w:val="19"/>
                <w:szCs w:val="19"/>
                <w:color w:val="auto"/>
              </w:rPr>
            </w:pPr>
          </w:p>
        </w:tc>
        <w:tc>
          <w:tcPr>
            <w:tcW w:w="3400" w:type="dxa"/>
            <w:vAlign w:val="bottom"/>
            <w:shd w:val="clear" w:color="auto" w:fill="CCEEFF"/>
          </w:tcPr>
          <w:p>
            <w:pPr>
              <w:jc w:val="center"/>
              <w:ind w:left="2930"/>
              <w:spacing w:after="0"/>
              <w:rPr>
                <w:sz w:val="20"/>
                <w:szCs w:val="20"/>
                <w:color w:val="auto"/>
              </w:rPr>
            </w:pPr>
            <w:r>
              <w:rPr>
                <w:rFonts w:ascii="Times New Roman" w:cs="Times New Roman" w:eastAsia="Times New Roman" w:hAnsi="Times New Roman"/>
                <w:sz w:val="18"/>
                <w:szCs w:val="18"/>
                <w:color w:val="auto"/>
                <w:w w:val="98"/>
              </w:rPr>
              <w:t>(2.5)</w:t>
            </w:r>
          </w:p>
        </w:tc>
        <w:tc>
          <w:tcPr>
            <w:tcW w:w="260" w:type="dxa"/>
            <w:vAlign w:val="bottom"/>
            <w:shd w:val="clear" w:color="auto" w:fill="CCEEFF"/>
          </w:tcPr>
          <w:p>
            <w:pPr>
              <w:spacing w:after="0"/>
              <w:rPr>
                <w:sz w:val="19"/>
                <w:szCs w:val="19"/>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40" w:type="dxa"/>
            <w:vAlign w:val="bottom"/>
            <w:tcBorders>
              <w:bottom w:val="single" w:sz="8" w:color="auto"/>
            </w:tcBorders>
          </w:tcPr>
          <w:p>
            <w:pPr>
              <w:jc w:val="center"/>
              <w:ind w:left="339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center"/>
              <w:ind w:left="295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auto"/>
            </w:tcBorders>
          </w:tcPr>
          <w:p>
            <w:pPr>
              <w:spacing w:after="0"/>
              <w:rPr>
                <w:sz w:val="19"/>
                <w:szCs w:val="19"/>
                <w:color w:val="auto"/>
              </w:rPr>
            </w:pPr>
          </w:p>
        </w:tc>
      </w:tr>
      <w:tr>
        <w:trPr>
          <w:trHeight w:val="248"/>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tcBorders>
              <w:bottom w:val="single" w:sz="8" w:color="auto"/>
            </w:tcBorders>
            <w:shd w:val="clear" w:color="auto" w:fill="CCEEFF"/>
          </w:tcPr>
          <w:p>
            <w:pPr>
              <w:jc w:val="center"/>
              <w:ind w:left="339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400" w:type="dxa"/>
            <w:vAlign w:val="bottom"/>
            <w:tcBorders>
              <w:bottom w:val="single" w:sz="8" w:color="auto"/>
            </w:tcBorders>
            <w:shd w:val="clear" w:color="auto" w:fill="CCEEFF"/>
          </w:tcPr>
          <w:p>
            <w:pPr>
              <w:jc w:val="center"/>
              <w:ind w:left="295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2.5 and 3.1 percentage point increases in segment income for Flow as a percentage of net sales in the third quarter and first nine months, respectively, of 2026 from 2025 were primarily driven by:</w:t>
      </w:r>
    </w:p>
    <w:p>
      <w:pPr>
        <w:spacing w:after="0" w:line="106"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hanging="330"/>
        <w:spacing w:after="0" w:line="282" w:lineRule="auto"/>
        <w:tabs>
          <w:tab w:leader="none" w:pos="4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$0.4 million and $5.7 million in refunds during the third quarter and first nine months, respectively, of 2026 associated with tariffs previously collected under IEEPA which partially mitigated inflationary cost increases.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certain raw material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5"/>
                <w:szCs w:val="15"/>
                <w:color w:val="auto"/>
              </w:rPr>
            </w:pPr>
          </w:p>
        </w:tc>
        <w:tc>
          <w:tcPr>
            <w:tcW w:w="1280" w:type="dxa"/>
            <w:vAlign w:val="bottom"/>
          </w:tcPr>
          <w:p>
            <w:pPr>
              <w:jc w:val="right"/>
              <w:ind w:right="5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5"/>
                <w:szCs w:val="15"/>
                <w:color w:val="auto"/>
              </w:rPr>
            </w:pPr>
          </w:p>
        </w:tc>
        <w:tc>
          <w:tcPr>
            <w:tcW w:w="138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60" w:type="dxa"/>
            <w:vAlign w:val="bottom"/>
          </w:tcPr>
          <w:p>
            <w:pPr>
              <w:spacing w:after="0"/>
              <w:rPr>
                <w:sz w:val="15"/>
                <w:szCs w:val="15"/>
                <w:color w:val="auto"/>
              </w:rPr>
            </w:pPr>
          </w:p>
        </w:tc>
        <w:tc>
          <w:tcPr>
            <w:tcW w:w="1260" w:type="dxa"/>
            <w:vAlign w:val="bottom"/>
          </w:tcPr>
          <w:p>
            <w:pPr>
              <w:jc w:val="right"/>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5"/>
                <w:szCs w:val="15"/>
                <w:color w:val="auto"/>
              </w:rPr>
            </w:pPr>
          </w:p>
        </w:tc>
        <w:tc>
          <w:tcPr>
            <w:tcW w:w="136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38"/>
        </w:trPr>
        <w:tc>
          <w:tcPr>
            <w:tcW w:w="23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415.9</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1,254.1</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104.0</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347.2</w:t>
            </w:r>
          </w:p>
        </w:tc>
        <w:tc>
          <w:tcPr>
            <w:tcW w:w="2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306.6</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28.7 %</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25.0 %</w:t>
            </w:r>
          </w:p>
        </w:tc>
        <w:tc>
          <w:tcPr>
            <w:tcW w:w="16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3.7 pts</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28.1 %</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24.4 %</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3.7 pts</w:t>
            </w:r>
          </w:p>
        </w:tc>
      </w:tr>
      <w:tr>
        <w:trPr>
          <w:trHeight w:val="45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from the prior period were as follows:</w:t>
            </w:r>
          </w:p>
        </w:tc>
        <w:tc>
          <w:tcPr>
            <w:tcW w:w="1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2"/>
        </w:trPr>
        <w:tc>
          <w:tcPr>
            <w:tcW w:w="2520" w:type="dxa"/>
            <w:vAlign w:val="bottom"/>
          </w:tcPr>
          <w:p>
            <w:pPr>
              <w:spacing w:after="0"/>
              <w:rPr>
                <w:sz w:val="24"/>
                <w:szCs w:val="24"/>
                <w:color w:val="auto"/>
              </w:rPr>
            </w:pPr>
          </w:p>
        </w:tc>
        <w:tc>
          <w:tcPr>
            <w:tcW w:w="49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37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r>
      <w:tr>
        <w:trPr>
          <w:trHeight w:val="238"/>
        </w:trPr>
        <w:tc>
          <w:tcPr>
            <w:tcW w:w="2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98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780" w:type="dxa"/>
            <w:vAlign w:val="bottom"/>
            <w:tcBorders>
              <w:bottom w:val="single" w:sz="8" w:color="auto"/>
            </w:tcBorders>
          </w:tcPr>
          <w:p>
            <w:pPr>
              <w:spacing w:after="0"/>
              <w:rPr>
                <w:sz w:val="20"/>
                <w:szCs w:val="20"/>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5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1.4 %</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(1.5)%</w:t>
            </w: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1.4 percent increase in net sales for Water Solutions in the third quarter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1.5 percent decrease in net sales for Water Solutions in the first nine months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exit in our commercial business that occurred in the second quarter of 2025.</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38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48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80" w:type="dxa"/>
            <w:vAlign w:val="bottom"/>
          </w:tcPr>
          <w:p>
            <w:pPr>
              <w:spacing w:after="0"/>
              <w:rPr>
                <w:sz w:val="19"/>
                <w:szCs w:val="19"/>
                <w:color w:val="auto"/>
              </w:rPr>
            </w:pPr>
          </w:p>
        </w:tc>
      </w:tr>
      <w:tr>
        <w:trPr>
          <w:trHeight w:val="238"/>
        </w:trPr>
        <w:tc>
          <w:tcPr>
            <w:tcW w:w="32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4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800" w:type="dxa"/>
            <w:vAlign w:val="bottom"/>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7"/>
              </w:rPr>
              <w:t>2.5</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400" w:type="dxa"/>
            <w:vAlign w:val="bottom"/>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80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8"/>
              </w:rPr>
              <w:t>(0.1)</w:t>
            </w:r>
          </w:p>
        </w:tc>
        <w:tc>
          <w:tcPr>
            <w:tcW w:w="480" w:type="dxa"/>
            <w:vAlign w:val="bottom"/>
          </w:tcPr>
          <w:p>
            <w:pPr>
              <w:spacing w:after="0"/>
              <w:rPr>
                <w:sz w:val="19"/>
                <w:szCs w:val="19"/>
                <w:color w:val="auto"/>
              </w:rPr>
            </w:pPr>
          </w:p>
        </w:tc>
        <w:tc>
          <w:tcPr>
            <w:tcW w:w="340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(0.3)</w:t>
            </w:r>
          </w:p>
        </w:tc>
        <w:tc>
          <w:tcPr>
            <w:tcW w:w="280" w:type="dxa"/>
            <w:vAlign w:val="bottom"/>
          </w:tcPr>
          <w:p>
            <w:pPr>
              <w:spacing w:after="0"/>
              <w:rPr>
                <w:sz w:val="19"/>
                <w:szCs w:val="19"/>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00" w:type="dxa"/>
            <w:vAlign w:val="bottom"/>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7"/>
              </w:rPr>
              <w:t>0.2</w:t>
            </w:r>
          </w:p>
        </w:tc>
        <w:tc>
          <w:tcPr>
            <w:tcW w:w="480" w:type="dxa"/>
            <w:vAlign w:val="bottom"/>
            <w:shd w:val="clear" w:color="auto" w:fill="CCEEFF"/>
          </w:tcPr>
          <w:p>
            <w:pPr>
              <w:spacing w:after="0"/>
              <w:rPr>
                <w:sz w:val="19"/>
                <w:szCs w:val="19"/>
                <w:color w:val="auto"/>
              </w:rPr>
            </w:pPr>
          </w:p>
        </w:tc>
        <w:tc>
          <w:tcPr>
            <w:tcW w:w="3400" w:type="dxa"/>
            <w:vAlign w:val="bottom"/>
            <w:shd w:val="clear" w:color="auto" w:fill="CCEEFF"/>
          </w:tcPr>
          <w:p>
            <w:pPr>
              <w:jc w:val="center"/>
              <w:ind w:left="2890"/>
              <w:spacing w:after="0"/>
              <w:rPr>
                <w:sz w:val="20"/>
                <w:szCs w:val="20"/>
                <w:color w:val="auto"/>
              </w:rPr>
            </w:pPr>
            <w:r>
              <w:rPr>
                <w:rFonts w:ascii="Times New Roman" w:cs="Times New Roman" w:eastAsia="Times New Roman" w:hAnsi="Times New Roman"/>
                <w:sz w:val="18"/>
                <w:szCs w:val="18"/>
                <w:color w:val="auto"/>
                <w:w w:val="98"/>
              </w:rPr>
              <w:t>(0.6)</w:t>
            </w:r>
          </w:p>
        </w:tc>
        <w:tc>
          <w:tcPr>
            <w:tcW w:w="280" w:type="dxa"/>
            <w:vAlign w:val="bottom"/>
            <w:shd w:val="clear" w:color="auto" w:fill="CCEEFF"/>
          </w:tcPr>
          <w:p>
            <w:pPr>
              <w:spacing w:after="0"/>
              <w:rPr>
                <w:sz w:val="19"/>
                <w:szCs w:val="19"/>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00" w:type="dxa"/>
            <w:vAlign w:val="bottom"/>
            <w:tcBorders>
              <w:bottom w:val="single" w:sz="8" w:color="auto"/>
            </w:tcBorders>
          </w:tcPr>
          <w:p>
            <w:pPr>
              <w:jc w:val="center"/>
              <w:ind w:left="3330"/>
              <w:spacing w:after="0"/>
              <w:rPr>
                <w:sz w:val="20"/>
                <w:szCs w:val="20"/>
                <w:color w:val="auto"/>
              </w:rPr>
            </w:pPr>
            <w:r>
              <w:rPr>
                <w:rFonts w:ascii="Times New Roman" w:cs="Times New Roman" w:eastAsia="Times New Roman" w:hAnsi="Times New Roman"/>
                <w:sz w:val="18"/>
                <w:szCs w:val="18"/>
                <w:color w:val="auto"/>
                <w:w w:val="97"/>
              </w:rPr>
              <w:t>1.1</w:t>
            </w:r>
          </w:p>
        </w:tc>
        <w:tc>
          <w:tcPr>
            <w:tcW w:w="4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center"/>
              <w:ind w:left="29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rPr>
                <w:sz w:val="19"/>
                <w:szCs w:val="19"/>
                <w:color w:val="auto"/>
              </w:rPr>
            </w:pPr>
          </w:p>
        </w:tc>
      </w:tr>
      <w:tr>
        <w:trPr>
          <w:trHeight w:val="248"/>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bottom w:val="single" w:sz="8" w:color="auto"/>
            </w:tcBorders>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7"/>
              </w:rPr>
              <w:t>3.7</w:t>
            </w:r>
          </w:p>
        </w:tc>
        <w:tc>
          <w:tcPr>
            <w:tcW w:w="4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400" w:type="dxa"/>
            <w:vAlign w:val="bottom"/>
            <w:tcBorders>
              <w:bottom w:val="single" w:sz="8" w:color="auto"/>
            </w:tcBorders>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3.7 percentage point increases in segment income for Water Solutions as a percentage of net sales in both the third quarter and first nine months of 2026 from 2025 were primarily driven by:</w:t>
      </w:r>
    </w:p>
    <w:p>
      <w:pPr>
        <w:spacing w:after="0" w:line="106" w:lineRule="exact"/>
        <w:rPr>
          <w:sz w:val="20"/>
          <w:szCs w:val="20"/>
          <w:color w:val="auto"/>
        </w:rPr>
      </w:pPr>
    </w:p>
    <w:p>
      <w:pPr>
        <w:ind w:left="480" w:hanging="31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$6.2 million in refunds in the third quarter of 2026 associated with tariffs previously collected under IEEPA, which more than offset inflationary cost increases compared to the third quarter of 2025, while $24.6 million in refunds in the first nine months of 2026 partially mitigated inflationary cost increases compared to the first nine months of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certain raw material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60" w:type="dxa"/>
            <w:vAlign w:val="bottom"/>
          </w:tcPr>
          <w:p>
            <w:pPr>
              <w:spacing w:after="0"/>
              <w:rPr>
                <w:sz w:val="14"/>
                <w:szCs w:val="14"/>
                <w:color w:val="auto"/>
              </w:rPr>
            </w:pPr>
          </w:p>
        </w:tc>
        <w:tc>
          <w:tcPr>
            <w:tcW w:w="13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4"/>
                <w:szCs w:val="14"/>
                <w:color w:val="auto"/>
              </w:rPr>
            </w:pPr>
          </w:p>
        </w:tc>
        <w:tc>
          <w:tcPr>
            <w:tcW w:w="13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354.3</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1,165.4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394.9</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24.6 %</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32.8 %</w:t>
            </w: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rPr>
              <w:t>(8.2) pts</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27.8 %</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33.9 %</w:t>
            </w:r>
          </w:p>
        </w:tc>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w w:val="99"/>
              </w:rPr>
              <w:t>(6.1) pts</w:t>
            </w:r>
          </w:p>
        </w:tc>
      </w:tr>
      <w:tr>
        <w:trPr>
          <w:trHeight w:val="441"/>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Pool net sales from the prior period were as follows:</w:t>
            </w:r>
          </w:p>
        </w:tc>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52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3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r>
      <w:tr>
        <w:trPr>
          <w:trHeight w:val="238"/>
        </w:trPr>
        <w:tc>
          <w:tcPr>
            <w:tcW w:w="2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94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820" w:type="dxa"/>
            <w:vAlign w:val="bottom"/>
            <w:tcBorders>
              <w:bottom w:val="single" w:sz="8" w:color="auto"/>
            </w:tcBorders>
          </w:tcPr>
          <w:p>
            <w:pPr>
              <w:spacing w:after="0"/>
              <w:rPr>
                <w:sz w:val="20"/>
                <w:szCs w:val="20"/>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7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(21.6)%</w:t>
            </w: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(25.5)%</w:t>
            </w:r>
          </w:p>
        </w:tc>
      </w:tr>
      <w:tr>
        <w:trPr>
          <w:trHeight w:val="229"/>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7"/>
              </w:rPr>
              <w:t>3.8</w:t>
            </w: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7"/>
              </w:rPr>
              <w:t>4.7</w:t>
            </w:r>
          </w:p>
        </w:tc>
      </w:tr>
      <w:tr>
        <w:trPr>
          <w:trHeight w:val="223"/>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7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(17.8)</w:t>
            </w: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7"/>
              </w:rPr>
              <w:t>0.1</w:t>
            </w: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7"/>
              </w:rPr>
              <w:t>0.2</w:t>
            </w:r>
          </w:p>
        </w:tc>
      </w:tr>
      <w:tr>
        <w:trPr>
          <w:trHeight w:val="248"/>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(17.7)%</w:t>
            </w:r>
          </w:p>
        </w:tc>
        <w:tc>
          <w:tcPr>
            <w:tcW w:w="13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(20.6)%</w:t>
            </w: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17.7 and 20.6 percent decreases in net sales for Pool in the third quarter and first nine months, respectively, of 2026 from 2025 were primarily driven by:</w:t>
      </w:r>
    </w:p>
    <w:p>
      <w:pPr>
        <w:spacing w:after="0" w:line="106" w:lineRule="exact"/>
        <w:rPr>
          <w:sz w:val="20"/>
          <w:szCs w:val="20"/>
          <w:color w:val="auto"/>
        </w:rPr>
      </w:pPr>
    </w:p>
    <w:p>
      <w:pPr>
        <w:ind w:left="480" w:hanging="310"/>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primarily driven by destocking of inventory in the Pool channel.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3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4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c>
          <w:tcPr>
            <w:tcW w:w="280" w:type="dxa"/>
            <w:vAlign w:val="bottom"/>
          </w:tcPr>
          <w:p>
            <w:pPr>
              <w:spacing w:after="0"/>
              <w:rPr>
                <w:sz w:val="19"/>
                <w:szCs w:val="19"/>
                <w:color w:val="auto"/>
              </w:rPr>
            </w:pPr>
          </w:p>
        </w:tc>
      </w:tr>
      <w:tr>
        <w:trPr>
          <w:trHeight w:val="238"/>
        </w:trPr>
        <w:tc>
          <w:tcPr>
            <w:tcW w:w="32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4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420" w:type="dxa"/>
            <w:vAlign w:val="bottom"/>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8"/>
              </w:rPr>
              <w:t>(3.5)</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342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8"/>
              </w:rPr>
              <w:t>(0.2)</w:t>
            </w:r>
          </w:p>
        </w:tc>
        <w:tc>
          <w:tcPr>
            <w:tcW w:w="280" w:type="dxa"/>
            <w:vAlign w:val="bottom"/>
          </w:tcPr>
          <w:p>
            <w:pPr>
              <w:spacing w:after="0"/>
              <w:rPr>
                <w:sz w:val="19"/>
                <w:szCs w:val="19"/>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shd w:val="clear" w:color="auto" w:fill="CCEEFF"/>
          </w:tcPr>
          <w:p>
            <w:pPr>
              <w:spacing w:after="0"/>
              <w:rPr>
                <w:sz w:val="19"/>
                <w:szCs w:val="19"/>
                <w:color w:val="auto"/>
              </w:rPr>
            </w:pPr>
          </w:p>
        </w:tc>
        <w:tc>
          <w:tcPr>
            <w:tcW w:w="3420" w:type="dxa"/>
            <w:vAlign w:val="bottom"/>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8"/>
              </w:rPr>
              <w:t>(3.8)</w:t>
            </w:r>
          </w:p>
        </w:tc>
        <w:tc>
          <w:tcPr>
            <w:tcW w:w="280" w:type="dxa"/>
            <w:vAlign w:val="bottom"/>
            <w:shd w:val="clear" w:color="auto" w:fill="CCEEFF"/>
          </w:tcPr>
          <w:p>
            <w:pPr>
              <w:spacing w:after="0"/>
              <w:rPr>
                <w:sz w:val="19"/>
                <w:szCs w:val="19"/>
                <w:color w:val="auto"/>
              </w:rPr>
            </w:pPr>
          </w:p>
        </w:tc>
      </w:tr>
      <w:tr>
        <w:trPr>
          <w:trHeight w:val="23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left="29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rPr>
                <w:sz w:val="19"/>
                <w:szCs w:val="19"/>
                <w:color w:val="auto"/>
              </w:rPr>
            </w:pPr>
          </w:p>
        </w:tc>
      </w:tr>
      <w:tr>
        <w:trPr>
          <w:trHeight w:val="248"/>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420" w:type="dxa"/>
            <w:vAlign w:val="bottom"/>
            <w:tcBorders>
              <w:bottom w:val="single" w:sz="8" w:color="auto"/>
            </w:tcBorders>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8"/>
              </w:rPr>
              <w:t>(6.1)</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8.2 and 6.1 percentage point decreases in segment income for Pool as a percentage of net sales in the third quarter and first nine months, respectively, of 2026 from 2025 were primarily driven by:</w:t>
      </w:r>
    </w:p>
    <w:p>
      <w:pPr>
        <w:spacing w:after="0" w:line="106" w:lineRule="exact"/>
        <w:rPr>
          <w:sz w:val="20"/>
          <w:szCs w:val="20"/>
          <w:color w:val="auto"/>
        </w:rPr>
      </w:pPr>
    </w:p>
    <w:p>
      <w:pPr>
        <w:ind w:left="480" w:hanging="31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primarily driven by destocking of inventory in the Pool channel;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related to certain raw material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$1.2 million and $12.4 million in refunds during the third quarter and first nine months, respectively, of 2026 associated with tariffs previously collected under IEEPA which partially mitigated inflationary cost increases.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2026 and drew on our revolving credit facility to fund our operations. This cash usage reversed in the second quarter of 2026 as the seasonality of our businesses peaked and generated significant cash to fund our operations. We continued to generate significant cash to fund our operations in the third quarter of 2026.</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End-user demand for pool equipment in the Pool segment and water solutions, residential water supply and agricultural products in the Water Solutions segment follows warm weather trends, with seasonal highs ranging from April to September. The magnitude of the sales spike has historically been partially mitigated within the Pool segment by employing advance sale “early buy” programs (generally including extended payment terms and/or additional discounts). Demand for residential and agricultural water systems is also impacted by weather patterns, particularly temperature, heavy flooding and droughts.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4"/>
                <w:szCs w:val="14"/>
                <w:color w:val="auto"/>
              </w:rPr>
            </w:pPr>
          </w:p>
        </w:tc>
        <w:tc>
          <w:tcPr>
            <w:tcW w:w="15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5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764.0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8"/>
              </w:rPr>
              <w:t>(354.3)</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20" w:type="dxa"/>
            <w:vAlign w:val="bottom"/>
          </w:tcPr>
          <w:p>
            <w:pPr>
              <w:spacing w:after="0"/>
              <w:rPr>
                <w:sz w:val="20"/>
                <w:szCs w:val="20"/>
                <w:color w:val="auto"/>
              </w:rPr>
            </w:pPr>
          </w:p>
        </w:tc>
        <w:tc>
          <w:tcPr>
            <w:tcW w:w="1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(370.8)</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 the first nine months of 2026 primarily reflects net income from continuing operations, inclusive of $42.7 million of tariff refunds previously collected under IEEPA and net of non-cash depreciation, definite-lived intangible amortization and share-based compensation, of $549.3 million. Additionally, we had a cash inflow of $116.9 million as a result of changes in net working capital, primarily due to decreased accounts receivable, partially offset by increased inventory balances, both of which were primarily driven by lower sales volume within our Pool segment attributed to higher channel inventory and lower demand.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the first nine months of 2025 primarily reflects net income from continuing operations, net of non-cash depreciation, definite-lived intangible amortization, share-based compensation, loss on sale of business, deferred income taxes and asset impairment, of $697.7 million. Additionally, we had a cash inflow of $57.8 million as a result of changes in net working capital, primarily due to decreased accounts receivable and increased accounts payable balances. The decrease in accounts receivable was attributed to an increase in cash collections during the period. The increased accounts payable balance was primarily due to the general timing of vendor payments during the first nine months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in the first nine months of 2026 primarily reflects capital expenditures of $54.2 million.</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2025 primarily reflects net cash paid of $292.2 million for the Hydra-Stop acquisition, capital expenditures of $45.1 million and the purchase of investments of $18.0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2026 primarily relates to the repayment of $575.0 million of the remaining principal under the Prior Term Loan Facility, share repurchases of $350.0 million, dividend payments of $130.8 million and net repayments of revolving long-term debt of $77.0 million, partially offset by proceeds received from the term loan facility under the Senior Credit Facility of $500.0 million.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2025 primarily relates to the repayment of $250.0 million of the remaining principal under the Prior Term Loan Facility, a $19.3 million repayment of senior notes, share repurchases of $175.0 million and dividend payments of $123.3 million, partially offset by net borrowings of revolving long-term debt of $210.5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May 2025 and May 2026, providing for a $900.0 million senior unsecured revolving credit facility and a $500.0 million senior unsecured term loan facility. The revolving credit and term loan facilities have a maturity date of May 5, 2030. The term loan facility has required quarterly installment payments of $3.1 million beginning on the last day of the second quarter of 2027 and increasing to $6.3 million beginning with the last day of the second quarter of 2028.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total availability under the Senior Credit Facility, including the impact of a financial stand-by letter of credit associated with the Taco acquisition, was $698.3 million. Additionally,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definitive agreement to acquire Taco, PFSA entered into a commitment letter, dated July 27, 2026 (the “Commitment Letter”), pursuant to which, among other things, the lender committed to provide debt financing for the acquisition of Taco, consisting of a senior unsecured bridge facility of $1.4 billion (the “Bridge Facility”), on the terms and subject to the conditions set forth in the Commitment Letter. The Bridge Facility was subject to mandatory reduction and prepayment for 100% of the net cash proceeds from the issuance of any debt and other of our securities and other specified events, subject to certain exceptions.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2026, Pentair, PFSA and Pentair, Inc. entered into a Credit Agreement among PFSA as borrower, Pentair and Pentair, Inc. as guarantors, and the lenders and agents party thereto, providing for a $400.0 million senior unsecured tranche 1 delayed-draw term loan facility (the “Tranche 1 Term Loan Facility”) and a $1.0 billion senior unsecured tranche 2 delayed-draw term loan facility (the “Tranche 2 Term Loan Facility”; together with the Tranche 1 Term Loan Facility, the “Term Loan Facilities”; together with the Senior Credit Facility, the “Credit Facilities”), for an aggregate principal amount of $1.4 billion. The Tranche 1 Term Loan Facility will mature on April 1, 2028, while the Tranche 2 Term Loan Facility will mature on May 5, 2030. The Tranche 2 Term Loan Facility has required quarterly principal installment payments of $6.3 million beginning on the last day of the first quarter of 2028 and increasing to $12.5 million beginning with the last day of the first quarter of 2029. Borrowings under the Term Loan Facilities bear interest at a rate equal to an adjusted base rate or adjusted term secured overnight financing rate, plus, in each case, an applicable margin. The applicable margin is based on, at PFSA’s election, Pentair’s leverage level or PFSA’s public credit rating. No loans were outstanding under the Term Loan Facilities as of September 30, 2026.</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 2026, the aggregate principal amount of the commitments under the Term Loan Facilities replaced the corresponding amount of the commitments in respect of the Bridge Facility in accordance with the terms of the Commitment Letter. As a result, there were no remaining commitments under the Bridge Facility.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2026, upon the closing of the Taco acquisition, PFSA borrowed the full $1.4 billion aggregate principal amount available under the Term Loan Facilities. The proceeds were utilized to finance a portion of the purchase price in the Taco acquisition and pay related fees and expenses.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Pentair and PFSA were parties to a senior unsecured term loan facility (the “Prior Term Loan Facility”), with PFSA as borrower and Pentair as guarantor providing for an aggregate principal amount of $1.0 billion and a maturity date of July 28, 2027. In May 2026, PFSA repaid the remaining $575.0 million outstanding under the Prior Term Loan Facility using proceeds from borrowings under the amended Senior Credit Facility, and the Prior Term Loan Facility was terminated.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Credit Facilities. Each of the Credit Facilities contains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cash interest expense, for the same period to be less than 3.00 to 1.00 as of the end of each fiscal quarter. For purposes of the Leverage Ratio, each of the Credit Facilities provides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Credit Facilities, we have various other credit facilities with an aggregate availability of $21.2 million, of which there were no outstanding borrowings at September 30, 2026. Borrowings under these credit facilities bear interest at variable rates.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$6.3 million of payments due in the next twelve months under the term loan facility of the Senior Credit Facility. We classified this debt as long-term as of September 30, 2026, as we have the intent and ability to refinance such obligation on a long-term basis utilizing the Senior Credit Facility’s revolving credit facility.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had $48.9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Board of Directors authorized the repurchase of our ordinary shares up to a maximum dollar limit of $1.0 billion. This authorization expires on December 31, 2028. During the nine months ended September 30, 2026, we repurchased 4.0 million of our ordinary shares for $350.0 million. As of September 30, 2026, we had $650.0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21, 2026, the Board of Directors declared a quarterly cash dividend of $0.27 per share, payable on November 6, 2026 to shareholders of record at the close of business on October 23, 2026.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$43.0 million at September 30, 2026, compared to $44.1 million at December 31, 2025.</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in the first nine months of 2026 of $130.8 million, or $0.81 per ordinary share compared with $123.3 million, or $0.75 per ordinary share, in the prior year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$6.4 billion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September 30, 2026 and December 31, 2025 for the Parent Company Guarantor and Subsidiary Issuer on a combined basis after elimination of (i) intercompany transactions and balances among the guarantors and the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0" w:type="dxa"/>
            <w:vAlign w:val="bottom"/>
          </w:tcPr>
          <w:p>
            <w:pPr>
              <w:spacing w:after="0"/>
              <w:rPr>
                <w:sz w:val="1"/>
                <w:szCs w:val="1"/>
                <w:color w:val="auto"/>
              </w:rPr>
            </w:pPr>
          </w:p>
        </w:tc>
      </w:tr>
      <w:tr>
        <w:trPr>
          <w:trHeight w:val="235"/>
        </w:trPr>
        <w:tc>
          <w:tcPr>
            <w:tcW w:w="4860" w:type="dxa"/>
            <w:vAlign w:val="bottom"/>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0" w:type="dxa"/>
            <w:vAlign w:val="bottom"/>
          </w:tcPr>
          <w:p>
            <w:pPr>
              <w:spacing w:after="0"/>
              <w:rPr>
                <w:sz w:val="1"/>
                <w:szCs w:val="1"/>
                <w:color w:val="auto"/>
              </w:rPr>
            </w:pPr>
          </w:p>
        </w:tc>
      </w:tr>
    </w:tbl>
    <w:p>
      <w:pPr>
        <w:ind w:left="160" w:hanging="134"/>
        <w:spacing w:after="0"/>
        <w:tabs>
          <w:tab w:leader="none" w:pos="16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No assets due from non-guarantor subsidiaries were included as of September 30, 2026 and December 31, 2025, respectively.</w:t>
      </w:r>
    </w:p>
    <w:p>
      <w:pPr>
        <w:spacing w:after="0" w:line="65" w:lineRule="exact"/>
        <w:rPr>
          <w:rFonts w:ascii="Times New Roman" w:cs="Times New Roman" w:eastAsia="Times New Roman" w:hAnsi="Times New Roman"/>
          <w:sz w:val="16"/>
          <w:szCs w:val="16"/>
          <w:color w:val="auto"/>
          <w:vertAlign w:val="superscript"/>
        </w:rPr>
      </w:pPr>
    </w:p>
    <w:p>
      <w:pPr>
        <w:ind w:left="160" w:hanging="134"/>
        <w:spacing w:after="0" w:line="237" w:lineRule="auto"/>
        <w:tabs>
          <w:tab w:leader="none" w:pos="16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assets due from non-guarantor subsidiaries of $2,498.8 million and $2,503.6 million as of September 30, 2026 and December 31, 2025, respectively.</w:t>
      </w:r>
    </w:p>
    <w:p>
      <w:pPr>
        <w:spacing w:after="0" w:line="61" w:lineRule="exact"/>
        <w:rPr>
          <w:rFonts w:ascii="Times New Roman" w:cs="Times New Roman" w:eastAsia="Times New Roman" w:hAnsi="Times New Roman"/>
          <w:sz w:val="16"/>
          <w:szCs w:val="16"/>
          <w:color w:val="auto"/>
          <w:vertAlign w:val="superscript"/>
        </w:rPr>
      </w:pPr>
    </w:p>
    <w:p>
      <w:pPr>
        <w:ind w:left="160" w:hanging="134"/>
        <w:spacing w:after="0" w:line="237" w:lineRule="auto"/>
        <w:tabs>
          <w:tab w:leader="none" w:pos="16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liabilities due to non-guarantor subsidiaries of $2,882.7 million and $2,235.8 million as of September 30, 2026 and December 31, 2025, respectively.</w:t>
      </w:r>
    </w:p>
    <w:p>
      <w:pPr>
        <w:spacing w:after="0" w:line="61" w:lineRule="exact"/>
        <w:rPr>
          <w:rFonts w:ascii="Times New Roman" w:cs="Times New Roman" w:eastAsia="Times New Roman" w:hAnsi="Times New Roman"/>
          <w:sz w:val="16"/>
          <w:szCs w:val="16"/>
          <w:color w:val="auto"/>
          <w:vertAlign w:val="superscript"/>
        </w:rPr>
      </w:pPr>
    </w:p>
    <w:p>
      <w:pPr>
        <w:ind w:left="160" w:hanging="134"/>
        <w:spacing w:after="0" w:line="237" w:lineRule="auto"/>
        <w:tabs>
          <w:tab w:leader="none" w:pos="16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liabilities due to non-guarantor subsidiaries of $165.6 million and $171.4 million as of September 30, 2026 and December 31, 2025,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2025,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2025.</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September 30, 2026. For additional information refer to Item 7A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2026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2026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rFonts w:ascii="Times New Roman" w:cs="Times New Roman" w:eastAsia="Times New Roman" w:hAnsi="Times New Roman"/>
          <w:sz w:val="18"/>
          <w:szCs w:val="18"/>
          <w:b w:val="1"/>
          <w:bCs w:val="1"/>
          <w:color w:val="auto"/>
        </w:rPr>
      </w:pPr>
    </w:p>
    <w:p>
      <w:pPr>
        <w:ind w:lef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2026 that has materially affected, or is reasonably likely to materially affect, our internal control over financial reporting.</w:t>
      </w:r>
    </w:p>
    <w:p>
      <w:pPr>
        <w:spacing w:after="0" w:line="107" w:lineRule="exact"/>
        <w:rPr>
          <w:rFonts w:ascii="Times New Roman" w:cs="Times New Roman" w:eastAsia="Times New Roman" w:hAnsi="Times New Roman"/>
          <w:sz w:val="18"/>
          <w:szCs w:val="18"/>
          <w:b w:val="1"/>
          <w:bCs w:val="1"/>
          <w:color w:val="auto"/>
        </w:rPr>
      </w:pPr>
    </w:p>
    <w:p>
      <w:pPr>
        <w:jc w:val="both"/>
        <w:ind w:left="4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2024, we began a multi-year implementation of our new global enterprise resource planning (“ERP”) system. Ultimately, this ERP system has modernized and will continue to modernize several of our existing operating and transactional financial systems. We believe this implementation will continue to enhance our internal control over financial reporting due to improved operational functionality and further integration of related processes. As a result of this ERP implementation process, we have automated, modified or implemented certain internal controls as appropriate. We will continue to monitor our internal control over financial reporting for effectiveness throughout the remainder of this implementation.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shareholders, customers, authorities or parties to acquisitions and divestitures; intellectual property matters; environmental, asbestos, safety and health matters; product liability; claims relating to the use or installation of our products; consumer matters; and employment and labor matters. Refer to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16, “Commitments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condensed consolidated financial statements included in Item 1 of Part I of this Form 10-Q, which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in response to this item, for information regarding legal and regulatory proceedings we are involved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2025, except for the additional risk factors set forth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Taco acquisition and any benefit may take longer to realize than we expect.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Taco acquisition will involve the integration of Taco’s operations with our existing operations, and there are uncertainties inherent in such an integration. We will be required to devote significant management attention and resources to integrating Taco’s operations. Delays or unexpected difficulties in the integration process could adversely affect our business, financial results and financial condition. Even if we are able to integrate Taco’s operations successfully, we may not realize the full benefits of revenue synergies, cost savings and operational efficiencies that we expect or the achievement of these benefits within a reasonable period of time or at 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new risks, known and unknown, relating to the Taco acquisition.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experience risks, losses and damages associated with the Taco acquisition. The risks we could face include the following:</w:t>
      </w:r>
    </w:p>
    <w:p>
      <w:pPr>
        <w:spacing w:after="0" w:line="153" w:lineRule="exact"/>
        <w:rPr>
          <w:sz w:val="20"/>
          <w:szCs w:val="20"/>
          <w:color w:val="auto"/>
        </w:rPr>
      </w:pPr>
    </w:p>
    <w:p>
      <w:pPr>
        <w:jc w:val="both"/>
        <w:ind w:left="66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Taco acquisition may lead to the incurrence of costs to review, upgrade and integrate Taco’s systems with our compliance and reporting systems, including our systems of internal control over financial reporting. The process of integrating Taco into our internal control over financial reporting could require significant time and effort from our management and other personnel and could increase our compliance costs;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Taco acquisition involves the inherent risk of liabilities, and these liabilities may prove more costly or produce more adverse effects than we anticipate, such as actual or potential litigation and regulatory matters. In addition, in the course of the due diligence review of Taco, we may not have discovered, or may have been unable to quantify, undisclosed liabilities of Taco, and we may not be indemnified or have insurance for any of these liabilities. Any such liabilities could have an adverse effect on our business, results of operations, financial condition and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associated with the Taco acquisition could have a material adverse impact on our business, results of operations and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October 1, 2026, we borrowed $1.4 billion to finance a portion of the purchase price for the Taco acquisition and pay related fees and expenses. This borrowing is in addition to the $1,484.1 million of total debt on a consolidated basis we had as of September 30, 2026. We and our subsidiaries may incur additional indebtedness in the future. Future increases in our level of indebtedness will have several important effects on our future operations, including, without limitation:</w:t>
      </w:r>
    </w:p>
    <w:p>
      <w:pPr>
        <w:spacing w:after="0" w:line="144"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general economic and industry conditions, as well as to competitive pressure;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reduced;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reduced;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to make acquisitions and develop technology may be limited.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debt and meet our other cash requirements, we may be required, among other things:</w:t>
      </w:r>
    </w:p>
    <w:p>
      <w:pPr>
        <w:spacing w:after="0" w:line="12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indebtedness;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 businesses;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or operating expenditures.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and meet our other cash requirements. In addition, any such financing, refinancing or sale of assets might not be available at all or on economically favorable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litigation and other claims.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currently, and may in the future become, subject to litigation and other claims. These legal proceedings are typically claims that relate to our products or services or to the conduct of our businesses and include, without limitation, claims relating to commercial, regulatory or contractual disputes with suppliers, shareholders, authorities, customers or parties to acquisitions and divestitures; intellectual property matters; environmental, asbestos, safety and health matters; product quality and liability matters; matters arising from the use or installation of our products; consumer protection matters and employment and labor matters. As described in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within Note 16 “Commitments and Contingencies,” of the condensed consolidated financial statements included in Item 1 of Part I of this Form 10-Q, we are also currently subject to a putative securities class action by shareholders. The outcome of such legal proceedings cannot be predicted with certainty, and some may be disposed of unfavorably to us. In addition to insurance costs rising and insurers decreasing coverage, insurance coverage is not available for some of our claims and may be disputed by carriers in others. While we currently maintain what we believe to be suitable product liability insurance, we may not be able to maintain this insurance on our preferred terms or at an acceptable cost. Further, this insurance may not provide adequate protection against potential or previously existing liabilities. In addition, we self-insure a portion of product liability claims and must satisfy deductibles on other insured claims.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protection and advertising and sales practices, and we have been named, and may be named in the future, as a defendant in litigation, including class action complaints, arising from alleged violation of these laws and regulations. In addition, our indemnification obligations relating to the purchase or sale of businesses could result in litigation or claims of unknown amounts. Successful claims or litigation against us for significant amounts could have a material adverse effect on our reputation, business, financial condition, results of operations and cash flows.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third quarter of 2026: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(a)</w:t>
            </w:r>
          </w:p>
        </w:tc>
        <w:tc>
          <w:tcPr>
            <w:tcW w:w="500" w:type="dxa"/>
            <w:vAlign w:val="bottom"/>
          </w:tcPr>
          <w:p>
            <w:pPr>
              <w:spacing w:after="0"/>
              <w:rPr>
                <w:sz w:val="19"/>
                <w:szCs w:val="19"/>
                <w:color w:val="auto"/>
              </w:rPr>
            </w:pPr>
          </w:p>
        </w:tc>
        <w:tc>
          <w:tcPr>
            <w:tcW w:w="16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4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500" w:type="dxa"/>
            <w:vAlign w:val="bottom"/>
          </w:tcPr>
          <w:p>
            <w:pPr>
              <w:spacing w:after="0"/>
              <w:rPr>
                <w:sz w:val="19"/>
                <w:szCs w:val="19"/>
                <w:color w:val="auto"/>
              </w:rPr>
            </w:pP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0" w:type="dxa"/>
            <w:vAlign w:val="bottom"/>
          </w:tcPr>
          <w:p>
            <w:pPr>
              <w:jc w:val="center"/>
              <w:ind w:left="7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500" w:type="dxa"/>
            <w:vAlign w:val="bottom"/>
          </w:tcPr>
          <w:p>
            <w:pPr>
              <w:spacing w:after="0"/>
              <w:rPr>
                <w:sz w:val="16"/>
                <w:szCs w:val="16"/>
                <w:color w:val="auto"/>
              </w:rPr>
            </w:pPr>
          </w:p>
        </w:tc>
        <w:tc>
          <w:tcPr>
            <w:tcW w:w="1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68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500" w:type="dxa"/>
            <w:vAlign w:val="bottom"/>
          </w:tcPr>
          <w:p>
            <w:pPr>
              <w:spacing w:after="0"/>
              <w:rPr>
                <w:sz w:val="15"/>
                <w:szCs w:val="15"/>
                <w:color w:val="auto"/>
              </w:rPr>
            </w:pP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 yet</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400" w:type="dxa"/>
            <w:vAlign w:val="bottom"/>
          </w:tcPr>
          <w:p>
            <w:pPr>
              <w:jc w:val="center"/>
              <w:ind w:left="71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500" w:type="dxa"/>
            <w:vAlign w:val="bottom"/>
          </w:tcPr>
          <w:p>
            <w:pPr>
              <w:spacing w:after="0"/>
              <w:rPr>
                <w:sz w:val="16"/>
                <w:szCs w:val="16"/>
                <w:color w:val="auto"/>
              </w:rPr>
            </w:pPr>
          </w:p>
        </w:tc>
        <w:tc>
          <w:tcPr>
            <w:tcW w:w="19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6"/>
        </w:trPr>
        <w:tc>
          <w:tcPr>
            <w:tcW w:w="252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Pr>
          <w:p>
            <w:pPr>
              <w:jc w:val="center"/>
              <w:ind w:left="4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5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24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500" w:type="dxa"/>
            <w:vAlign w:val="bottom"/>
          </w:tcPr>
          <w:p>
            <w:pPr>
              <w:spacing w:after="0"/>
              <w:rPr>
                <w:sz w:val="15"/>
                <w:szCs w:val="15"/>
                <w:color w:val="auto"/>
              </w:rPr>
            </w:pP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4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5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August 1</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6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75.27</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650,004,399</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2 - August 29</w:t>
            </w:r>
          </w:p>
        </w:tc>
        <w:tc>
          <w:tcPr>
            <w:tcW w:w="1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tcPr>
          <w:p>
            <w:pPr>
              <w:spacing w:after="0"/>
              <w:rPr>
                <w:sz w:val="19"/>
                <w:szCs w:val="19"/>
                <w:color w:val="auto"/>
              </w:rPr>
            </w:pPr>
          </w:p>
        </w:tc>
        <w:tc>
          <w:tcPr>
            <w:tcW w:w="24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68.89</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650,004,399</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30 - September 30</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68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59.60</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650,004,399</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6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purchases in this column include 2,331 shares for the period July 1 - August 1, one share for the period August 2 - August 29 and 2,912 shares for the period August 30 - September 30 deemed surrendered to us by participants in our equity incentive plans to satisfy the exercise price or withholding of tax obligations related to the exercise of stock options and vesting of restricted and performance shares.</w:t>
      </w:r>
    </w:p>
    <w:p>
      <w:pPr>
        <w:spacing w:after="0" w:line="13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3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0"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2025, the Board of Directors authorized the repurchase of our ordinary shares up to a maximum dollar limit of $1.0 billion. This authorization expires on December 31, 2028. As of September 30, 2026, we had $650.0 million remaining availability for share repurchases under this authorization. From time to time, we may enter into a Rule 10b5-1 trading plan for the purpose of repurchasing shares under this authorization.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340" w:hanging="332"/>
        <w:spacing w:after="0" w:line="282" w:lineRule="auto"/>
        <w:tabs>
          <w:tab w:leader="none" w:pos="3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2026, none of our directors or Section 16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September 30, 2026</w:t>
      </w:r>
    </w:p>
    <w:p>
      <w:pPr>
        <w:spacing w:after="0" w:line="333" w:lineRule="exact"/>
        <w:rPr>
          <w:sz w:val="20"/>
          <w:szCs w:val="20"/>
          <w:color w:val="auto"/>
        </w:rPr>
      </w:pPr>
    </w:p>
    <w:p>
      <w:pPr>
        <w:jc w:val="right"/>
        <w:ind w:left="140"/>
        <w:spacing w:after="0" w:line="225" w:lineRule="auto"/>
        <w:rPr>
          <w:rFonts w:ascii="Times New Roman" w:cs="Times New Roman" w:eastAsia="Times New Roman" w:hAnsi="Times New Roman"/>
          <w:sz w:val="18"/>
          <w:szCs w:val="18"/>
          <w:b w:val="1"/>
          <w:bCs w:val="1"/>
          <w:color w:val="0000FF"/>
        </w:rPr>
      </w:pPr>
      <w:hyperlink r:id="rId58">
        <w:r>
          <w:rPr>
            <w:rFonts w:ascii="Times New Roman" w:cs="Times New Roman" w:eastAsia="Times New Roman" w:hAnsi="Times New Roman"/>
            <w:sz w:val="18"/>
            <w:szCs w:val="18"/>
            <w:b w:val="1"/>
            <w:bCs w:val="1"/>
            <w:u w:val="single" w:color="auto"/>
            <w:color w:val="0000FF"/>
          </w:rPr>
          <w:t>4.1</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Credit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Agreement, dated as of September 1, 2026, among Pentair plc, Pentair Finance S.à r.l., Pentair, Inc. and the lenders and agents party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thereto. (Incorporated by reference to Exhibit 4.1 to the Current Report on Form 8-K of Pentair plc dated September 1, 2026 (File No. 001-</w:t>
      </w:r>
    </w:p>
    <w:p>
      <w:pPr>
        <w:ind w:left="940"/>
        <w:spacing w:after="0"/>
        <w:rPr>
          <w:sz w:val="20"/>
          <w:szCs w:val="20"/>
          <w:color w:val="auto"/>
        </w:rPr>
      </w:pPr>
      <w:r>
        <w:rPr>
          <w:rFonts w:ascii="Times New Roman" w:cs="Times New Roman" w:eastAsia="Times New Roman" w:hAnsi="Times New Roman"/>
          <w:sz w:val="18"/>
          <w:szCs w:val="18"/>
          <w:color w:val="auto"/>
        </w:rPr>
        <w:t>11625)).</w:t>
      </w:r>
    </w:p>
    <w:p>
      <w:pPr>
        <w:spacing w:after="0" w:line="7" w:lineRule="exact"/>
        <w:rPr>
          <w:sz w:val="20"/>
          <w:szCs w:val="20"/>
          <w:color w:val="auto"/>
        </w:rPr>
      </w:pPr>
    </w:p>
    <w:p>
      <w:pPr>
        <w:ind w:left="940" w:hanging="806"/>
        <w:spacing w:after="0" w:line="234" w:lineRule="auto"/>
        <w:tabs>
          <w:tab w:leader="none" w:pos="940" w:val="left"/>
        </w:tabs>
        <w:numPr>
          <w:ilvl w:val="0"/>
          <w:numId w:val="6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2025 (File No. 001-11625)).</w:t>
      </w:r>
    </w:p>
    <w:p>
      <w:pPr>
        <w:spacing w:after="0" w:line="6"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31"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5" w:lineRule="auto"/>
        <w:tabs>
          <w:tab w:leader="none" w:pos="9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September 30, 2026 are filed herewith, formatted in iXBRL (Inline Extensible Business Reporting Language): (i) the Condensed Consolidated Statements of Operations and Comprehensive Income for the three months and nine months ended September 30, 2026 and 2025, (ii) the Condensed Consolidated Balance Sheets as of September 30, 2026 and December 31, 2025, (iii) the Condensed Consolidated Statements of Cash Flows for the nine months ended September 30, 2026 and 2025, (iv) the Condensed Consolidated Statements of Changes in Equity for the three months and nine months ended September 30, 2026 and 2025, (v) Notes to Condensed Consolidated Financial Statements, and (vi) the information included in Part II, Item 5(c). The instance document does not appear in the interactive data file because its XBRL tags are embedded within the Inline XBRL document.</w:t>
      </w:r>
    </w:p>
    <w:p>
      <w:pPr>
        <w:spacing w:after="0" w:line="15" w:lineRule="exact"/>
        <w:rPr>
          <w:sz w:val="20"/>
          <w:szCs w:val="20"/>
          <w:color w:val="auto"/>
        </w:rPr>
      </w:pPr>
    </w:p>
    <w:p>
      <w:pPr>
        <w:ind w:left="940" w:hanging="793"/>
        <w:spacing w:after="0"/>
        <w:tabs>
          <w:tab w:leader="none" w:pos="9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7"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October 27, 2026.</w:t>
      </w:r>
    </w:p>
    <w:p>
      <w:pPr>
        <w:spacing w:after="0" w:line="200" w:lineRule="exact"/>
        <w:rPr>
          <w:sz w:val="20"/>
          <w:szCs w:val="20"/>
          <w:color w:val="auto"/>
        </w:rPr>
      </w:pPr>
    </w:p>
    <w:p>
      <w:pPr>
        <w:spacing w:after="0" w:line="3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2871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Interim Executive Vice President and Chief Financial Officer</w:t>
      </w:r>
    </w:p>
    <w:p>
      <w:pPr>
        <w:spacing w:after="0" w:line="28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 /s/ Jennifer M.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2871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Jennifer M. Hensley</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ind w:left="6740"/>
        <w:spacing w:after="0"/>
        <w:rPr>
          <w:sz w:val="20"/>
          <w:szCs w:val="20"/>
          <w:color w:val="auto"/>
        </w:rPr>
      </w:pPr>
      <w:r>
        <w:rPr>
          <w:rFonts w:ascii="Times New Roman" w:cs="Times New Roman" w:eastAsia="Times New Roman" w:hAnsi="Times New Roman"/>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Executive Vice President and Chief Financial Officer</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September 30, 2026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September 30, 2026 as filed with the Securities and Exchange Commission on the date hereof (the “Report”), I, Robert P. Fishman, Interim Executive Vice President and Chief Financial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3"/>
    </w:lvl>
  </w:abstractNum>
  <w:abstractNum w:abstractNumId="6">
    <w:nsid w:val="7724C67E"/>
    <w:multiLevelType w:val="hybridMultilevel"/>
    <w:lvl w:ilvl="0">
      <w:lvlJc w:val="left"/>
      <w:lvlText w:val="%1."/>
      <w:numFmt w:val="decimal"/>
      <w:start w:val="4"/>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1"/>
    </w:lvl>
  </w:abstractNum>
  <w:abstractNum w:abstractNumId="12">
    <w:nsid w:val="580BD78F"/>
    <w:multiLevelType w:val="hybridMultilevel"/>
    <w:lvl w:ilvl="0">
      <w:lvlJc w:val="left"/>
      <w:lvlText w:val="•"/>
      <w:numFmt w:val="bullet"/>
      <w:start w:val="1"/>
    </w:lvl>
    <w:lvl w:ilvl="1">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4"/>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6"/>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lvl w:ilvl="1">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3"/>
    </w:lvl>
  </w:abstractNum>
  <w:abstractNum w:abstractNumId="61">
    <w:nsid w:val="2F305DEF"/>
    <w:multiLevelType w:val="hybridMultilevel"/>
    <w:lvl w:ilvl="0">
      <w:lvlJc w:val="left"/>
      <w:lvlText w:val="%1"/>
      <w:numFmt w:val="decimal"/>
      <w:start w:val="22"/>
    </w:lvl>
  </w:abstractNum>
  <w:abstractNum w:abstractNumId="62">
    <w:nsid w:val="25A70BF7"/>
    <w:multiLevelType w:val="hybridMultilevel"/>
    <w:lvl w:ilvl="0">
      <w:lvlJc w:val="left"/>
      <w:lvlText w:val="%1"/>
      <w:numFmt w:val="decimal"/>
      <w:start w:val="101"/>
    </w:lvl>
  </w:abstractNum>
  <w:abstractNum w:abstractNumId="63">
    <w:nsid w:val="1DBABF00"/>
    <w:multiLevelType w:val="hybridMultilevel"/>
    <w:lvl w:ilvl="0">
      <w:lvlJc w:val="left"/>
      <w:lvlText w:val="%1"/>
      <w:numFmt w:val="decimal"/>
      <w:start w:val="104"/>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8" Type="http://schemas.openxmlformats.org/officeDocument/2006/relationships/hyperlink" Target="https://www.sec.gov/Archives/edgar/data/77360/000110465926104725/tm2624576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2026-10-27T16:00:29Z</dcterms:created>
  <dcterms:modified xsi:type="dcterms:W3CDTF">2026-10-27T16:00:29Z</dcterms:modified>
</cp:coreProperties>
</file>