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Barra Melissa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PENTAIR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PNR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5500 WAYZATA BLVD.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1,564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and subject to a vesting condition of the Pentair plc 2020 Share and Incentive Plan. Each restricted stock unit represents a right to receive one Pentair plc share upon vesting.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shares acquired under a dividend reinvestment plan in exempt transactions not required to be reported pursuant to Section 16(a).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reflect the vesting of restricted stock units that were previously reported.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to pay taxes applicable to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Wilson,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Melissa Barra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0667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2026-01-06T16:15:30Z</dcterms:created>
  <dcterms:modified xsi:type="dcterms:W3CDTF">2026-01-06T16:15:30Z</dcterms:modified>
</cp:coreProperties>
</file>