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Fishman Robert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5500 WAYZATA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GOLDEN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PENTAIR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7"/>
        <w:gridCol w:w="903"/>
        <w:gridCol w:w="773"/>
        <w:gridCol w:w="599"/>
        <w:gridCol w:w="343"/>
        <w:gridCol w:w="918"/>
        <w:gridCol w:w="440"/>
        <w:gridCol w:w="603"/>
        <w:gridCol w:w="1351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- Restricted Stock Units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13,214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18,510.894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pursuant to and subject to a vesting condition of the Pentair plc 2020 Share and Incentive Plan. Each restricted stock unit represents a right to receive one Pentair plc share upon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Wilson, Attorney-in-Fact for Robert P. Fishman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9744" TargetMode="External"/><Relationship Id="rId5" Type="http://schemas.openxmlformats.org/officeDocument/2006/relationships/hyperlink" Target="http://www.sec.gov/cgi-bin/browse-edgar?action=getcompany&amp;CIK=00000773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3277</Characters>
  <CharactersWithSpaces>3825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