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34" w:lineRule="exact"/>
        <w:rPr>
          <w:sz w:val="24"/>
          <w:szCs w:val="24"/>
          <w:color w:val="auto"/>
        </w:rPr>
      </w:pPr>
    </w:p>
    <w:p>
      <w:pPr>
        <w:jc w:val="center"/>
        <w:ind w:right="-1080"/>
        <w:spacing w:after="0"/>
        <w:rPr>
          <w:sz w:val="20"/>
          <w:szCs w:val="20"/>
          <w:color w:val="auto"/>
        </w:rPr>
      </w:pPr>
      <w:r>
        <w:rPr>
          <w:rFonts w:ascii="Arial" w:cs="Arial" w:eastAsia="Arial" w:hAnsi="Arial"/>
          <w:sz w:val="18"/>
          <w:szCs w:val="18"/>
          <w:color w:val="auto"/>
        </w:rPr>
        <w:t>UNITED STATES</w:t>
      </w:r>
    </w:p>
    <w:p>
      <w:pPr>
        <w:spacing w:after="0" w:line="32" w:lineRule="exact"/>
        <w:rPr>
          <w:sz w:val="24"/>
          <w:szCs w:val="24"/>
          <w:color w:val="auto"/>
        </w:rPr>
      </w:pPr>
    </w:p>
    <w:p>
      <w:pPr>
        <w:jc w:val="center"/>
        <w:ind w:right="-1080"/>
        <w:spacing w:after="0"/>
        <w:rPr>
          <w:sz w:val="20"/>
          <w:szCs w:val="20"/>
          <w:color w:val="auto"/>
        </w:rPr>
      </w:pPr>
      <w:r>
        <w:rPr>
          <w:rFonts w:ascii="Arial" w:cs="Arial" w:eastAsia="Arial" w:hAnsi="Arial"/>
          <w:sz w:val="18"/>
          <w:szCs w:val="18"/>
          <w:color w:val="auto"/>
        </w:rPr>
        <w:t>SECURITIES AND EXCHANGE COMMISSION</w:t>
      </w:r>
    </w:p>
    <w:p>
      <w:pPr>
        <w:spacing w:after="0" w:line="27" w:lineRule="exact"/>
        <w:rPr>
          <w:sz w:val="24"/>
          <w:szCs w:val="24"/>
          <w:color w:val="auto"/>
        </w:rPr>
      </w:pPr>
    </w:p>
    <w:p>
      <w:pPr>
        <w:ind w:left="4620"/>
        <w:spacing w:after="0"/>
        <w:rPr>
          <w:sz w:val="20"/>
          <w:szCs w:val="20"/>
          <w:color w:val="auto"/>
        </w:rPr>
      </w:pPr>
      <w:r>
        <w:rPr>
          <w:rFonts w:ascii="Arial" w:cs="Arial" w:eastAsia="Arial" w:hAnsi="Arial"/>
          <w:sz w:val="18"/>
          <w:szCs w:val="18"/>
          <w:color w:val="auto"/>
        </w:rPr>
        <w:t>Washington, D.C. 20549</w:t>
      </w:r>
    </w:p>
    <w:p>
      <w:pPr>
        <w:spacing w:after="0" w:line="131" w:lineRule="exact"/>
        <w:rPr>
          <w:sz w:val="24"/>
          <w:szCs w:val="24"/>
          <w:color w:val="auto"/>
        </w:rPr>
      </w:pPr>
    </w:p>
    <w:p>
      <w:pPr>
        <w:ind w:left="4920"/>
        <w:spacing w:after="0"/>
        <w:rPr>
          <w:sz w:val="20"/>
          <w:szCs w:val="20"/>
          <w:color w:val="auto"/>
        </w:rPr>
      </w:pPr>
      <w:r>
        <w:rPr>
          <w:rFonts w:ascii="Arial" w:cs="Arial" w:eastAsia="Arial" w:hAnsi="Arial"/>
          <w:sz w:val="18"/>
          <w:szCs w:val="18"/>
          <w:color w:val="auto"/>
        </w:rPr>
        <w:t>SCHEDULE 14A</w:t>
      </w:r>
    </w:p>
    <w:p>
      <w:pPr>
        <w:spacing w:after="0" w:line="131" w:lineRule="exact"/>
        <w:rPr>
          <w:sz w:val="24"/>
          <w:szCs w:val="24"/>
          <w:color w:val="auto"/>
        </w:rPr>
      </w:pPr>
    </w:p>
    <w:p>
      <w:pPr>
        <w:ind w:left="3640"/>
        <w:spacing w:after="0"/>
        <w:rPr>
          <w:sz w:val="20"/>
          <w:szCs w:val="20"/>
          <w:color w:val="auto"/>
        </w:rPr>
      </w:pPr>
      <w:r>
        <w:rPr>
          <w:rFonts w:ascii="Arial" w:cs="Arial" w:eastAsia="Arial" w:hAnsi="Arial"/>
          <w:sz w:val="18"/>
          <w:szCs w:val="18"/>
          <w:color w:val="auto"/>
        </w:rPr>
        <w:t>Proxy Statement Pursuant to Section 14(a) of the</w:t>
      </w:r>
    </w:p>
    <w:p>
      <w:pPr>
        <w:spacing w:after="0" w:line="36" w:lineRule="exact"/>
        <w:rPr>
          <w:sz w:val="24"/>
          <w:szCs w:val="24"/>
          <w:color w:val="auto"/>
        </w:rPr>
      </w:pPr>
    </w:p>
    <w:p>
      <w:pPr>
        <w:ind w:left="3520"/>
        <w:spacing w:after="0"/>
        <w:rPr>
          <w:sz w:val="20"/>
          <w:szCs w:val="20"/>
          <w:color w:val="auto"/>
        </w:rPr>
      </w:pPr>
      <w:r>
        <w:rPr>
          <w:rFonts w:ascii="Arial" w:cs="Arial" w:eastAsia="Arial" w:hAnsi="Arial"/>
          <w:sz w:val="18"/>
          <w:szCs w:val="18"/>
          <w:color w:val="auto"/>
        </w:rPr>
        <w:t>Securities Exchange Act of 1934 (Amendment No. )</w:t>
      </w:r>
    </w:p>
    <w:p>
      <w:pPr>
        <w:spacing w:after="0" w:line="128" w:lineRule="exact"/>
        <w:rPr>
          <w:sz w:val="24"/>
          <w:szCs w:val="24"/>
          <w:color w:val="auto"/>
        </w:rPr>
      </w:pPr>
    </w:p>
    <w:p>
      <w:pPr>
        <w:spacing w:after="0" w:line="242" w:lineRule="exact"/>
        <w:tabs>
          <w:tab w:leader="none" w:pos="440" w:val="left"/>
          <w:tab w:leader="none" w:pos="5580" w:val="left"/>
          <w:tab w:leader="none" w:pos="6040" w:val="left"/>
        </w:tabs>
        <w:rPr>
          <w:sz w:val="20"/>
          <w:szCs w:val="20"/>
          <w:color w:val="auto"/>
        </w:rPr>
      </w:pPr>
      <w:r>
        <w:rPr>
          <w:rFonts w:ascii="MS PGothic" w:cs="MS PGothic" w:eastAsia="MS PGothic" w:hAnsi="MS PGothic"/>
          <w:sz w:val="21"/>
          <w:szCs w:val="21"/>
          <w:color w:val="auto"/>
        </w:rPr>
        <w:t>☑</w:t>
      </w:r>
      <w:r>
        <w:rPr>
          <w:rFonts w:ascii="Arial" w:cs="Arial" w:eastAsia="Arial" w:hAnsi="Arial"/>
          <w:sz w:val="18"/>
          <w:szCs w:val="18"/>
          <w:color w:val="auto"/>
        </w:rPr>
        <w:tab/>
        <w:t>Filed by the Registrant</w:t>
      </w:r>
      <w:r>
        <w:rPr>
          <w:sz w:val="20"/>
          <w:szCs w:val="20"/>
          <w:color w:val="auto"/>
        </w:rPr>
        <w:tab/>
      </w:r>
      <w:r>
        <w:rPr>
          <w:rFonts w:ascii="MS PGothic" w:cs="MS PGothic" w:eastAsia="MS PGothic" w:hAnsi="MS PGothic"/>
          <w:sz w:val="22"/>
          <w:szCs w:val="22"/>
          <w:color w:val="auto"/>
        </w:rPr>
        <w:t>☐</w:t>
      </w:r>
      <w:r>
        <w:rPr>
          <w:sz w:val="20"/>
          <w:szCs w:val="20"/>
          <w:color w:val="auto"/>
        </w:rPr>
        <w:tab/>
      </w:r>
      <w:r>
        <w:rPr>
          <w:rFonts w:ascii="Arial" w:cs="Arial" w:eastAsia="Arial" w:hAnsi="Arial"/>
          <w:sz w:val="17"/>
          <w:szCs w:val="17"/>
          <w:color w:val="auto"/>
        </w:rPr>
        <w:t>Filed by a party other than the Registrant</w:t>
      </w:r>
    </w:p>
    <w:p>
      <w:pPr>
        <w:spacing w:after="0" w:line="200" w:lineRule="exact"/>
        <w:rPr>
          <w:sz w:val="24"/>
          <w:szCs w:val="24"/>
          <w:color w:val="auto"/>
        </w:rPr>
      </w:pPr>
    </w:p>
    <w:p>
      <w:pPr>
        <w:spacing w:after="0" w:line="200" w:lineRule="exact"/>
        <w:rPr>
          <w:sz w:val="24"/>
          <w:szCs w:val="24"/>
          <w:color w:val="auto"/>
        </w:rPr>
      </w:pPr>
    </w:p>
    <w:p>
      <w:pPr>
        <w:spacing w:after="0" w:line="347" w:lineRule="exact"/>
        <w:rPr>
          <w:sz w:val="24"/>
          <w:szCs w:val="24"/>
          <w:color w:val="auto"/>
        </w:rPr>
      </w:pPr>
    </w:p>
    <w:p>
      <w:pPr>
        <w:ind w:left="80"/>
        <w:spacing w:after="0"/>
        <w:rPr>
          <w:sz w:val="20"/>
          <w:szCs w:val="20"/>
          <w:color w:val="auto"/>
        </w:rPr>
      </w:pPr>
      <w:r>
        <w:rPr>
          <w:rFonts w:ascii="Arial" w:cs="Arial" w:eastAsia="Arial" w:hAnsi="Arial"/>
          <w:sz w:val="18"/>
          <w:szCs w:val="18"/>
          <w:color w:val="auto"/>
        </w:rPr>
        <w:t>CHECK THE APPROPRIATE BOX:</w:t>
      </w:r>
    </w:p>
    <w:p>
      <w:pPr>
        <w:spacing w:after="0" w:line="171" w:lineRule="exact"/>
        <w:rPr>
          <w:sz w:val="24"/>
          <w:szCs w:val="24"/>
          <w:color w:val="auto"/>
        </w:rPr>
      </w:pPr>
    </w:p>
    <w:p>
      <w:pPr>
        <w:ind w:left="520" w:hanging="437"/>
        <w:spacing w:after="0"/>
        <w:tabs>
          <w:tab w:leader="none" w:pos="52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Preliminary Proxy Statement</w:t>
      </w:r>
    </w:p>
    <w:p>
      <w:pPr>
        <w:spacing w:after="0" w:line="150" w:lineRule="exact"/>
        <w:rPr>
          <w:rFonts w:ascii="MS PGothic" w:cs="MS PGothic" w:eastAsia="MS PGothic" w:hAnsi="MS PGothic"/>
          <w:sz w:val="22"/>
          <w:szCs w:val="22"/>
          <w:color w:val="auto"/>
        </w:rPr>
      </w:pPr>
    </w:p>
    <w:p>
      <w:pPr>
        <w:ind w:left="520" w:hanging="437"/>
        <w:spacing w:after="0"/>
        <w:tabs>
          <w:tab w:leader="none" w:pos="520" w:val="left"/>
        </w:tabs>
        <w:numPr>
          <w:ilvl w:val="0"/>
          <w:numId w:val="1"/>
        </w:numPr>
        <w:rPr>
          <w:rFonts w:ascii="MS PGothic" w:cs="MS PGothic" w:eastAsia="MS PGothic" w:hAnsi="MS PGothic"/>
          <w:sz w:val="22"/>
          <w:szCs w:val="22"/>
          <w:color w:val="auto"/>
        </w:rPr>
      </w:pPr>
      <w:r>
        <w:rPr>
          <w:rFonts w:ascii="Arial" w:cs="Arial" w:eastAsia="Arial" w:hAnsi="Arial"/>
          <w:sz w:val="18"/>
          <w:szCs w:val="18"/>
          <w:b w:val="1"/>
          <w:bCs w:val="1"/>
          <w:color w:val="auto"/>
        </w:rPr>
        <w:t>Confidential, for Use of the Commission Only (as permitted by Rule 14a-6(e)(2))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-440055</wp:posOffset>
            </wp:positionV>
            <wp:extent cx="7132320" cy="12001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200150"/>
                    </a:xfrm>
                    <a:prstGeom prst="rect">
                      <a:avLst/>
                    </a:prstGeom>
                    <a:noFill/>
                  </pic:spPr>
                </pic:pic>
              </a:graphicData>
            </a:graphic>
          </wp:anchor>
        </w:drawing>
      </w:r>
    </w:p>
    <w:p>
      <w:pPr>
        <w:spacing w:after="0" w:line="131" w:lineRule="exact"/>
        <w:rPr>
          <w:sz w:val="24"/>
          <w:szCs w:val="24"/>
          <w:color w:val="auto"/>
        </w:rPr>
      </w:pPr>
    </w:p>
    <w:p>
      <w:pPr>
        <w:ind w:left="520" w:hanging="437"/>
        <w:spacing w:after="0"/>
        <w:tabs>
          <w:tab w:leader="none" w:pos="520" w:val="left"/>
        </w:tabs>
        <w:numPr>
          <w:ilvl w:val="0"/>
          <w:numId w:val="2"/>
        </w:numPr>
        <w:rPr>
          <w:rFonts w:ascii="MS PGothic" w:cs="MS PGothic" w:eastAsia="MS PGothic" w:hAnsi="MS PGothic"/>
          <w:sz w:val="22"/>
          <w:szCs w:val="22"/>
          <w:color w:val="auto"/>
        </w:rPr>
      </w:pPr>
      <w:r>
        <w:rPr>
          <w:rFonts w:ascii="Arial" w:cs="Arial" w:eastAsia="Arial" w:hAnsi="Arial"/>
          <w:sz w:val="18"/>
          <w:szCs w:val="18"/>
          <w:color w:val="auto"/>
        </w:rPr>
        <w:t>Definitive Proxy Statement</w:t>
      </w:r>
    </w:p>
    <w:p>
      <w:pPr>
        <w:spacing w:after="0" w:line="151" w:lineRule="exact"/>
        <w:rPr>
          <w:sz w:val="24"/>
          <w:szCs w:val="24"/>
          <w:color w:val="auto"/>
        </w:rPr>
      </w:pPr>
    </w:p>
    <w:p>
      <w:pPr>
        <w:ind w:left="520" w:hanging="437"/>
        <w:spacing w:after="0"/>
        <w:tabs>
          <w:tab w:leader="none" w:pos="520" w:val="left"/>
        </w:tabs>
        <w:numPr>
          <w:ilvl w:val="0"/>
          <w:numId w:val="3"/>
        </w:numPr>
        <w:rPr>
          <w:rFonts w:ascii="MS PGothic" w:cs="MS PGothic" w:eastAsia="MS PGothic" w:hAnsi="MS PGothic"/>
          <w:sz w:val="22"/>
          <w:szCs w:val="22"/>
          <w:color w:val="auto"/>
        </w:rPr>
      </w:pPr>
      <w:r>
        <w:rPr>
          <w:rFonts w:ascii="Arial" w:cs="Arial" w:eastAsia="Arial" w:hAnsi="Arial"/>
          <w:sz w:val="18"/>
          <w:szCs w:val="18"/>
          <w:color w:val="auto"/>
        </w:rPr>
        <w:t>Definitive Additional Materials</w:t>
      </w:r>
    </w:p>
    <w:p>
      <w:pPr>
        <w:spacing w:after="0" w:line="150" w:lineRule="exact"/>
        <w:rPr>
          <w:rFonts w:ascii="MS PGothic" w:cs="MS PGothic" w:eastAsia="MS PGothic" w:hAnsi="MS PGothic"/>
          <w:sz w:val="22"/>
          <w:szCs w:val="22"/>
          <w:color w:val="auto"/>
        </w:rPr>
      </w:pPr>
    </w:p>
    <w:p>
      <w:pPr>
        <w:ind w:left="520" w:hanging="437"/>
        <w:spacing w:after="0"/>
        <w:tabs>
          <w:tab w:leader="none" w:pos="520" w:val="left"/>
        </w:tabs>
        <w:numPr>
          <w:ilvl w:val="0"/>
          <w:numId w:val="3"/>
        </w:numPr>
        <w:rPr>
          <w:rFonts w:ascii="MS PGothic" w:cs="MS PGothic" w:eastAsia="MS PGothic" w:hAnsi="MS PGothic"/>
          <w:sz w:val="22"/>
          <w:szCs w:val="22"/>
          <w:color w:val="auto"/>
        </w:rPr>
      </w:pPr>
      <w:r>
        <w:rPr>
          <w:rFonts w:ascii="Arial" w:cs="Arial" w:eastAsia="Arial" w:hAnsi="Arial"/>
          <w:sz w:val="18"/>
          <w:szCs w:val="18"/>
          <w:color w:val="auto"/>
        </w:rPr>
        <w:t>Soliciting Material under §240.14a-12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39370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2735580</wp:posOffset>
            </wp:positionH>
            <wp:positionV relativeFrom="paragraph">
              <wp:posOffset>219075</wp:posOffset>
            </wp:positionV>
            <wp:extent cx="1645920" cy="4457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45920" cy="4457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1" w:lineRule="exact"/>
        <w:rPr>
          <w:sz w:val="24"/>
          <w:szCs w:val="24"/>
          <w:color w:val="auto"/>
        </w:rPr>
      </w:pPr>
    </w:p>
    <w:p>
      <w:pPr>
        <w:jc w:val="center"/>
        <w:ind w:right="-1080"/>
        <w:spacing w:after="0"/>
        <w:rPr>
          <w:sz w:val="20"/>
          <w:szCs w:val="20"/>
          <w:color w:val="auto"/>
        </w:rPr>
      </w:pPr>
      <w:r>
        <w:rPr>
          <w:rFonts w:ascii="Arial" w:cs="Arial" w:eastAsia="Arial" w:hAnsi="Arial"/>
          <w:sz w:val="22"/>
          <w:szCs w:val="22"/>
          <w:b w:val="1"/>
          <w:bCs w:val="1"/>
          <w:color w:val="auto"/>
        </w:rPr>
        <w:t>Pentair plc</w:t>
      </w:r>
    </w:p>
    <w:p>
      <w:pPr>
        <w:spacing w:after="0" w:line="154" w:lineRule="exact"/>
        <w:rPr>
          <w:sz w:val="24"/>
          <w:szCs w:val="24"/>
          <w:color w:val="auto"/>
        </w:rPr>
      </w:pPr>
    </w:p>
    <w:p>
      <w:pPr>
        <w:jc w:val="center"/>
        <w:ind w:right="-1080"/>
        <w:spacing w:after="0"/>
        <w:rPr>
          <w:sz w:val="20"/>
          <w:szCs w:val="20"/>
          <w:color w:val="auto"/>
        </w:rPr>
      </w:pPr>
      <w:r>
        <w:rPr>
          <w:rFonts w:ascii="Arial" w:cs="Arial" w:eastAsia="Arial" w:hAnsi="Arial"/>
          <w:sz w:val="13"/>
          <w:szCs w:val="13"/>
          <w:color w:val="auto"/>
        </w:rPr>
        <w:t>(Name of Registrant as Specified in its Charter)</w:t>
      </w:r>
    </w:p>
    <w:p>
      <w:pPr>
        <w:spacing w:after="0" w:line="27" w:lineRule="exact"/>
        <w:rPr>
          <w:sz w:val="24"/>
          <w:szCs w:val="24"/>
          <w:color w:val="auto"/>
        </w:rPr>
      </w:pPr>
    </w:p>
    <w:p>
      <w:pPr>
        <w:jc w:val="center"/>
        <w:ind w:right="-1080"/>
        <w:spacing w:after="0"/>
        <w:rPr>
          <w:sz w:val="20"/>
          <w:szCs w:val="20"/>
          <w:color w:val="auto"/>
        </w:rPr>
      </w:pPr>
      <w:r>
        <w:rPr>
          <w:rFonts w:ascii="Arial" w:cs="Arial" w:eastAsia="Arial" w:hAnsi="Arial"/>
          <w:sz w:val="13"/>
          <w:szCs w:val="13"/>
          <w:color w:val="auto"/>
        </w:rPr>
        <w:t>(Name of Person(s) Filing Proxy Statement, if Other Than the Registrant)</w:t>
      </w:r>
    </w:p>
    <w:p>
      <w:pPr>
        <w:spacing w:after="0" w:line="200" w:lineRule="exact"/>
        <w:rPr>
          <w:sz w:val="24"/>
          <w:szCs w:val="24"/>
          <w:color w:val="auto"/>
        </w:rPr>
      </w:pPr>
    </w:p>
    <w:p>
      <w:pPr>
        <w:spacing w:after="0" w:line="346" w:lineRule="exact"/>
        <w:rPr>
          <w:sz w:val="24"/>
          <w:szCs w:val="24"/>
          <w:color w:val="auto"/>
        </w:rPr>
      </w:pPr>
    </w:p>
    <w:p>
      <w:pPr>
        <w:ind w:left="80"/>
        <w:spacing w:after="0"/>
        <w:rPr>
          <w:sz w:val="20"/>
          <w:szCs w:val="20"/>
          <w:color w:val="auto"/>
        </w:rPr>
      </w:pPr>
      <w:r>
        <w:rPr>
          <w:rFonts w:ascii="Arial" w:cs="Arial" w:eastAsia="Arial" w:hAnsi="Arial"/>
          <w:sz w:val="18"/>
          <w:szCs w:val="18"/>
          <w:color w:val="auto"/>
        </w:rPr>
        <w:t>PAYMENT OF FILING FEE (CHECK ALL BOXES THAT APPLY):</w:t>
      </w:r>
    </w:p>
    <w:p>
      <w:pPr>
        <w:spacing w:after="0" w:line="171" w:lineRule="exact"/>
        <w:rPr>
          <w:sz w:val="24"/>
          <w:szCs w:val="24"/>
          <w:color w:val="auto"/>
        </w:rPr>
      </w:pPr>
    </w:p>
    <w:p>
      <w:pPr>
        <w:ind w:left="520" w:hanging="437"/>
        <w:spacing w:after="0"/>
        <w:tabs>
          <w:tab w:leader="none" w:pos="520" w:val="left"/>
        </w:tabs>
        <w:numPr>
          <w:ilvl w:val="0"/>
          <w:numId w:val="4"/>
        </w:numPr>
        <w:rPr>
          <w:rFonts w:ascii="MS PGothic" w:cs="MS PGothic" w:eastAsia="MS PGothic" w:hAnsi="MS PGothic"/>
          <w:sz w:val="22"/>
          <w:szCs w:val="22"/>
          <w:color w:val="auto"/>
        </w:rPr>
      </w:pPr>
      <w:r>
        <w:rPr>
          <w:rFonts w:ascii="Arial" w:cs="Arial" w:eastAsia="Arial" w:hAnsi="Arial"/>
          <w:sz w:val="18"/>
          <w:szCs w:val="18"/>
          <w:color w:val="auto"/>
        </w:rPr>
        <w:t>No fee required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-200025</wp:posOffset>
            </wp:positionV>
            <wp:extent cx="7132320" cy="7200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720090"/>
                    </a:xfrm>
                    <a:prstGeom prst="rect">
                      <a:avLst/>
                    </a:prstGeom>
                    <a:noFill/>
                  </pic:spPr>
                </pic:pic>
              </a:graphicData>
            </a:graphic>
          </wp:anchor>
        </w:drawing>
      </w:r>
    </w:p>
    <w:p>
      <w:pPr>
        <w:spacing w:after="0" w:line="131" w:lineRule="exact"/>
        <w:rPr>
          <w:sz w:val="24"/>
          <w:szCs w:val="24"/>
          <w:color w:val="auto"/>
        </w:rPr>
      </w:pPr>
    </w:p>
    <w:p>
      <w:pPr>
        <w:ind w:left="520" w:hanging="437"/>
        <w:spacing w:after="0"/>
        <w:tabs>
          <w:tab w:leader="none" w:pos="520" w:val="left"/>
        </w:tabs>
        <w:numPr>
          <w:ilvl w:val="0"/>
          <w:numId w:val="5"/>
        </w:numPr>
        <w:rPr>
          <w:rFonts w:ascii="MS PGothic" w:cs="MS PGothic" w:eastAsia="MS PGothic" w:hAnsi="MS PGothic"/>
          <w:sz w:val="22"/>
          <w:szCs w:val="22"/>
          <w:color w:val="auto"/>
        </w:rPr>
      </w:pPr>
      <w:r>
        <w:rPr>
          <w:rFonts w:ascii="Arial" w:cs="Arial" w:eastAsia="Arial" w:hAnsi="Arial"/>
          <w:sz w:val="18"/>
          <w:szCs w:val="18"/>
          <w:color w:val="auto"/>
        </w:rPr>
        <w:t>Fee paid previously with preliminary materials</w:t>
      </w:r>
    </w:p>
    <w:p>
      <w:pPr>
        <w:spacing w:after="0" w:line="150" w:lineRule="exact"/>
        <w:rPr>
          <w:rFonts w:ascii="MS PGothic" w:cs="MS PGothic" w:eastAsia="MS PGothic" w:hAnsi="MS PGothic"/>
          <w:sz w:val="22"/>
          <w:szCs w:val="22"/>
          <w:color w:val="auto"/>
        </w:rPr>
      </w:pPr>
    </w:p>
    <w:p>
      <w:pPr>
        <w:ind w:left="520" w:hanging="437"/>
        <w:spacing w:after="0"/>
        <w:tabs>
          <w:tab w:leader="none" w:pos="520" w:val="left"/>
        </w:tabs>
        <w:numPr>
          <w:ilvl w:val="0"/>
          <w:numId w:val="5"/>
        </w:numPr>
        <w:rPr>
          <w:rFonts w:ascii="MS PGothic" w:cs="MS PGothic" w:eastAsia="MS PGothic" w:hAnsi="MS PGothic"/>
          <w:sz w:val="22"/>
          <w:szCs w:val="22"/>
          <w:color w:val="auto"/>
        </w:rPr>
      </w:pPr>
      <w:r>
        <w:rPr>
          <w:rFonts w:ascii="Arial" w:cs="Arial" w:eastAsia="Arial" w:hAnsi="Arial"/>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-19685</wp:posOffset>
            </wp:positionH>
            <wp:positionV relativeFrom="paragraph">
              <wp:posOffset>1072515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39370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19"/>
          </w:cols>
          <w:pgMar w:left="340" w:top="1440" w:right="1440"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380365</wp:posOffset>
            </wp:positionV>
            <wp:extent cx="7157720" cy="90049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90049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7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216535</wp:posOffset>
            </wp:positionH>
            <wp:positionV relativeFrom="page">
              <wp:posOffset>877570</wp:posOffset>
            </wp:positionV>
            <wp:extent cx="445770" cy="4718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445770" cy="471805"/>
                    </a:xfrm>
                    <a:prstGeom prst="rect">
                      <a:avLst/>
                    </a:prstGeom>
                    <a:noFill/>
                  </pic:spPr>
                </pic:pic>
              </a:graphicData>
            </a:graphic>
          </wp:anchor>
        </w:drawing>
      </w:r>
    </w:p>
    <w:p>
      <w:pPr>
        <w:ind w:left="1080"/>
        <w:spacing w:after="0"/>
        <w:rPr>
          <w:sz w:val="20"/>
          <w:szCs w:val="20"/>
          <w:color w:val="auto"/>
        </w:rPr>
      </w:pPr>
      <w:r>
        <w:rPr>
          <w:rFonts w:ascii="Arial" w:cs="Arial" w:eastAsia="Arial" w:hAnsi="Arial"/>
          <w:sz w:val="43"/>
          <w:szCs w:val="43"/>
          <w:b w:val="1"/>
          <w:bCs w:val="1"/>
          <w:color w:val="0C3471"/>
        </w:rPr>
        <w:t>Letter to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399415</wp:posOffset>
            </wp:positionV>
            <wp:extent cx="7123430" cy="69608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23430" cy="696087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0C3471"/>
        </w:rPr>
        <w:t>David A. Jones</w:t>
      </w:r>
    </w:p>
    <w:p>
      <w:pPr>
        <w:spacing w:after="0" w:line="33" w:lineRule="exact"/>
        <w:rPr>
          <w:sz w:val="20"/>
          <w:szCs w:val="20"/>
          <w:color w:val="auto"/>
        </w:rPr>
      </w:pPr>
    </w:p>
    <w:p>
      <w:pPr>
        <w:ind w:left="20"/>
        <w:spacing w:after="0"/>
        <w:rPr>
          <w:sz w:val="20"/>
          <w:szCs w:val="20"/>
          <w:color w:val="auto"/>
        </w:rPr>
      </w:pPr>
      <w:r>
        <w:rPr>
          <w:rFonts w:ascii="Arial" w:cs="Arial" w:eastAsia="Arial" w:hAnsi="Arial"/>
          <w:sz w:val="14"/>
          <w:szCs w:val="14"/>
          <w:color w:val="auto"/>
        </w:rPr>
        <w:t>Pentair Chair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237490</wp:posOffset>
            </wp:positionV>
            <wp:extent cx="1148715" cy="11487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000000"/>
                        </a:clrFrom>
                        <a:clrTo>
                          <a:srgbClr val="000000">
                            <a:alpha val="0"/>
                          </a:srgbClr>
                        </a:clrTo>
                      </a:clrChange>
                      <a:extLst>
                        <a:ext uri="{28A0092B-C50C-407E-A947-70E740481C1C}"/>
                      </a:extLst>
                    </a:blip>
                    <a:srcRect/>
                    <a:stretch>
                      <a:fillRect/>
                    </a:stretch>
                  </pic:blipFill>
                  <pic:spPr bwMode="auto">
                    <a:xfrm>
                      <a:off x="0" y="0"/>
                      <a:ext cx="1148715" cy="114871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237490</wp:posOffset>
            </wp:positionV>
            <wp:extent cx="1148715" cy="11487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1148715" cy="1148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0C3471"/>
        </w:rPr>
        <w:t>John L. Stauch</w:t>
      </w:r>
    </w:p>
    <w:p>
      <w:pPr>
        <w:spacing w:after="0" w:line="40" w:lineRule="exact"/>
        <w:rPr>
          <w:sz w:val="20"/>
          <w:szCs w:val="20"/>
          <w:color w:val="auto"/>
        </w:rPr>
      </w:pPr>
    </w:p>
    <w:p>
      <w:pPr>
        <w:ind w:left="20"/>
        <w:spacing w:after="0"/>
        <w:rPr>
          <w:sz w:val="20"/>
          <w:szCs w:val="20"/>
          <w:color w:val="auto"/>
        </w:rPr>
      </w:pPr>
      <w:r>
        <w:rPr>
          <w:rFonts w:ascii="Arial" w:cs="Arial" w:eastAsia="Arial" w:hAnsi="Arial"/>
          <w:sz w:val="14"/>
          <w:szCs w:val="14"/>
          <w:color w:val="auto"/>
        </w:rPr>
        <w:t>Pentair President and CEO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140"/>
        <w:spacing w:after="0" w:line="267" w:lineRule="auto"/>
        <w:rPr>
          <w:sz w:val="20"/>
          <w:szCs w:val="20"/>
          <w:color w:val="auto"/>
        </w:rPr>
      </w:pPr>
      <w:r>
        <w:rPr>
          <w:rFonts w:ascii="Arial" w:cs="Arial" w:eastAsia="Arial" w:hAnsi="Arial"/>
          <w:sz w:val="14"/>
          <w:szCs w:val="14"/>
          <w:color w:val="auto"/>
        </w:rPr>
        <w:t>You are cordially invited to attend the Annual General Meeting of Shareholders of Pentair plc on Tuesday, May 5, 2026, at 8:00 a.m. local time (BST). The Annual General Meeting of Shareholders will be held at Claridge’s, Brook Street, Mayfair, London, W1K 4HR, United Kingdom. The enclosed notice of annual general meeting and proxy statement describe the items of business that we will conduct at the meeting and provide you with important information about Pentair plc, including our practices in the areas of corporate governance and executive compensation. We strongly encourage you to read these materials and then vote your shares.</w:t>
      </w:r>
    </w:p>
    <w:p>
      <w:pPr>
        <w:spacing w:after="0" w:line="224" w:lineRule="exact"/>
        <w:rPr>
          <w:sz w:val="20"/>
          <w:szCs w:val="20"/>
          <w:color w:val="auto"/>
        </w:rPr>
      </w:pPr>
    </w:p>
    <w:p>
      <w:pPr>
        <w:ind w:right="340"/>
        <w:spacing w:after="0" w:line="296" w:lineRule="auto"/>
        <w:rPr>
          <w:sz w:val="20"/>
          <w:szCs w:val="20"/>
          <w:color w:val="auto"/>
        </w:rPr>
      </w:pPr>
      <w:r>
        <w:rPr>
          <w:rFonts w:ascii="Arial" w:cs="Arial" w:eastAsia="Arial" w:hAnsi="Arial"/>
          <w:sz w:val="20"/>
          <w:szCs w:val="20"/>
          <w:b w:val="1"/>
          <w:bCs w:val="1"/>
          <w:color w:val="0C3471"/>
        </w:rPr>
        <w:t>Operational Excellence and Disciplined Execution continued to deliver results as we focus on initiatives to accelerate profitable growth</w:t>
      </w:r>
    </w:p>
    <w:p>
      <w:pPr>
        <w:spacing w:after="0" w:line="1" w:lineRule="exact"/>
        <w:rPr>
          <w:sz w:val="20"/>
          <w:szCs w:val="20"/>
          <w:color w:val="auto"/>
        </w:rPr>
      </w:pPr>
    </w:p>
    <w:p>
      <w:pPr>
        <w:ind w:right="420"/>
        <w:spacing w:after="0" w:line="283" w:lineRule="auto"/>
        <w:rPr>
          <w:sz w:val="20"/>
          <w:szCs w:val="20"/>
          <w:color w:val="auto"/>
        </w:rPr>
      </w:pPr>
      <w:r>
        <w:rPr>
          <w:rFonts w:ascii="Arial" w:cs="Arial" w:eastAsia="Arial" w:hAnsi="Arial"/>
          <w:sz w:val="14"/>
          <w:szCs w:val="14"/>
          <w:b w:val="1"/>
          <w:bCs w:val="1"/>
          <w:color w:val="auto"/>
        </w:rPr>
        <w:t xml:space="preserve">Pentair Business System </w:t>
      </w:r>
      <w:r>
        <w:rPr>
          <w:rFonts w:ascii="Arial" w:cs="Arial" w:eastAsia="Arial" w:hAnsi="Arial"/>
          <w:sz w:val="14"/>
          <w:szCs w:val="14"/>
          <w:color w:val="auto"/>
        </w:rPr>
        <w:t>- Operational excellence and disciplined execution of the Pentair Business System drove record</w:t>
      </w:r>
      <w:r>
        <w:rPr>
          <w:rFonts w:ascii="Arial" w:cs="Arial" w:eastAsia="Arial" w:hAnsi="Arial"/>
          <w:sz w:val="14"/>
          <w:szCs w:val="14"/>
          <w:b w:val="1"/>
          <w:bCs w:val="1"/>
          <w:color w:val="auto"/>
        </w:rPr>
        <w:t xml:space="preserve"> </w:t>
      </w:r>
      <w:r>
        <w:rPr>
          <w:rFonts w:ascii="Arial" w:cs="Arial" w:eastAsia="Arial" w:hAnsi="Arial"/>
          <w:sz w:val="14"/>
          <w:szCs w:val="14"/>
          <w:color w:val="auto"/>
        </w:rPr>
        <w:t>annual sales, continued margin expansion, and strong free cash flow generation in 2025. Our 2025 performance reflects disciplined execution across all three business segments - Flow, Water Solutions and Pool.</w:t>
      </w:r>
    </w:p>
    <w:p>
      <w:pPr>
        <w:spacing w:after="0" w:line="51" w:lineRule="exact"/>
        <w:rPr>
          <w:sz w:val="20"/>
          <w:szCs w:val="20"/>
          <w:color w:val="auto"/>
        </w:rPr>
      </w:pPr>
    </w:p>
    <w:p>
      <w:pPr>
        <w:ind w:right="200"/>
        <w:spacing w:after="0" w:line="272" w:lineRule="auto"/>
        <w:rPr>
          <w:sz w:val="20"/>
          <w:szCs w:val="20"/>
          <w:color w:val="auto"/>
        </w:rPr>
      </w:pPr>
      <w:r>
        <w:rPr>
          <w:rFonts w:ascii="Arial" w:cs="Arial" w:eastAsia="Arial" w:hAnsi="Arial"/>
          <w:sz w:val="14"/>
          <w:szCs w:val="14"/>
          <w:b w:val="1"/>
          <w:bCs w:val="1"/>
          <w:color w:val="auto"/>
        </w:rPr>
        <w:t xml:space="preserve">Balanced Portfolio </w:t>
      </w:r>
      <w:r>
        <w:rPr>
          <w:rFonts w:ascii="Arial" w:cs="Arial" w:eastAsia="Arial" w:hAnsi="Arial"/>
          <w:sz w:val="14"/>
          <w:szCs w:val="14"/>
          <w:color w:val="auto"/>
        </w:rPr>
        <w:t>- We recently announced organizational and leadership updates designed to accelerate value creation for</w:t>
      </w:r>
      <w:r>
        <w:rPr>
          <w:rFonts w:ascii="Arial" w:cs="Arial" w:eastAsia="Arial" w:hAnsi="Arial"/>
          <w:sz w:val="14"/>
          <w:szCs w:val="14"/>
          <w:b w:val="1"/>
          <w:bCs w:val="1"/>
          <w:color w:val="auto"/>
        </w:rPr>
        <w:t xml:space="preserve"> </w:t>
      </w:r>
      <w:r>
        <w:rPr>
          <w:rFonts w:ascii="Arial" w:cs="Arial" w:eastAsia="Arial" w:hAnsi="Arial"/>
          <w:sz w:val="14"/>
          <w:szCs w:val="14"/>
          <w:color w:val="auto"/>
        </w:rPr>
        <w:t>our business. We combined our Flow Residential business with our Residential business within Water Solutions, aligning go-to-market channels and creating operational synergies intended to drive increased scale, efficiency, and growth opportunities. We also welcomed incoming executive leadership and appointed leaders to new roles overseeing the updated organizational structure and our strategy, digital and innovation initiatives.</w:t>
      </w:r>
    </w:p>
    <w:p>
      <w:pPr>
        <w:spacing w:after="0" w:line="45" w:lineRule="exact"/>
        <w:rPr>
          <w:sz w:val="20"/>
          <w:szCs w:val="20"/>
          <w:color w:val="auto"/>
        </w:rPr>
      </w:pPr>
    </w:p>
    <w:p>
      <w:pPr>
        <w:ind w:right="360"/>
        <w:spacing w:after="0" w:line="296" w:lineRule="auto"/>
        <w:rPr>
          <w:sz w:val="20"/>
          <w:szCs w:val="20"/>
          <w:color w:val="auto"/>
        </w:rPr>
      </w:pPr>
      <w:r>
        <w:rPr>
          <w:rFonts w:ascii="Arial" w:cs="Arial" w:eastAsia="Arial" w:hAnsi="Arial"/>
          <w:sz w:val="20"/>
          <w:szCs w:val="20"/>
          <w:b w:val="1"/>
          <w:bCs w:val="1"/>
          <w:color w:val="0C3471"/>
        </w:rPr>
        <w:t>How we Win Right: Advancing smart, sustainable water solutions for people and the planet</w:t>
      </w:r>
    </w:p>
    <w:p>
      <w:pPr>
        <w:spacing w:after="0" w:line="1" w:lineRule="exact"/>
        <w:rPr>
          <w:sz w:val="20"/>
          <w:szCs w:val="20"/>
          <w:color w:val="auto"/>
        </w:rPr>
      </w:pPr>
    </w:p>
    <w:p>
      <w:pPr>
        <w:ind w:right="120"/>
        <w:spacing w:after="0" w:line="305" w:lineRule="auto"/>
        <w:rPr>
          <w:sz w:val="20"/>
          <w:szCs w:val="20"/>
          <w:color w:val="auto"/>
        </w:rPr>
      </w:pPr>
      <w:r>
        <w:rPr>
          <w:rFonts w:ascii="Arial" w:cs="Arial" w:eastAsia="Arial" w:hAnsi="Arial"/>
          <w:sz w:val="14"/>
          <w:szCs w:val="14"/>
          <w:color w:val="auto"/>
        </w:rPr>
        <w:t xml:space="preserve">Our Board is focused on our strategies to achieve our mission of helping the world sustainably </w:t>
      </w:r>
      <w:r>
        <w:rPr>
          <w:rFonts w:ascii="Arial" w:cs="Arial" w:eastAsia="Arial" w:hAnsi="Arial"/>
          <w:sz w:val="14"/>
          <w:szCs w:val="14"/>
          <w:b w:val="1"/>
          <w:bCs w:val="1"/>
          <w:color w:val="auto"/>
        </w:rPr>
        <w:t>move</w:t>
      </w:r>
      <w:r>
        <w:rPr>
          <w:rFonts w:ascii="Arial" w:cs="Arial" w:eastAsia="Arial" w:hAnsi="Arial"/>
          <w:sz w:val="14"/>
          <w:szCs w:val="14"/>
          <w:color w:val="auto"/>
        </w:rPr>
        <w:t xml:space="preserve">, </w:t>
      </w:r>
      <w:r>
        <w:rPr>
          <w:rFonts w:ascii="Arial" w:cs="Arial" w:eastAsia="Arial" w:hAnsi="Arial"/>
          <w:sz w:val="14"/>
          <w:szCs w:val="14"/>
          <w:b w:val="1"/>
          <w:bCs w:val="1"/>
          <w:color w:val="auto"/>
        </w:rPr>
        <w:t>improve</w:t>
      </w:r>
      <w:r>
        <w:rPr>
          <w:rFonts w:ascii="Arial" w:cs="Arial" w:eastAsia="Arial" w:hAnsi="Arial"/>
          <w:sz w:val="14"/>
          <w:szCs w:val="14"/>
          <w:color w:val="auto"/>
        </w:rPr>
        <w:t xml:space="preserve"> and </w:t>
      </w:r>
      <w:r>
        <w:rPr>
          <w:rFonts w:ascii="Arial" w:cs="Arial" w:eastAsia="Arial" w:hAnsi="Arial"/>
          <w:sz w:val="14"/>
          <w:szCs w:val="14"/>
          <w:b w:val="1"/>
          <w:bCs w:val="1"/>
          <w:color w:val="auto"/>
        </w:rPr>
        <w:t>enjoy</w:t>
      </w:r>
      <w:r>
        <w:rPr>
          <w:rFonts w:ascii="Arial" w:cs="Arial" w:eastAsia="Arial" w:hAnsi="Arial"/>
          <w:sz w:val="14"/>
          <w:szCs w:val="14"/>
          <w:color w:val="auto"/>
        </w:rPr>
        <w:t xml:space="preserve"> water, life’s most essential resource.</w:t>
      </w:r>
    </w:p>
    <w:p>
      <w:pPr>
        <w:spacing w:after="0" w:line="36" w:lineRule="exact"/>
        <w:rPr>
          <w:sz w:val="20"/>
          <w:szCs w:val="20"/>
          <w:color w:val="auto"/>
        </w:rPr>
      </w:pPr>
    </w:p>
    <w:p>
      <w:pPr>
        <w:ind w:right="400"/>
        <w:spacing w:after="0" w:line="272" w:lineRule="auto"/>
        <w:rPr>
          <w:sz w:val="20"/>
          <w:szCs w:val="20"/>
          <w:color w:val="auto"/>
        </w:rPr>
      </w:pPr>
      <w:r>
        <w:rPr>
          <w:rFonts w:ascii="Arial" w:cs="Arial" w:eastAsia="Arial" w:hAnsi="Arial"/>
          <w:sz w:val="14"/>
          <w:szCs w:val="14"/>
          <w:color w:val="auto"/>
        </w:rPr>
        <w:t>Throughout 2025, our board monitored our progress on our sustainability targets and strategy, which are aligned with our business strategy. As we move into 2026, we remain focused on continuing our leadership in the water industry through sustainable innovation, advancing our positive impact while furthering the resiliency of our business and driving growth. This includes continuing to deliver on our sustainability targets with a focus on water stewardship, greenhouse gas emissions reduction, and product design for sustainability.</w:t>
      </w:r>
    </w:p>
    <w:p>
      <w:pPr>
        <w:spacing w:after="0" w:line="45" w:lineRule="exact"/>
        <w:rPr>
          <w:sz w:val="20"/>
          <w:szCs w:val="20"/>
          <w:color w:val="auto"/>
        </w:rPr>
      </w:pPr>
    </w:p>
    <w:p>
      <w:pPr>
        <w:spacing w:after="0"/>
        <w:rPr>
          <w:sz w:val="20"/>
          <w:szCs w:val="20"/>
          <w:color w:val="auto"/>
        </w:rPr>
      </w:pPr>
      <w:r>
        <w:rPr>
          <w:rFonts w:ascii="Arial" w:cs="Arial" w:eastAsia="Arial" w:hAnsi="Arial"/>
          <w:sz w:val="19"/>
          <w:szCs w:val="19"/>
          <w:b w:val="1"/>
          <w:bCs w:val="1"/>
          <w:color w:val="0C3471"/>
        </w:rPr>
        <w:t>The Board is committed to governance practices that serve our shareholders’ interests</w:t>
      </w:r>
    </w:p>
    <w:p>
      <w:pPr>
        <w:spacing w:after="0" w:line="106" w:lineRule="exact"/>
        <w:rPr>
          <w:sz w:val="20"/>
          <w:szCs w:val="20"/>
          <w:color w:val="auto"/>
        </w:rPr>
      </w:pPr>
    </w:p>
    <w:p>
      <w:pPr>
        <w:ind w:right="60"/>
        <w:spacing w:after="0" w:line="276" w:lineRule="auto"/>
        <w:rPr>
          <w:sz w:val="20"/>
          <w:szCs w:val="20"/>
          <w:color w:val="auto"/>
        </w:rPr>
      </w:pPr>
      <w:r>
        <w:rPr>
          <w:rFonts w:ascii="Arial" w:cs="Arial" w:eastAsia="Arial" w:hAnsi="Arial"/>
          <w:sz w:val="14"/>
          <w:szCs w:val="14"/>
          <w:color w:val="auto"/>
        </w:rPr>
        <w:t>The Board is led by an independent Chair of the Board, and all directors, other than our CEO, are independent. Importantly, the Board reviews and monitors our corporate strategy throughout the year, and allocates risk oversight among the full Board and the Board’s committees. The Board also oversees our shareholder engagement program that provides an opportunity to hear directly from shareholders.</w:t>
      </w:r>
    </w:p>
    <w:p>
      <w:pPr>
        <w:spacing w:after="0" w:line="69" w:lineRule="exact"/>
        <w:rPr>
          <w:sz w:val="20"/>
          <w:szCs w:val="20"/>
          <w:color w:val="auto"/>
        </w:rPr>
      </w:pPr>
    </w:p>
    <w:p>
      <w:pPr>
        <w:ind w:right="160"/>
        <w:spacing w:after="0" w:line="267" w:lineRule="auto"/>
        <w:rPr>
          <w:sz w:val="20"/>
          <w:szCs w:val="20"/>
          <w:color w:val="auto"/>
        </w:rPr>
      </w:pPr>
      <w:r>
        <w:rPr>
          <w:rFonts w:ascii="Arial" w:cs="Arial" w:eastAsia="Arial" w:hAnsi="Arial"/>
          <w:sz w:val="14"/>
          <w:szCs w:val="14"/>
          <w:color w:val="auto"/>
        </w:rPr>
        <w:t>Effective at our Annual Meeting of Shareholders, David Jones will be retiring from the Board. Mr. Jones has served as a director since 2003, and as our Chair since 2018. During his tenure as a director and Chair, he has contributed to and led a high-performing and collegial Board focused on strong governance and advancing the best of interests of our company and shareholders. We are immensely grateful for Mr. Jones’s indelible impact on Pentair and for his leadership of our Board in creating significant shareholder value.</w:t>
      </w:r>
    </w:p>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On behalf of the entire Board, we thank you for your confidence in us. We value your investment, your input and your support.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1198245</wp:posOffset>
            </wp:positionV>
            <wp:extent cx="334010" cy="2571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000000"/>
                        </a:clrFrom>
                        <a:clrTo>
                          <a:srgbClr val="000000">
                            <a:alpha val="0"/>
                          </a:srgbClr>
                        </a:clrTo>
                      </a:clrChange>
                      <a:extLst>
                        <a:ext uri="{28A0092B-C50C-407E-A947-70E740481C1C}"/>
                      </a:extLst>
                    </a:blip>
                    <a:srcRect/>
                    <a:stretch>
                      <a:fillRect/>
                    </a:stretch>
                  </pic:blipFill>
                  <pic:spPr bwMode="auto">
                    <a:xfrm>
                      <a:off x="0" y="0"/>
                      <a:ext cx="334010" cy="25717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1198245</wp:posOffset>
            </wp:positionV>
            <wp:extent cx="334010" cy="2571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334010" cy="257175"/>
                    </a:xfrm>
                    <a:prstGeom prst="rect">
                      <a:avLst/>
                    </a:prstGeom>
                    <a:noFill/>
                  </pic:spPr>
                </pic:pic>
              </a:graphicData>
            </a:graphic>
          </wp:anchor>
        </w:drawing>
        <w:drawing>
          <wp:anchor simplePos="0" relativeHeight="251657728" behindDoc="1" locked="0" layoutInCell="0" allowOverlap="1">
            <wp:simplePos x="0" y="0"/>
            <wp:positionH relativeFrom="column">
              <wp:posOffset>2617470</wp:posOffset>
            </wp:positionH>
            <wp:positionV relativeFrom="paragraph">
              <wp:posOffset>1198245</wp:posOffset>
            </wp:positionV>
            <wp:extent cx="779780" cy="2400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000000"/>
                        </a:clrFrom>
                        <a:clrTo>
                          <a:srgbClr val="000000">
                            <a:alpha val="0"/>
                          </a:srgbClr>
                        </a:clrTo>
                      </a:clrChange>
                      <a:extLst>
                        <a:ext uri="{28A0092B-C50C-407E-A947-70E740481C1C}"/>
                      </a:extLst>
                    </a:blip>
                    <a:srcRect/>
                    <a:stretch>
                      <a:fillRect/>
                    </a:stretch>
                  </pic:blipFill>
                  <pic:spPr bwMode="auto">
                    <a:xfrm>
                      <a:off x="0" y="0"/>
                      <a:ext cx="779780" cy="240030"/>
                    </a:xfrm>
                    <a:prstGeom prst="rect">
                      <a:avLst/>
                    </a:prstGeom>
                    <a:noFill/>
                  </pic:spPr>
                </pic:pic>
              </a:graphicData>
            </a:graphic>
          </wp:anchor>
        </w:drawing>
        <w:drawing>
          <wp:anchor simplePos="0" relativeHeight="251657728" behindDoc="1" locked="0" layoutInCell="0" allowOverlap="1">
            <wp:simplePos x="0" y="0"/>
            <wp:positionH relativeFrom="column">
              <wp:posOffset>2617470</wp:posOffset>
            </wp:positionH>
            <wp:positionV relativeFrom="paragraph">
              <wp:posOffset>1198245</wp:posOffset>
            </wp:positionV>
            <wp:extent cx="779780" cy="2400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779780" cy="24003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240" w:space="720"/>
            <w:col w:w="8280"/>
          </w:cols>
          <w:pgMar w:left="320" w:top="14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tbl>
      <w:tblPr>
        <w:tblLayout w:type="fixed"/>
        <w:tblInd w:w="2960" w:type="dxa"/>
        <w:tblCellMar>
          <w:top w:w="0" w:type="dxa"/>
          <w:left w:w="0" w:type="dxa"/>
          <w:bottom w:w="0" w:type="dxa"/>
          <w:right w:w="0" w:type="dxa"/>
        </w:tblCellMar>
      </w:tblPr>
      <w:tr>
        <w:trPr>
          <w:trHeight w:val="216"/>
        </w:trPr>
        <w:tc>
          <w:tcPr>
            <w:tcW w:w="3000" w:type="dxa"/>
            <w:vAlign w:val="bottom"/>
          </w:tcPr>
          <w:p>
            <w:pPr>
              <w:spacing w:after="0"/>
              <w:rPr>
                <w:sz w:val="20"/>
                <w:szCs w:val="20"/>
                <w:color w:val="auto"/>
              </w:rPr>
            </w:pPr>
            <w:r>
              <w:rPr>
                <w:rFonts w:ascii="Arial" w:cs="Arial" w:eastAsia="Arial" w:hAnsi="Arial"/>
                <w:sz w:val="16"/>
                <w:szCs w:val="16"/>
                <w:b w:val="1"/>
                <w:bCs w:val="1"/>
                <w:color w:val="0C3471"/>
              </w:rPr>
              <w:t>David A. Jones</w:t>
            </w:r>
          </w:p>
        </w:tc>
        <w:tc>
          <w:tcPr>
            <w:tcW w:w="3080" w:type="dxa"/>
            <w:vAlign w:val="bottom"/>
          </w:tcPr>
          <w:p>
            <w:pPr>
              <w:ind w:left="1120"/>
              <w:spacing w:after="0"/>
              <w:rPr>
                <w:sz w:val="20"/>
                <w:szCs w:val="20"/>
                <w:color w:val="auto"/>
              </w:rPr>
            </w:pPr>
            <w:r>
              <w:rPr>
                <w:rFonts w:ascii="Arial" w:cs="Arial" w:eastAsia="Arial" w:hAnsi="Arial"/>
                <w:sz w:val="16"/>
                <w:szCs w:val="16"/>
                <w:b w:val="1"/>
                <w:bCs w:val="1"/>
                <w:color w:val="0C3471"/>
              </w:rPr>
              <w:t>John L. Stauch</w:t>
            </w:r>
          </w:p>
        </w:tc>
      </w:tr>
      <w:tr>
        <w:trPr>
          <w:trHeight w:val="242"/>
        </w:trPr>
        <w:tc>
          <w:tcPr>
            <w:tcW w:w="3000" w:type="dxa"/>
            <w:vAlign w:val="bottom"/>
          </w:tcPr>
          <w:p>
            <w:pPr>
              <w:spacing w:after="0"/>
              <w:rPr>
                <w:sz w:val="20"/>
                <w:szCs w:val="20"/>
                <w:color w:val="auto"/>
              </w:rPr>
            </w:pPr>
            <w:r>
              <w:rPr>
                <w:rFonts w:ascii="Arial" w:cs="Arial" w:eastAsia="Arial" w:hAnsi="Arial"/>
                <w:sz w:val="16"/>
                <w:szCs w:val="16"/>
                <w:color w:val="auto"/>
              </w:rPr>
              <w:t>Pentair Chair of the Board</w:t>
            </w:r>
          </w:p>
        </w:tc>
        <w:tc>
          <w:tcPr>
            <w:tcW w:w="3080" w:type="dxa"/>
            <w:vAlign w:val="bottom"/>
          </w:tcPr>
          <w:p>
            <w:pPr>
              <w:ind w:left="1120"/>
              <w:spacing w:after="0"/>
              <w:rPr>
                <w:sz w:val="20"/>
                <w:szCs w:val="20"/>
                <w:color w:val="auto"/>
              </w:rPr>
            </w:pPr>
            <w:r>
              <w:rPr>
                <w:rFonts w:ascii="Arial" w:cs="Arial" w:eastAsia="Arial" w:hAnsi="Arial"/>
                <w:sz w:val="16"/>
                <w:szCs w:val="16"/>
                <w:color w:val="auto"/>
              </w:rPr>
              <w:t>Pentair President and CEO</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10840" w:type="dxa"/>
            <w:vAlign w:val="bottom"/>
          </w:tcPr>
          <w:p>
            <w:pPr>
              <w:ind w:left="8260"/>
              <w:spacing w:after="0"/>
              <w:rPr>
                <w:sz w:val="20"/>
                <w:szCs w:val="20"/>
                <w:color w:val="auto"/>
              </w:rPr>
            </w:pPr>
            <w:r>
              <w:rPr>
                <w:rFonts w:ascii="Arial" w:cs="Arial" w:eastAsia="Arial" w:hAnsi="Arial"/>
                <w:sz w:val="16"/>
                <w:szCs w:val="16"/>
                <w:b w:val="1"/>
                <w:bCs w:val="1"/>
                <w:color w:val="auto"/>
              </w:rPr>
              <w:t xml:space="preserve">2026 Proxy Statement </w:t>
            </w:r>
            <w:r>
              <w:rPr>
                <w:rFonts w:ascii="Arial" w:cs="Arial" w:eastAsia="Arial" w:hAnsi="Arial"/>
                <w:sz w:val="16"/>
                <w:szCs w:val="16"/>
                <w:b w:val="1"/>
                <w:bCs w:val="1"/>
                <w:color w:val="0C3471"/>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Pentair</w:t>
            </w:r>
          </w:p>
        </w:tc>
        <w:tc>
          <w:tcPr>
            <w:tcW w:w="400" w:type="dxa"/>
            <w:vAlign w:val="bottom"/>
          </w:tcPr>
          <w:p>
            <w:pPr>
              <w:jc w:val="right"/>
              <w:spacing w:after="0"/>
              <w:rPr>
                <w:sz w:val="20"/>
                <w:szCs w:val="20"/>
                <w:color w:val="auto"/>
              </w:rPr>
            </w:pPr>
            <w:r>
              <w:rPr>
                <w:rFonts w:ascii="Arial" w:cs="Arial" w:eastAsia="Arial" w:hAnsi="Arial"/>
                <w:sz w:val="16"/>
                <w:szCs w:val="16"/>
                <w:b w:val="1"/>
                <w:bCs w:val="1"/>
                <w:color w:val="auto"/>
              </w:rPr>
              <w:t>1</w:t>
            </w:r>
          </w:p>
        </w:tc>
      </w:tr>
      <w:tr>
        <w:trPr>
          <w:trHeight w:val="311"/>
        </w:trPr>
        <w:tc>
          <w:tcPr>
            <w:tcW w:w="108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3" w:name="page4"/>
    <w:bookmarkEnd w:id="3"/>
    <w:p>
      <w:pPr>
        <w:ind w:left="1080" w:right="3240"/>
        <w:spacing w:after="0" w:line="298" w:lineRule="auto"/>
        <w:rPr>
          <w:sz w:val="20"/>
          <w:szCs w:val="20"/>
          <w:color w:val="auto"/>
        </w:rPr>
      </w:pPr>
      <w:r>
        <w:rPr>
          <w:rFonts w:ascii="Arial" w:cs="Arial" w:eastAsia="Arial" w:hAnsi="Arial"/>
          <w:sz w:val="43"/>
          <w:szCs w:val="43"/>
          <w:b w:val="1"/>
          <w:bCs w:val="1"/>
          <w:color w:val="0C3471"/>
        </w:rPr>
        <w:t>Notice of Annual General Meeting 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-579755</wp:posOffset>
            </wp:positionV>
            <wp:extent cx="445770" cy="4718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45770" cy="471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760" w:type="dxa"/>
            <w:vAlign w:val="bottom"/>
            <w:tcBorders>
              <w:right w:val="single" w:sz="8" w:color="BCBEC0"/>
            </w:tcBorders>
          </w:tcPr>
          <w:p>
            <w:pPr>
              <w:ind w:left="1180"/>
              <w:spacing w:after="0"/>
              <w:rPr>
                <w:sz w:val="20"/>
                <w:szCs w:val="20"/>
                <w:color w:val="auto"/>
              </w:rPr>
            </w:pPr>
            <w:r>
              <w:rPr>
                <w:rFonts w:ascii="Arial" w:cs="Arial" w:eastAsia="Arial" w:hAnsi="Arial"/>
                <w:sz w:val="16"/>
                <w:szCs w:val="16"/>
                <w:b w:val="1"/>
                <w:bCs w:val="1"/>
                <w:color w:val="0C3471"/>
              </w:rPr>
              <w:t>Date and Time</w:t>
            </w:r>
          </w:p>
        </w:tc>
        <w:tc>
          <w:tcPr>
            <w:tcW w:w="3740" w:type="dxa"/>
            <w:vAlign w:val="bottom"/>
            <w:tcBorders>
              <w:right w:val="single" w:sz="8" w:color="BCBEC0"/>
            </w:tcBorders>
          </w:tcPr>
          <w:p>
            <w:pPr>
              <w:ind w:left="1160"/>
              <w:spacing w:after="0"/>
              <w:rPr>
                <w:sz w:val="20"/>
                <w:szCs w:val="20"/>
                <w:color w:val="auto"/>
              </w:rPr>
            </w:pPr>
            <w:r>
              <w:rPr>
                <w:rFonts w:ascii="Arial" w:cs="Arial" w:eastAsia="Arial" w:hAnsi="Arial"/>
                <w:sz w:val="16"/>
                <w:szCs w:val="16"/>
                <w:b w:val="1"/>
                <w:bCs w:val="1"/>
                <w:color w:val="0C3471"/>
              </w:rPr>
              <w:t>Location</w:t>
            </w:r>
          </w:p>
        </w:tc>
        <w:tc>
          <w:tcPr>
            <w:tcW w:w="3740" w:type="dxa"/>
            <w:vAlign w:val="bottom"/>
          </w:tcPr>
          <w:p>
            <w:pPr>
              <w:ind w:left="1340"/>
              <w:spacing w:after="0"/>
              <w:rPr>
                <w:sz w:val="20"/>
                <w:szCs w:val="20"/>
                <w:color w:val="auto"/>
              </w:rPr>
            </w:pPr>
            <w:r>
              <w:rPr>
                <w:rFonts w:ascii="Arial" w:cs="Arial" w:eastAsia="Arial" w:hAnsi="Arial"/>
                <w:sz w:val="16"/>
                <w:szCs w:val="16"/>
                <w:b w:val="1"/>
                <w:bCs w:val="1"/>
                <w:color w:val="0C3471"/>
              </w:rPr>
              <w:t>Who Can Vote</w:t>
            </w:r>
          </w:p>
        </w:tc>
      </w:tr>
      <w:tr>
        <w:trPr>
          <w:trHeight w:val="176"/>
        </w:trPr>
        <w:tc>
          <w:tcPr>
            <w:tcW w:w="3760" w:type="dxa"/>
            <w:vAlign w:val="bottom"/>
            <w:tcBorders>
              <w:right w:val="single" w:sz="8" w:color="BCBEC0"/>
            </w:tcBorders>
          </w:tcPr>
          <w:p>
            <w:pPr>
              <w:ind w:left="1180"/>
              <w:spacing w:after="0" w:line="175" w:lineRule="exact"/>
              <w:rPr>
                <w:sz w:val="20"/>
                <w:szCs w:val="20"/>
                <w:color w:val="auto"/>
              </w:rPr>
            </w:pPr>
            <w:r>
              <w:rPr>
                <w:rFonts w:ascii="Arial" w:cs="Arial" w:eastAsia="Arial" w:hAnsi="Arial"/>
                <w:sz w:val="16"/>
                <w:szCs w:val="16"/>
                <w:color w:val="auto"/>
              </w:rPr>
              <w:t>May 5, 2026</w:t>
            </w:r>
          </w:p>
        </w:tc>
        <w:tc>
          <w:tcPr>
            <w:tcW w:w="3740" w:type="dxa"/>
            <w:vAlign w:val="bottom"/>
            <w:tcBorders>
              <w:right w:val="single" w:sz="8" w:color="BCBEC0"/>
            </w:tcBorders>
          </w:tcPr>
          <w:p>
            <w:pPr>
              <w:ind w:left="1160"/>
              <w:spacing w:after="0" w:line="175" w:lineRule="exact"/>
              <w:rPr>
                <w:sz w:val="20"/>
                <w:szCs w:val="20"/>
                <w:color w:val="auto"/>
              </w:rPr>
            </w:pPr>
            <w:r>
              <w:rPr>
                <w:rFonts w:ascii="Arial" w:cs="Arial" w:eastAsia="Arial" w:hAnsi="Arial"/>
                <w:sz w:val="16"/>
                <w:szCs w:val="16"/>
                <w:color w:val="auto"/>
              </w:rPr>
              <w:t>Claridge’s</w:t>
            </w:r>
          </w:p>
        </w:tc>
        <w:tc>
          <w:tcPr>
            <w:tcW w:w="3740" w:type="dxa"/>
            <w:vAlign w:val="bottom"/>
          </w:tcPr>
          <w:p>
            <w:pPr>
              <w:ind w:left="1340"/>
              <w:spacing w:after="0" w:line="175" w:lineRule="exact"/>
              <w:rPr>
                <w:sz w:val="20"/>
                <w:szCs w:val="20"/>
                <w:color w:val="auto"/>
              </w:rPr>
            </w:pPr>
            <w:r>
              <w:rPr>
                <w:rFonts w:ascii="Arial" w:cs="Arial" w:eastAsia="Arial" w:hAnsi="Arial"/>
                <w:sz w:val="16"/>
                <w:szCs w:val="16"/>
                <w:color w:val="auto"/>
              </w:rPr>
              <w:t>Shareholders as of</w:t>
            </w:r>
          </w:p>
        </w:tc>
      </w:tr>
      <w:tr>
        <w:trPr>
          <w:trHeight w:val="176"/>
        </w:trPr>
        <w:tc>
          <w:tcPr>
            <w:tcW w:w="3760" w:type="dxa"/>
            <w:vAlign w:val="bottom"/>
            <w:tcBorders>
              <w:right w:val="single" w:sz="8" w:color="BCBEC0"/>
            </w:tcBorders>
          </w:tcPr>
          <w:p>
            <w:pPr>
              <w:ind w:left="1180"/>
              <w:spacing w:after="0" w:line="175" w:lineRule="exact"/>
              <w:rPr>
                <w:sz w:val="20"/>
                <w:szCs w:val="20"/>
                <w:color w:val="auto"/>
              </w:rPr>
            </w:pPr>
            <w:r>
              <w:rPr>
                <w:rFonts w:ascii="Arial" w:cs="Arial" w:eastAsia="Arial" w:hAnsi="Arial"/>
                <w:sz w:val="16"/>
                <w:szCs w:val="16"/>
                <w:color w:val="auto"/>
              </w:rPr>
              <w:t>8:00 a.m. local time (BST)</w:t>
            </w:r>
          </w:p>
        </w:tc>
        <w:tc>
          <w:tcPr>
            <w:tcW w:w="3740" w:type="dxa"/>
            <w:vAlign w:val="bottom"/>
            <w:tcBorders>
              <w:right w:val="single" w:sz="8" w:color="BCBEC0"/>
            </w:tcBorders>
          </w:tcPr>
          <w:p>
            <w:pPr>
              <w:ind w:left="1160"/>
              <w:spacing w:after="0" w:line="175" w:lineRule="exact"/>
              <w:rPr>
                <w:sz w:val="20"/>
                <w:szCs w:val="20"/>
                <w:color w:val="auto"/>
              </w:rPr>
            </w:pPr>
            <w:r>
              <w:rPr>
                <w:rFonts w:ascii="Arial" w:cs="Arial" w:eastAsia="Arial" w:hAnsi="Arial"/>
                <w:sz w:val="16"/>
                <w:szCs w:val="16"/>
                <w:color w:val="auto"/>
              </w:rPr>
              <w:t>Brook Street</w:t>
            </w:r>
          </w:p>
        </w:tc>
        <w:tc>
          <w:tcPr>
            <w:tcW w:w="3740" w:type="dxa"/>
            <w:vAlign w:val="bottom"/>
          </w:tcPr>
          <w:p>
            <w:pPr>
              <w:ind w:left="1340"/>
              <w:spacing w:after="0" w:line="175" w:lineRule="exact"/>
              <w:rPr>
                <w:sz w:val="20"/>
                <w:szCs w:val="20"/>
                <w:color w:val="auto"/>
              </w:rPr>
            </w:pPr>
            <w:r>
              <w:rPr>
                <w:rFonts w:ascii="Arial" w:cs="Arial" w:eastAsia="Arial" w:hAnsi="Arial"/>
                <w:sz w:val="16"/>
                <w:szCs w:val="16"/>
                <w:color w:val="auto"/>
              </w:rPr>
              <w:t>March 6, 2026 are</w:t>
            </w:r>
          </w:p>
        </w:tc>
      </w:tr>
      <w:tr>
        <w:trPr>
          <w:trHeight w:val="175"/>
        </w:trPr>
        <w:tc>
          <w:tcPr>
            <w:tcW w:w="3760" w:type="dxa"/>
            <w:vAlign w:val="bottom"/>
            <w:tcBorders>
              <w:right w:val="single" w:sz="8" w:color="BCBEC0"/>
            </w:tcBorders>
          </w:tcPr>
          <w:p>
            <w:pPr>
              <w:spacing w:after="0"/>
              <w:rPr>
                <w:sz w:val="15"/>
                <w:szCs w:val="15"/>
                <w:color w:val="auto"/>
              </w:rPr>
            </w:pPr>
          </w:p>
        </w:tc>
        <w:tc>
          <w:tcPr>
            <w:tcW w:w="3740" w:type="dxa"/>
            <w:vAlign w:val="bottom"/>
            <w:tcBorders>
              <w:right w:val="single" w:sz="8" w:color="BCBEC0"/>
            </w:tcBorders>
          </w:tcPr>
          <w:p>
            <w:pPr>
              <w:ind w:left="1160"/>
              <w:spacing w:after="0" w:line="175" w:lineRule="exact"/>
              <w:rPr>
                <w:sz w:val="20"/>
                <w:szCs w:val="20"/>
                <w:color w:val="auto"/>
              </w:rPr>
            </w:pPr>
            <w:r>
              <w:rPr>
                <w:rFonts w:ascii="Arial" w:cs="Arial" w:eastAsia="Arial" w:hAnsi="Arial"/>
                <w:sz w:val="16"/>
                <w:szCs w:val="16"/>
                <w:color w:val="auto"/>
              </w:rPr>
              <w:t>Mayfair</w:t>
            </w:r>
          </w:p>
        </w:tc>
        <w:tc>
          <w:tcPr>
            <w:tcW w:w="3740" w:type="dxa"/>
            <w:vAlign w:val="bottom"/>
          </w:tcPr>
          <w:p>
            <w:pPr>
              <w:ind w:left="1340"/>
              <w:spacing w:after="0" w:line="175" w:lineRule="exact"/>
              <w:rPr>
                <w:sz w:val="20"/>
                <w:szCs w:val="20"/>
                <w:color w:val="auto"/>
              </w:rPr>
            </w:pPr>
            <w:r>
              <w:rPr>
                <w:rFonts w:ascii="Arial" w:cs="Arial" w:eastAsia="Arial" w:hAnsi="Arial"/>
                <w:sz w:val="16"/>
                <w:szCs w:val="16"/>
                <w:color w:val="auto"/>
              </w:rPr>
              <w:t>entitled to vote</w:t>
            </w:r>
          </w:p>
        </w:tc>
      </w:tr>
      <w:tr>
        <w:trPr>
          <w:trHeight w:val="189"/>
        </w:trPr>
        <w:tc>
          <w:tcPr>
            <w:tcW w:w="3760" w:type="dxa"/>
            <w:vAlign w:val="bottom"/>
            <w:tcBorders>
              <w:right w:val="single" w:sz="8" w:color="BCBEC0"/>
            </w:tcBorders>
          </w:tcPr>
          <w:p>
            <w:pPr>
              <w:spacing w:after="0"/>
              <w:rPr>
                <w:sz w:val="16"/>
                <w:szCs w:val="16"/>
                <w:color w:val="auto"/>
              </w:rPr>
            </w:pPr>
          </w:p>
        </w:tc>
        <w:tc>
          <w:tcPr>
            <w:tcW w:w="3740" w:type="dxa"/>
            <w:vAlign w:val="bottom"/>
            <w:tcBorders>
              <w:right w:val="single" w:sz="8" w:color="BCBEC0"/>
            </w:tcBorders>
          </w:tcPr>
          <w:p>
            <w:pPr>
              <w:ind w:left="1160"/>
              <w:spacing w:after="0"/>
              <w:rPr>
                <w:sz w:val="20"/>
                <w:szCs w:val="20"/>
                <w:color w:val="auto"/>
              </w:rPr>
            </w:pPr>
            <w:r>
              <w:rPr>
                <w:rFonts w:ascii="Arial" w:cs="Arial" w:eastAsia="Arial" w:hAnsi="Arial"/>
                <w:sz w:val="16"/>
                <w:szCs w:val="16"/>
                <w:color w:val="auto"/>
              </w:rPr>
              <w:t>London, W1K 4HR</w:t>
            </w:r>
          </w:p>
        </w:tc>
        <w:tc>
          <w:tcPr>
            <w:tcW w:w="3740" w:type="dxa"/>
            <w:vAlign w:val="bottom"/>
          </w:tcPr>
          <w:p>
            <w:pPr>
              <w:spacing w:after="0"/>
              <w:rPr>
                <w:sz w:val="16"/>
                <w:szCs w:val="16"/>
                <w:color w:val="auto"/>
              </w:rPr>
            </w:pPr>
          </w:p>
        </w:tc>
      </w:tr>
      <w:tr>
        <w:trPr>
          <w:trHeight w:val="230"/>
        </w:trPr>
        <w:tc>
          <w:tcPr>
            <w:tcW w:w="3760" w:type="dxa"/>
            <w:vAlign w:val="bottom"/>
            <w:tcBorders>
              <w:right w:val="single" w:sz="8" w:color="BCBEC0"/>
            </w:tcBorders>
          </w:tcPr>
          <w:p>
            <w:pPr>
              <w:spacing w:after="0"/>
              <w:rPr>
                <w:sz w:val="20"/>
                <w:szCs w:val="20"/>
                <w:color w:val="auto"/>
              </w:rPr>
            </w:pPr>
          </w:p>
        </w:tc>
        <w:tc>
          <w:tcPr>
            <w:tcW w:w="3740" w:type="dxa"/>
            <w:vAlign w:val="bottom"/>
            <w:tcBorders>
              <w:right w:val="single" w:sz="8" w:color="BCBEC0"/>
            </w:tcBorders>
          </w:tcPr>
          <w:p>
            <w:pPr>
              <w:ind w:left="1160"/>
              <w:spacing w:after="0"/>
              <w:rPr>
                <w:sz w:val="20"/>
                <w:szCs w:val="20"/>
                <w:color w:val="auto"/>
              </w:rPr>
            </w:pPr>
            <w:r>
              <w:rPr>
                <w:rFonts w:ascii="Arial" w:cs="Arial" w:eastAsia="Arial" w:hAnsi="Arial"/>
                <w:sz w:val="16"/>
                <w:szCs w:val="16"/>
                <w:color w:val="auto"/>
              </w:rPr>
              <w:t>United Kingdom</w:t>
            </w:r>
          </w:p>
        </w:tc>
        <w:tc>
          <w:tcPr>
            <w:tcW w:w="3740" w:type="dxa"/>
            <w:vAlign w:val="bottom"/>
          </w:tcPr>
          <w:p>
            <w:pPr>
              <w:spacing w:after="0"/>
              <w:rPr>
                <w:sz w:val="20"/>
                <w:szCs w:val="20"/>
                <w:color w:val="auto"/>
              </w:rPr>
            </w:pPr>
          </w:p>
        </w:tc>
      </w:tr>
      <w:tr>
        <w:trPr>
          <w:trHeight w:val="94"/>
        </w:trPr>
        <w:tc>
          <w:tcPr>
            <w:tcW w:w="3760" w:type="dxa"/>
            <w:vAlign w:val="bottom"/>
            <w:tcBorders>
              <w:bottom w:val="single" w:sz="8" w:color="BCBEC0"/>
            </w:tcBorders>
          </w:tcPr>
          <w:p>
            <w:pPr>
              <w:spacing w:after="0"/>
              <w:rPr>
                <w:sz w:val="8"/>
                <w:szCs w:val="8"/>
                <w:color w:val="auto"/>
              </w:rPr>
            </w:pPr>
          </w:p>
        </w:tc>
        <w:tc>
          <w:tcPr>
            <w:tcW w:w="3740" w:type="dxa"/>
            <w:vAlign w:val="bottom"/>
            <w:tcBorders>
              <w:bottom w:val="single" w:sz="8" w:color="BCBEC0"/>
            </w:tcBorders>
          </w:tcPr>
          <w:p>
            <w:pPr>
              <w:spacing w:after="0"/>
              <w:rPr>
                <w:sz w:val="8"/>
                <w:szCs w:val="8"/>
                <w:color w:val="auto"/>
              </w:rPr>
            </w:pPr>
          </w:p>
        </w:tc>
        <w:tc>
          <w:tcPr>
            <w:tcW w:w="3740" w:type="dxa"/>
            <w:vAlign w:val="bottom"/>
            <w:tcBorders>
              <w:bottom w:val="single" w:sz="8" w:color="BCBEC0"/>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-616585</wp:posOffset>
            </wp:positionV>
            <wp:extent cx="291465" cy="3257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91465" cy="325755"/>
                    </a:xfrm>
                    <a:prstGeom prst="rect">
                      <a:avLst/>
                    </a:prstGeom>
                    <a:noFill/>
                  </pic:spPr>
                </pic:pic>
              </a:graphicData>
            </a:graphic>
          </wp:anchor>
        </w:drawing>
        <w:drawing>
          <wp:anchor simplePos="0" relativeHeight="251657728" behindDoc="1" locked="0" layoutInCell="0" allowOverlap="1">
            <wp:simplePos x="0" y="0"/>
            <wp:positionH relativeFrom="column">
              <wp:posOffset>2628265</wp:posOffset>
            </wp:positionH>
            <wp:positionV relativeFrom="paragraph">
              <wp:posOffset>-616585</wp:posOffset>
            </wp:positionV>
            <wp:extent cx="231775" cy="3175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31775" cy="31750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-591185</wp:posOffset>
            </wp:positionV>
            <wp:extent cx="411480" cy="2654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11480" cy="265430"/>
                    </a:xfrm>
                    <a:prstGeom prst="rect">
                      <a:avLst/>
                    </a:prstGeom>
                    <a:noFill/>
                  </pic:spPr>
                </pic:pic>
              </a:graphicData>
            </a:graphic>
          </wp:anchor>
        </w:drawing>
      </w:r>
    </w:p>
    <w:p>
      <w:pPr>
        <w:spacing w:after="0" w:line="180" w:lineRule="exact"/>
        <w:rPr>
          <w:sz w:val="20"/>
          <w:szCs w:val="20"/>
          <w:color w:val="auto"/>
        </w:rPr>
      </w:pPr>
    </w:p>
    <w:p>
      <w:pPr>
        <w:ind w:left="20"/>
        <w:spacing w:after="0"/>
        <w:rPr>
          <w:sz w:val="20"/>
          <w:szCs w:val="20"/>
          <w:color w:val="auto"/>
        </w:rPr>
      </w:pPr>
      <w:r>
        <w:rPr>
          <w:rFonts w:ascii="Arial" w:cs="Arial" w:eastAsia="Arial" w:hAnsi="Arial"/>
          <w:sz w:val="43"/>
          <w:szCs w:val="43"/>
          <w:b w:val="1"/>
          <w:bCs w:val="1"/>
          <w:color w:val="0C3471"/>
        </w:rPr>
        <w:t>Voting Items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98"/>
        </w:trPr>
        <w:tc>
          <w:tcPr>
            <w:tcW w:w="3160" w:type="dxa"/>
            <w:vAlign w:val="bottom"/>
            <w:tcBorders>
              <w:bottom w:val="single" w:sz="8" w:color="0C3471"/>
            </w:tcBorders>
            <w:gridSpan w:val="2"/>
          </w:tcPr>
          <w:p>
            <w:pPr>
              <w:ind w:left="20"/>
              <w:spacing w:after="0"/>
              <w:rPr>
                <w:sz w:val="20"/>
                <w:szCs w:val="20"/>
                <w:color w:val="auto"/>
              </w:rPr>
            </w:pPr>
            <w:r>
              <w:rPr>
                <w:rFonts w:ascii="Arial" w:cs="Arial" w:eastAsia="Arial" w:hAnsi="Arial"/>
                <w:sz w:val="22"/>
                <w:szCs w:val="22"/>
                <w:b w:val="1"/>
                <w:bCs w:val="1"/>
                <w:color w:val="auto"/>
              </w:rPr>
              <w:t>Proposal</w:t>
            </w:r>
          </w:p>
        </w:tc>
        <w:tc>
          <w:tcPr>
            <w:tcW w:w="860" w:type="dxa"/>
            <w:vAlign w:val="bottom"/>
            <w:tcBorders>
              <w:bottom w:val="single" w:sz="8" w:color="0C3471"/>
            </w:tcBorders>
          </w:tcPr>
          <w:p>
            <w:pPr>
              <w:spacing w:after="0"/>
              <w:rPr>
                <w:sz w:val="24"/>
                <w:szCs w:val="24"/>
                <w:color w:val="auto"/>
              </w:rPr>
            </w:pPr>
          </w:p>
        </w:tc>
        <w:tc>
          <w:tcPr>
            <w:tcW w:w="3460" w:type="dxa"/>
            <w:vAlign w:val="bottom"/>
            <w:tcBorders>
              <w:bottom w:val="single" w:sz="8" w:color="0C3471"/>
            </w:tcBorders>
          </w:tcPr>
          <w:p>
            <w:pPr>
              <w:spacing w:after="0"/>
              <w:rPr>
                <w:sz w:val="24"/>
                <w:szCs w:val="24"/>
                <w:color w:val="auto"/>
              </w:rPr>
            </w:pPr>
          </w:p>
        </w:tc>
        <w:tc>
          <w:tcPr>
            <w:tcW w:w="3760" w:type="dxa"/>
            <w:vAlign w:val="bottom"/>
            <w:tcBorders>
              <w:bottom w:val="single" w:sz="8" w:color="0C3471"/>
            </w:tcBorders>
          </w:tcPr>
          <w:p>
            <w:pPr>
              <w:jc w:val="center"/>
              <w:ind w:left="1279"/>
              <w:spacing w:after="0"/>
              <w:rPr>
                <w:sz w:val="20"/>
                <w:szCs w:val="20"/>
                <w:color w:val="auto"/>
              </w:rPr>
            </w:pPr>
            <w:r>
              <w:rPr>
                <w:rFonts w:ascii="Arial" w:cs="Arial" w:eastAsia="Arial" w:hAnsi="Arial"/>
                <w:sz w:val="16"/>
                <w:szCs w:val="16"/>
                <w:b w:val="1"/>
                <w:bCs w:val="1"/>
                <w:color w:val="auto"/>
                <w:w w:val="99"/>
              </w:rPr>
              <w:t>Page Reference</w:t>
            </w:r>
          </w:p>
        </w:tc>
      </w:tr>
      <w:tr>
        <w:trPr>
          <w:trHeight w:val="270"/>
        </w:trPr>
        <w:tc>
          <w:tcPr>
            <w:tcW w:w="7480" w:type="dxa"/>
            <w:vAlign w:val="bottom"/>
            <w:gridSpan w:val="4"/>
          </w:tcPr>
          <w:p>
            <w:pPr>
              <w:ind w:left="20"/>
              <w:spacing w:after="0"/>
              <w:rPr>
                <w:sz w:val="20"/>
                <w:szCs w:val="20"/>
                <w:color w:val="auto"/>
              </w:rPr>
            </w:pPr>
            <w:r>
              <w:rPr>
                <w:rFonts w:ascii="Arial" w:cs="Arial" w:eastAsia="Arial" w:hAnsi="Arial"/>
                <w:sz w:val="16"/>
                <w:szCs w:val="16"/>
                <w:b w:val="1"/>
                <w:bCs w:val="1"/>
                <w:color w:val="0C3471"/>
              </w:rPr>
              <w:t xml:space="preserve">1. </w:t>
            </w:r>
            <w:r>
              <w:rPr>
                <w:rFonts w:ascii="Arial" w:cs="Arial" w:eastAsia="Arial" w:hAnsi="Arial"/>
                <w:sz w:val="16"/>
                <w:szCs w:val="16"/>
                <w:color w:val="000000"/>
              </w:rPr>
              <w:t>By separate resolutions, to re-elect the following director nominees:</w:t>
            </w:r>
          </w:p>
        </w:tc>
        <w:tc>
          <w:tcPr>
            <w:tcW w:w="3760" w:type="dxa"/>
            <w:vAlign w:val="bottom"/>
          </w:tcPr>
          <w:p>
            <w:pPr>
              <w:jc w:val="right"/>
              <w:ind w:right="1079"/>
              <w:spacing w:after="0"/>
              <w:rPr>
                <w:sz w:val="20"/>
                <w:szCs w:val="20"/>
                <w:color w:val="auto"/>
              </w:rPr>
            </w:pPr>
            <w:r>
              <w:rPr>
                <w:rFonts w:ascii="Arial" w:cs="Arial" w:eastAsia="Arial" w:hAnsi="Arial"/>
                <w:sz w:val="16"/>
                <w:szCs w:val="16"/>
                <w:color w:val="auto"/>
              </w:rPr>
              <w:t>9</w:t>
            </w:r>
          </w:p>
        </w:tc>
      </w:tr>
      <w:tr>
        <w:trPr>
          <w:trHeight w:val="263"/>
        </w:trPr>
        <w:tc>
          <w:tcPr>
            <w:tcW w:w="540" w:type="dxa"/>
            <w:vAlign w:val="bottom"/>
          </w:tcPr>
          <w:p>
            <w:pPr>
              <w:ind w:left="240"/>
              <w:spacing w:after="0"/>
              <w:rPr>
                <w:sz w:val="20"/>
                <w:szCs w:val="20"/>
                <w:color w:val="auto"/>
              </w:rPr>
            </w:pPr>
            <w:r>
              <w:rPr>
                <w:rFonts w:ascii="Arial" w:cs="Arial" w:eastAsia="Arial" w:hAnsi="Arial"/>
                <w:sz w:val="16"/>
                <w:szCs w:val="16"/>
                <w:color w:val="auto"/>
              </w:rPr>
              <w:t>(i)</w:t>
            </w:r>
          </w:p>
        </w:tc>
        <w:tc>
          <w:tcPr>
            <w:tcW w:w="2620" w:type="dxa"/>
            <w:vAlign w:val="bottom"/>
          </w:tcPr>
          <w:p>
            <w:pPr>
              <w:ind w:left="100"/>
              <w:spacing w:after="0"/>
              <w:rPr>
                <w:sz w:val="20"/>
                <w:szCs w:val="20"/>
                <w:color w:val="auto"/>
              </w:rPr>
            </w:pPr>
            <w:r>
              <w:rPr>
                <w:rFonts w:ascii="Arial" w:cs="Arial" w:eastAsia="Arial" w:hAnsi="Arial"/>
                <w:sz w:val="16"/>
                <w:szCs w:val="16"/>
                <w:color w:val="auto"/>
              </w:rPr>
              <w:t>Mona Abutaleb Stephenson</w:t>
            </w:r>
          </w:p>
        </w:tc>
        <w:tc>
          <w:tcPr>
            <w:tcW w:w="860" w:type="dxa"/>
            <w:vAlign w:val="bottom"/>
          </w:tcPr>
          <w:p>
            <w:pPr>
              <w:ind w:left="520"/>
              <w:spacing w:after="0"/>
              <w:rPr>
                <w:sz w:val="20"/>
                <w:szCs w:val="20"/>
                <w:color w:val="auto"/>
              </w:rPr>
            </w:pPr>
            <w:r>
              <w:rPr>
                <w:rFonts w:ascii="Arial" w:cs="Arial" w:eastAsia="Arial" w:hAnsi="Arial"/>
                <w:sz w:val="16"/>
                <w:szCs w:val="16"/>
                <w:color w:val="auto"/>
              </w:rPr>
              <w:t>(vi)</w:t>
            </w:r>
          </w:p>
        </w:tc>
        <w:tc>
          <w:tcPr>
            <w:tcW w:w="3460" w:type="dxa"/>
            <w:vAlign w:val="bottom"/>
          </w:tcPr>
          <w:p>
            <w:pPr>
              <w:ind w:left="60"/>
              <w:spacing w:after="0"/>
              <w:rPr>
                <w:sz w:val="20"/>
                <w:szCs w:val="20"/>
                <w:color w:val="auto"/>
              </w:rPr>
            </w:pPr>
            <w:r>
              <w:rPr>
                <w:rFonts w:ascii="Arial" w:cs="Arial" w:eastAsia="Arial" w:hAnsi="Arial"/>
                <w:sz w:val="16"/>
                <w:szCs w:val="16"/>
                <w:color w:val="auto"/>
              </w:rPr>
              <w:t>Gregory E. Knight</w:t>
            </w:r>
          </w:p>
        </w:tc>
        <w:tc>
          <w:tcPr>
            <w:tcW w:w="3760" w:type="dxa"/>
            <w:vAlign w:val="bottom"/>
          </w:tcPr>
          <w:p>
            <w:pPr>
              <w:spacing w:after="0"/>
              <w:rPr>
                <w:sz w:val="22"/>
                <w:szCs w:val="22"/>
                <w:color w:val="auto"/>
              </w:rPr>
            </w:pPr>
          </w:p>
        </w:tc>
      </w:tr>
      <w:tr>
        <w:trPr>
          <w:trHeight w:val="175"/>
        </w:trPr>
        <w:tc>
          <w:tcPr>
            <w:tcW w:w="540" w:type="dxa"/>
            <w:vAlign w:val="bottom"/>
          </w:tcPr>
          <w:p>
            <w:pPr>
              <w:ind w:left="240"/>
              <w:spacing w:after="0" w:line="175" w:lineRule="exact"/>
              <w:rPr>
                <w:sz w:val="20"/>
                <w:szCs w:val="20"/>
                <w:color w:val="auto"/>
              </w:rPr>
            </w:pPr>
            <w:r>
              <w:rPr>
                <w:rFonts w:ascii="Arial" w:cs="Arial" w:eastAsia="Arial" w:hAnsi="Arial"/>
                <w:sz w:val="16"/>
                <w:szCs w:val="16"/>
                <w:color w:val="auto"/>
              </w:rPr>
              <w:t>(ii)</w:t>
            </w:r>
          </w:p>
        </w:tc>
        <w:tc>
          <w:tcPr>
            <w:tcW w:w="2620" w:type="dxa"/>
            <w:vAlign w:val="bottom"/>
          </w:tcPr>
          <w:p>
            <w:pPr>
              <w:ind w:left="80"/>
              <w:spacing w:after="0" w:line="175" w:lineRule="exact"/>
              <w:rPr>
                <w:sz w:val="20"/>
                <w:szCs w:val="20"/>
                <w:color w:val="auto"/>
              </w:rPr>
            </w:pPr>
            <w:r>
              <w:rPr>
                <w:rFonts w:ascii="Arial" w:cs="Arial" w:eastAsia="Arial" w:hAnsi="Arial"/>
                <w:sz w:val="16"/>
                <w:szCs w:val="16"/>
                <w:color w:val="auto"/>
              </w:rPr>
              <w:t>Melissa Barra</w:t>
            </w:r>
          </w:p>
        </w:tc>
        <w:tc>
          <w:tcPr>
            <w:tcW w:w="860" w:type="dxa"/>
            <w:vAlign w:val="bottom"/>
          </w:tcPr>
          <w:p>
            <w:pPr>
              <w:ind w:left="520"/>
              <w:spacing w:after="0" w:line="175" w:lineRule="exact"/>
              <w:rPr>
                <w:sz w:val="20"/>
                <w:szCs w:val="20"/>
                <w:color w:val="auto"/>
              </w:rPr>
            </w:pPr>
            <w:r>
              <w:rPr>
                <w:rFonts w:ascii="Arial" w:cs="Arial" w:eastAsia="Arial" w:hAnsi="Arial"/>
                <w:sz w:val="16"/>
                <w:szCs w:val="16"/>
                <w:color w:val="auto"/>
              </w:rPr>
              <w:t>(vii)</w:t>
            </w:r>
          </w:p>
        </w:tc>
        <w:tc>
          <w:tcPr>
            <w:tcW w:w="3460" w:type="dxa"/>
            <w:vAlign w:val="bottom"/>
          </w:tcPr>
          <w:p>
            <w:pPr>
              <w:ind w:left="60"/>
              <w:spacing w:after="0" w:line="175" w:lineRule="exact"/>
              <w:rPr>
                <w:sz w:val="20"/>
                <w:szCs w:val="20"/>
                <w:color w:val="auto"/>
              </w:rPr>
            </w:pPr>
            <w:r>
              <w:rPr>
                <w:rFonts w:ascii="Arial" w:cs="Arial" w:eastAsia="Arial" w:hAnsi="Arial"/>
                <w:sz w:val="16"/>
                <w:szCs w:val="16"/>
                <w:color w:val="auto"/>
              </w:rPr>
              <w:t>Michael T. Speetzen</w:t>
            </w:r>
          </w:p>
        </w:tc>
        <w:tc>
          <w:tcPr>
            <w:tcW w:w="3760" w:type="dxa"/>
            <w:vAlign w:val="bottom"/>
          </w:tcPr>
          <w:p>
            <w:pPr>
              <w:spacing w:after="0"/>
              <w:rPr>
                <w:sz w:val="15"/>
                <w:szCs w:val="15"/>
                <w:color w:val="auto"/>
              </w:rPr>
            </w:pPr>
          </w:p>
        </w:tc>
      </w:tr>
      <w:tr>
        <w:trPr>
          <w:trHeight w:val="189"/>
        </w:trPr>
        <w:tc>
          <w:tcPr>
            <w:tcW w:w="540" w:type="dxa"/>
            <w:vAlign w:val="bottom"/>
          </w:tcPr>
          <w:p>
            <w:pPr>
              <w:ind w:left="240"/>
              <w:spacing w:after="0"/>
              <w:rPr>
                <w:sz w:val="20"/>
                <w:szCs w:val="20"/>
                <w:color w:val="auto"/>
              </w:rPr>
            </w:pPr>
            <w:r>
              <w:rPr>
                <w:rFonts w:ascii="Arial" w:cs="Arial" w:eastAsia="Arial" w:hAnsi="Arial"/>
                <w:sz w:val="16"/>
                <w:szCs w:val="16"/>
                <w:color w:val="auto"/>
              </w:rPr>
              <w:t>(iii)</w:t>
            </w:r>
          </w:p>
        </w:tc>
        <w:tc>
          <w:tcPr>
            <w:tcW w:w="2620" w:type="dxa"/>
            <w:vAlign w:val="bottom"/>
          </w:tcPr>
          <w:p>
            <w:pPr>
              <w:ind w:left="80"/>
              <w:spacing w:after="0"/>
              <w:rPr>
                <w:sz w:val="20"/>
                <w:szCs w:val="20"/>
                <w:color w:val="auto"/>
              </w:rPr>
            </w:pPr>
            <w:r>
              <w:rPr>
                <w:rFonts w:ascii="Arial" w:cs="Arial" w:eastAsia="Arial" w:hAnsi="Arial"/>
                <w:sz w:val="16"/>
                <w:szCs w:val="16"/>
                <w:color w:val="auto"/>
              </w:rPr>
              <w:t>Tracey C. Doi</w:t>
            </w:r>
          </w:p>
        </w:tc>
        <w:tc>
          <w:tcPr>
            <w:tcW w:w="860" w:type="dxa"/>
            <w:vAlign w:val="bottom"/>
          </w:tcPr>
          <w:p>
            <w:pPr>
              <w:ind w:left="520"/>
              <w:spacing w:after="0"/>
              <w:rPr>
                <w:sz w:val="20"/>
                <w:szCs w:val="20"/>
                <w:color w:val="auto"/>
              </w:rPr>
            </w:pPr>
            <w:r>
              <w:rPr>
                <w:rFonts w:ascii="Arial" w:cs="Arial" w:eastAsia="Arial" w:hAnsi="Arial"/>
                <w:sz w:val="16"/>
                <w:szCs w:val="16"/>
                <w:color w:val="auto"/>
              </w:rPr>
              <w:t>(viii)</w:t>
            </w:r>
          </w:p>
        </w:tc>
        <w:tc>
          <w:tcPr>
            <w:tcW w:w="3460" w:type="dxa"/>
            <w:vAlign w:val="bottom"/>
          </w:tcPr>
          <w:p>
            <w:pPr>
              <w:ind w:left="40"/>
              <w:spacing w:after="0"/>
              <w:rPr>
                <w:sz w:val="20"/>
                <w:szCs w:val="20"/>
                <w:color w:val="auto"/>
              </w:rPr>
            </w:pPr>
            <w:r>
              <w:rPr>
                <w:rFonts w:ascii="Arial" w:cs="Arial" w:eastAsia="Arial" w:hAnsi="Arial"/>
                <w:sz w:val="16"/>
                <w:szCs w:val="16"/>
                <w:color w:val="auto"/>
              </w:rPr>
              <w:t>John L. Stauch</w:t>
            </w:r>
          </w:p>
        </w:tc>
        <w:tc>
          <w:tcPr>
            <w:tcW w:w="3760" w:type="dxa"/>
            <w:vAlign w:val="bottom"/>
          </w:tcPr>
          <w:p>
            <w:pPr>
              <w:spacing w:after="0"/>
              <w:rPr>
                <w:sz w:val="16"/>
                <w:szCs w:val="16"/>
                <w:color w:val="auto"/>
              </w:rPr>
            </w:pPr>
          </w:p>
        </w:tc>
      </w:tr>
      <w:tr>
        <w:trPr>
          <w:trHeight w:val="192"/>
        </w:trPr>
        <w:tc>
          <w:tcPr>
            <w:tcW w:w="540" w:type="dxa"/>
            <w:vAlign w:val="bottom"/>
          </w:tcPr>
          <w:p>
            <w:pPr>
              <w:ind w:left="240"/>
              <w:spacing w:after="0"/>
              <w:rPr>
                <w:sz w:val="20"/>
                <w:szCs w:val="20"/>
                <w:color w:val="auto"/>
              </w:rPr>
            </w:pPr>
            <w:r>
              <w:rPr>
                <w:rFonts w:ascii="Arial" w:cs="Arial" w:eastAsia="Arial" w:hAnsi="Arial"/>
                <w:sz w:val="16"/>
                <w:szCs w:val="16"/>
                <w:color w:val="auto"/>
              </w:rPr>
              <w:t>(iv)</w:t>
            </w:r>
          </w:p>
        </w:tc>
        <w:tc>
          <w:tcPr>
            <w:tcW w:w="2620" w:type="dxa"/>
            <w:vAlign w:val="bottom"/>
          </w:tcPr>
          <w:p>
            <w:pPr>
              <w:ind w:left="100"/>
              <w:spacing w:after="0"/>
              <w:rPr>
                <w:sz w:val="20"/>
                <w:szCs w:val="20"/>
                <w:color w:val="auto"/>
              </w:rPr>
            </w:pPr>
            <w:r>
              <w:rPr>
                <w:rFonts w:ascii="Arial" w:cs="Arial" w:eastAsia="Arial" w:hAnsi="Arial"/>
                <w:sz w:val="16"/>
                <w:szCs w:val="16"/>
                <w:color w:val="auto"/>
              </w:rPr>
              <w:t>T. Michael Glenn</w:t>
            </w:r>
          </w:p>
        </w:tc>
        <w:tc>
          <w:tcPr>
            <w:tcW w:w="860" w:type="dxa"/>
            <w:vAlign w:val="bottom"/>
          </w:tcPr>
          <w:p>
            <w:pPr>
              <w:ind w:left="520"/>
              <w:spacing w:after="0"/>
              <w:rPr>
                <w:sz w:val="20"/>
                <w:szCs w:val="20"/>
                <w:color w:val="auto"/>
              </w:rPr>
            </w:pPr>
            <w:r>
              <w:rPr>
                <w:rFonts w:ascii="Arial" w:cs="Arial" w:eastAsia="Arial" w:hAnsi="Arial"/>
                <w:sz w:val="16"/>
                <w:szCs w:val="16"/>
                <w:color w:val="auto"/>
              </w:rPr>
              <w:t>(ix)</w:t>
            </w:r>
          </w:p>
        </w:tc>
        <w:tc>
          <w:tcPr>
            <w:tcW w:w="3460" w:type="dxa"/>
            <w:vAlign w:val="bottom"/>
          </w:tcPr>
          <w:p>
            <w:pPr>
              <w:ind w:left="60"/>
              <w:spacing w:after="0"/>
              <w:rPr>
                <w:sz w:val="20"/>
                <w:szCs w:val="20"/>
                <w:color w:val="auto"/>
              </w:rPr>
            </w:pPr>
            <w:r>
              <w:rPr>
                <w:rFonts w:ascii="Arial" w:cs="Arial" w:eastAsia="Arial" w:hAnsi="Arial"/>
                <w:sz w:val="16"/>
                <w:szCs w:val="16"/>
                <w:color w:val="auto"/>
              </w:rPr>
              <w:t>Billie I. Williamson</w:t>
            </w:r>
          </w:p>
        </w:tc>
        <w:tc>
          <w:tcPr>
            <w:tcW w:w="3760" w:type="dxa"/>
            <w:vAlign w:val="bottom"/>
          </w:tcPr>
          <w:p>
            <w:pPr>
              <w:spacing w:after="0"/>
              <w:rPr>
                <w:sz w:val="16"/>
                <w:szCs w:val="16"/>
                <w:color w:val="auto"/>
              </w:rPr>
            </w:pPr>
          </w:p>
        </w:tc>
      </w:tr>
    </w:tbl>
    <w:p>
      <w:pPr>
        <w:ind w:left="640" w:hanging="407"/>
        <w:spacing w:after="0"/>
        <w:tabs>
          <w:tab w:leader="none" w:pos="64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Theodore L. Harris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53340</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80" w:type="dxa"/>
            <w:vAlign w:val="bottom"/>
          </w:tcPr>
          <w:p>
            <w:pPr>
              <w:jc w:val="right"/>
              <w:spacing w:after="0"/>
              <w:rPr>
                <w:sz w:val="20"/>
                <w:szCs w:val="20"/>
                <w:color w:val="auto"/>
              </w:rPr>
            </w:pPr>
            <w:r>
              <w:rPr>
                <w:rFonts w:ascii="Arial" w:cs="Arial" w:eastAsia="Arial" w:hAnsi="Arial"/>
                <w:sz w:val="16"/>
                <w:szCs w:val="16"/>
                <w:b w:val="1"/>
                <w:bCs w:val="1"/>
                <w:color w:val="0C3471"/>
              </w:rPr>
              <w:t>2.</w:t>
            </w:r>
          </w:p>
        </w:tc>
        <w:tc>
          <w:tcPr>
            <w:tcW w:w="9140" w:type="dxa"/>
            <w:vAlign w:val="bottom"/>
          </w:tcPr>
          <w:p>
            <w:pPr>
              <w:ind w:left="40"/>
              <w:spacing w:after="0"/>
              <w:rPr>
                <w:sz w:val="20"/>
                <w:szCs w:val="20"/>
                <w:color w:val="auto"/>
              </w:rPr>
            </w:pPr>
            <w:r>
              <w:rPr>
                <w:rFonts w:ascii="Arial" w:cs="Arial" w:eastAsia="Arial" w:hAnsi="Arial"/>
                <w:sz w:val="16"/>
                <w:szCs w:val="16"/>
                <w:color w:val="auto"/>
              </w:rPr>
              <w:t>To approve, by nonbinding, advisory vote, the compensation of the named executive officers.</w:t>
            </w:r>
          </w:p>
        </w:tc>
        <w:tc>
          <w:tcPr>
            <w:tcW w:w="1920" w:type="dxa"/>
            <w:vAlign w:val="bottom"/>
          </w:tcPr>
          <w:p>
            <w:pPr>
              <w:jc w:val="right"/>
              <w:ind w:right="1039"/>
              <w:spacing w:after="0"/>
              <w:rPr>
                <w:sz w:val="20"/>
                <w:szCs w:val="20"/>
                <w:color w:val="auto"/>
              </w:rPr>
            </w:pPr>
            <w:r>
              <w:rPr>
                <w:rFonts w:ascii="Arial" w:cs="Arial" w:eastAsia="Arial" w:hAnsi="Arial"/>
                <w:sz w:val="16"/>
                <w:szCs w:val="16"/>
                <w:color w:val="auto"/>
              </w:rPr>
              <w:t>31</w:t>
            </w:r>
          </w:p>
        </w:tc>
      </w:tr>
      <w:tr>
        <w:trPr>
          <w:trHeight w:val="96"/>
        </w:trPr>
        <w:tc>
          <w:tcPr>
            <w:tcW w:w="180" w:type="dxa"/>
            <w:vAlign w:val="bottom"/>
            <w:tcBorders>
              <w:bottom w:val="single" w:sz="8" w:color="BCBEC0"/>
            </w:tcBorders>
          </w:tcPr>
          <w:p>
            <w:pPr>
              <w:spacing w:after="0"/>
              <w:rPr>
                <w:sz w:val="8"/>
                <w:szCs w:val="8"/>
                <w:color w:val="auto"/>
              </w:rPr>
            </w:pPr>
          </w:p>
        </w:tc>
        <w:tc>
          <w:tcPr>
            <w:tcW w:w="9140" w:type="dxa"/>
            <w:vAlign w:val="bottom"/>
            <w:tcBorders>
              <w:bottom w:val="single" w:sz="8" w:color="BCBEC0"/>
            </w:tcBorders>
          </w:tcPr>
          <w:p>
            <w:pPr>
              <w:spacing w:after="0"/>
              <w:rPr>
                <w:sz w:val="8"/>
                <w:szCs w:val="8"/>
                <w:color w:val="auto"/>
              </w:rPr>
            </w:pPr>
          </w:p>
        </w:tc>
        <w:tc>
          <w:tcPr>
            <w:tcW w:w="1920" w:type="dxa"/>
            <w:vAlign w:val="bottom"/>
            <w:tcBorders>
              <w:bottom w:val="single" w:sz="8" w:color="BCBEC0"/>
            </w:tcBorders>
          </w:tcPr>
          <w:p>
            <w:pPr>
              <w:spacing w:after="0"/>
              <w:rPr>
                <w:sz w:val="8"/>
                <w:szCs w:val="8"/>
                <w:color w:val="auto"/>
              </w:rPr>
            </w:pPr>
          </w:p>
        </w:tc>
      </w:tr>
      <w:tr>
        <w:trPr>
          <w:trHeight w:val="210"/>
        </w:trPr>
        <w:tc>
          <w:tcPr>
            <w:tcW w:w="180" w:type="dxa"/>
            <w:vAlign w:val="bottom"/>
          </w:tcPr>
          <w:p>
            <w:pPr>
              <w:jc w:val="right"/>
              <w:spacing w:after="0"/>
              <w:rPr>
                <w:sz w:val="20"/>
                <w:szCs w:val="20"/>
                <w:color w:val="auto"/>
              </w:rPr>
            </w:pPr>
            <w:r>
              <w:rPr>
                <w:rFonts w:ascii="Arial" w:cs="Arial" w:eastAsia="Arial" w:hAnsi="Arial"/>
                <w:sz w:val="16"/>
                <w:szCs w:val="16"/>
                <w:b w:val="1"/>
                <w:bCs w:val="1"/>
                <w:color w:val="0C3471"/>
              </w:rPr>
              <w:t>3.</w:t>
            </w:r>
          </w:p>
        </w:tc>
        <w:tc>
          <w:tcPr>
            <w:tcW w:w="9140" w:type="dxa"/>
            <w:vAlign w:val="bottom"/>
          </w:tcPr>
          <w:p>
            <w:pPr>
              <w:ind w:left="40"/>
              <w:spacing w:after="0"/>
              <w:rPr>
                <w:sz w:val="20"/>
                <w:szCs w:val="20"/>
                <w:color w:val="auto"/>
              </w:rPr>
            </w:pPr>
            <w:r>
              <w:rPr>
                <w:rFonts w:ascii="Arial" w:cs="Arial" w:eastAsia="Arial" w:hAnsi="Arial"/>
                <w:sz w:val="16"/>
                <w:szCs w:val="16"/>
                <w:color w:val="auto"/>
              </w:rPr>
              <w:t>To ratify, by nonbinding, advisory vote, the appointment of Deloitte &amp; Touche LLP as the independent auditor of Pentair</w:t>
            </w:r>
          </w:p>
        </w:tc>
        <w:tc>
          <w:tcPr>
            <w:tcW w:w="1920" w:type="dxa"/>
            <w:vAlign w:val="bottom"/>
          </w:tcPr>
          <w:p>
            <w:pPr>
              <w:jc w:val="right"/>
              <w:ind w:right="1039"/>
              <w:spacing w:after="0"/>
              <w:rPr>
                <w:sz w:val="20"/>
                <w:szCs w:val="20"/>
                <w:color w:val="auto"/>
              </w:rPr>
            </w:pPr>
            <w:r>
              <w:rPr>
                <w:rFonts w:ascii="Arial" w:cs="Arial" w:eastAsia="Arial" w:hAnsi="Arial"/>
                <w:sz w:val="16"/>
                <w:szCs w:val="16"/>
                <w:color w:val="auto"/>
              </w:rPr>
              <w:t>75</w:t>
            </w:r>
          </w:p>
        </w:tc>
      </w:tr>
      <w:tr>
        <w:trPr>
          <w:trHeight w:val="175"/>
        </w:trPr>
        <w:tc>
          <w:tcPr>
            <w:tcW w:w="180" w:type="dxa"/>
            <w:vAlign w:val="bottom"/>
          </w:tcPr>
          <w:p>
            <w:pPr>
              <w:spacing w:after="0"/>
              <w:rPr>
                <w:sz w:val="15"/>
                <w:szCs w:val="15"/>
                <w:color w:val="auto"/>
              </w:rPr>
            </w:pPr>
          </w:p>
        </w:tc>
        <w:tc>
          <w:tcPr>
            <w:tcW w:w="9140" w:type="dxa"/>
            <w:vAlign w:val="bottom"/>
          </w:tcPr>
          <w:p>
            <w:pPr>
              <w:ind w:left="40"/>
              <w:spacing w:after="0" w:line="175" w:lineRule="exact"/>
              <w:rPr>
                <w:sz w:val="20"/>
                <w:szCs w:val="20"/>
                <w:color w:val="auto"/>
              </w:rPr>
            </w:pPr>
            <w:r>
              <w:rPr>
                <w:rFonts w:ascii="Arial" w:cs="Arial" w:eastAsia="Arial" w:hAnsi="Arial"/>
                <w:sz w:val="16"/>
                <w:szCs w:val="16"/>
                <w:color w:val="auto"/>
              </w:rPr>
              <w:t>plc and to authorize, by binding vote, the Audit and Finance Committee of the Board of Directors to set the auditor’s</w:t>
            </w:r>
          </w:p>
        </w:tc>
        <w:tc>
          <w:tcPr>
            <w:tcW w:w="1920" w:type="dxa"/>
            <w:vAlign w:val="bottom"/>
          </w:tcPr>
          <w:p>
            <w:pPr>
              <w:spacing w:after="0"/>
              <w:rPr>
                <w:sz w:val="15"/>
                <w:szCs w:val="15"/>
                <w:color w:val="auto"/>
              </w:rPr>
            </w:pPr>
          </w:p>
        </w:tc>
      </w:tr>
      <w:tr>
        <w:trPr>
          <w:trHeight w:val="215"/>
        </w:trPr>
        <w:tc>
          <w:tcPr>
            <w:tcW w:w="180" w:type="dxa"/>
            <w:vAlign w:val="bottom"/>
          </w:tcPr>
          <w:p>
            <w:pPr>
              <w:spacing w:after="0"/>
              <w:rPr>
                <w:sz w:val="18"/>
                <w:szCs w:val="18"/>
                <w:color w:val="auto"/>
              </w:rPr>
            </w:pPr>
          </w:p>
        </w:tc>
        <w:tc>
          <w:tcPr>
            <w:tcW w:w="9140" w:type="dxa"/>
            <w:vAlign w:val="bottom"/>
          </w:tcPr>
          <w:p>
            <w:pPr>
              <w:ind w:left="40"/>
              <w:spacing w:after="0"/>
              <w:rPr>
                <w:sz w:val="20"/>
                <w:szCs w:val="20"/>
                <w:color w:val="auto"/>
              </w:rPr>
            </w:pPr>
            <w:r>
              <w:rPr>
                <w:rFonts w:ascii="Arial" w:cs="Arial" w:eastAsia="Arial" w:hAnsi="Arial"/>
                <w:sz w:val="16"/>
                <w:szCs w:val="16"/>
                <w:color w:val="auto"/>
              </w:rPr>
              <w:t>remuneration.</w:t>
            </w:r>
          </w:p>
        </w:tc>
        <w:tc>
          <w:tcPr>
            <w:tcW w:w="1920" w:type="dxa"/>
            <w:vAlign w:val="bottom"/>
          </w:tcPr>
          <w:p>
            <w:pPr>
              <w:spacing w:after="0"/>
              <w:rPr>
                <w:sz w:val="18"/>
                <w:szCs w:val="18"/>
                <w:color w:val="auto"/>
              </w:rPr>
            </w:pPr>
          </w:p>
        </w:tc>
      </w:tr>
      <w:tr>
        <w:trPr>
          <w:trHeight w:val="83"/>
        </w:trPr>
        <w:tc>
          <w:tcPr>
            <w:tcW w:w="180" w:type="dxa"/>
            <w:vAlign w:val="bottom"/>
            <w:tcBorders>
              <w:bottom w:val="single" w:sz="8" w:color="BCBEC0"/>
            </w:tcBorders>
          </w:tcPr>
          <w:p>
            <w:pPr>
              <w:spacing w:after="0"/>
              <w:rPr>
                <w:sz w:val="7"/>
                <w:szCs w:val="7"/>
                <w:color w:val="auto"/>
              </w:rPr>
            </w:pPr>
          </w:p>
        </w:tc>
        <w:tc>
          <w:tcPr>
            <w:tcW w:w="9140" w:type="dxa"/>
            <w:vAlign w:val="bottom"/>
            <w:tcBorders>
              <w:bottom w:val="single" w:sz="8" w:color="BCBEC0"/>
            </w:tcBorders>
          </w:tcPr>
          <w:p>
            <w:pPr>
              <w:spacing w:after="0"/>
              <w:rPr>
                <w:sz w:val="7"/>
                <w:szCs w:val="7"/>
                <w:color w:val="auto"/>
              </w:rPr>
            </w:pPr>
          </w:p>
        </w:tc>
        <w:tc>
          <w:tcPr>
            <w:tcW w:w="1920" w:type="dxa"/>
            <w:vAlign w:val="bottom"/>
            <w:tcBorders>
              <w:bottom w:val="single" w:sz="8" w:color="BCBEC0"/>
            </w:tcBorders>
          </w:tcPr>
          <w:p>
            <w:pPr>
              <w:spacing w:after="0"/>
              <w:rPr>
                <w:sz w:val="7"/>
                <w:szCs w:val="7"/>
                <w:color w:val="auto"/>
              </w:rPr>
            </w:pPr>
          </w:p>
        </w:tc>
      </w:tr>
      <w:tr>
        <w:trPr>
          <w:trHeight w:val="262"/>
        </w:trPr>
        <w:tc>
          <w:tcPr>
            <w:tcW w:w="180" w:type="dxa"/>
            <w:vAlign w:val="bottom"/>
          </w:tcPr>
          <w:p>
            <w:pPr>
              <w:jc w:val="right"/>
              <w:spacing w:after="0"/>
              <w:rPr>
                <w:sz w:val="20"/>
                <w:szCs w:val="20"/>
                <w:color w:val="auto"/>
              </w:rPr>
            </w:pPr>
            <w:r>
              <w:rPr>
                <w:rFonts w:ascii="Arial" w:cs="Arial" w:eastAsia="Arial" w:hAnsi="Arial"/>
                <w:sz w:val="16"/>
                <w:szCs w:val="16"/>
                <w:b w:val="1"/>
                <w:bCs w:val="1"/>
                <w:color w:val="0C3471"/>
              </w:rPr>
              <w:t>4.</w:t>
            </w:r>
          </w:p>
        </w:tc>
        <w:tc>
          <w:tcPr>
            <w:tcW w:w="9140" w:type="dxa"/>
            <w:vAlign w:val="bottom"/>
          </w:tcPr>
          <w:p>
            <w:pPr>
              <w:ind w:left="40"/>
              <w:spacing w:after="0"/>
              <w:rPr>
                <w:sz w:val="20"/>
                <w:szCs w:val="20"/>
                <w:color w:val="auto"/>
              </w:rPr>
            </w:pPr>
            <w:r>
              <w:rPr>
                <w:rFonts w:ascii="Arial" w:cs="Arial" w:eastAsia="Arial" w:hAnsi="Arial"/>
                <w:sz w:val="16"/>
                <w:szCs w:val="16"/>
                <w:color w:val="auto"/>
              </w:rPr>
              <w:t>To authorize the Board of Directors to allot new shares under Irish law.</w:t>
            </w:r>
          </w:p>
        </w:tc>
        <w:tc>
          <w:tcPr>
            <w:tcW w:w="1920" w:type="dxa"/>
            <w:vAlign w:val="bottom"/>
          </w:tcPr>
          <w:p>
            <w:pPr>
              <w:jc w:val="right"/>
              <w:ind w:right="1039"/>
              <w:spacing w:after="0"/>
              <w:rPr>
                <w:sz w:val="20"/>
                <w:szCs w:val="20"/>
                <w:color w:val="auto"/>
              </w:rPr>
            </w:pPr>
            <w:r>
              <w:rPr>
                <w:rFonts w:ascii="Arial" w:cs="Arial" w:eastAsia="Arial" w:hAnsi="Arial"/>
                <w:sz w:val="16"/>
                <w:szCs w:val="16"/>
                <w:color w:val="auto"/>
              </w:rPr>
              <w:t>78</w:t>
            </w:r>
          </w:p>
        </w:tc>
      </w:tr>
      <w:tr>
        <w:trPr>
          <w:trHeight w:val="96"/>
        </w:trPr>
        <w:tc>
          <w:tcPr>
            <w:tcW w:w="180" w:type="dxa"/>
            <w:vAlign w:val="bottom"/>
            <w:tcBorders>
              <w:bottom w:val="single" w:sz="8" w:color="BCBEC0"/>
            </w:tcBorders>
          </w:tcPr>
          <w:p>
            <w:pPr>
              <w:spacing w:after="0"/>
              <w:rPr>
                <w:sz w:val="8"/>
                <w:szCs w:val="8"/>
                <w:color w:val="auto"/>
              </w:rPr>
            </w:pPr>
          </w:p>
        </w:tc>
        <w:tc>
          <w:tcPr>
            <w:tcW w:w="9140" w:type="dxa"/>
            <w:vAlign w:val="bottom"/>
            <w:tcBorders>
              <w:bottom w:val="single" w:sz="8" w:color="BCBEC0"/>
            </w:tcBorders>
          </w:tcPr>
          <w:p>
            <w:pPr>
              <w:spacing w:after="0"/>
              <w:rPr>
                <w:sz w:val="8"/>
                <w:szCs w:val="8"/>
                <w:color w:val="auto"/>
              </w:rPr>
            </w:pPr>
          </w:p>
        </w:tc>
        <w:tc>
          <w:tcPr>
            <w:tcW w:w="1920" w:type="dxa"/>
            <w:vAlign w:val="bottom"/>
            <w:tcBorders>
              <w:bottom w:val="single" w:sz="8" w:color="BCBEC0"/>
            </w:tcBorders>
          </w:tcPr>
          <w:p>
            <w:pPr>
              <w:spacing w:after="0"/>
              <w:rPr>
                <w:sz w:val="8"/>
                <w:szCs w:val="8"/>
                <w:color w:val="auto"/>
              </w:rPr>
            </w:pPr>
          </w:p>
        </w:tc>
      </w:tr>
      <w:tr>
        <w:trPr>
          <w:trHeight w:val="262"/>
        </w:trPr>
        <w:tc>
          <w:tcPr>
            <w:tcW w:w="180" w:type="dxa"/>
            <w:vAlign w:val="bottom"/>
          </w:tcPr>
          <w:p>
            <w:pPr>
              <w:jc w:val="right"/>
              <w:spacing w:after="0"/>
              <w:rPr>
                <w:sz w:val="20"/>
                <w:szCs w:val="20"/>
                <w:color w:val="auto"/>
              </w:rPr>
            </w:pPr>
            <w:r>
              <w:rPr>
                <w:rFonts w:ascii="Arial" w:cs="Arial" w:eastAsia="Arial" w:hAnsi="Arial"/>
                <w:sz w:val="16"/>
                <w:szCs w:val="16"/>
                <w:b w:val="1"/>
                <w:bCs w:val="1"/>
                <w:color w:val="0C3471"/>
              </w:rPr>
              <w:t>5.</w:t>
            </w:r>
          </w:p>
        </w:tc>
        <w:tc>
          <w:tcPr>
            <w:tcW w:w="9140" w:type="dxa"/>
            <w:vAlign w:val="bottom"/>
          </w:tcPr>
          <w:p>
            <w:pPr>
              <w:ind w:left="40"/>
              <w:spacing w:after="0"/>
              <w:rPr>
                <w:sz w:val="20"/>
                <w:szCs w:val="20"/>
                <w:color w:val="auto"/>
              </w:rPr>
            </w:pPr>
            <w:r>
              <w:rPr>
                <w:rFonts w:ascii="Arial" w:cs="Arial" w:eastAsia="Arial" w:hAnsi="Arial"/>
                <w:sz w:val="16"/>
                <w:szCs w:val="16"/>
                <w:color w:val="auto"/>
              </w:rPr>
              <w:t>To authorize the Board of Directors to opt-out of statutory preemption rights under Irish law.</w:t>
            </w:r>
          </w:p>
        </w:tc>
        <w:tc>
          <w:tcPr>
            <w:tcW w:w="1920" w:type="dxa"/>
            <w:vAlign w:val="bottom"/>
          </w:tcPr>
          <w:p>
            <w:pPr>
              <w:jc w:val="right"/>
              <w:ind w:right="1039"/>
              <w:spacing w:after="0"/>
              <w:rPr>
                <w:sz w:val="20"/>
                <w:szCs w:val="20"/>
                <w:color w:val="auto"/>
              </w:rPr>
            </w:pPr>
            <w:r>
              <w:rPr>
                <w:rFonts w:ascii="Arial" w:cs="Arial" w:eastAsia="Arial" w:hAnsi="Arial"/>
                <w:sz w:val="16"/>
                <w:szCs w:val="16"/>
                <w:color w:val="auto"/>
              </w:rPr>
              <w:t>79</w:t>
            </w:r>
          </w:p>
        </w:tc>
      </w:tr>
      <w:tr>
        <w:trPr>
          <w:trHeight w:val="96"/>
        </w:trPr>
        <w:tc>
          <w:tcPr>
            <w:tcW w:w="180" w:type="dxa"/>
            <w:vAlign w:val="bottom"/>
            <w:tcBorders>
              <w:bottom w:val="single" w:sz="8" w:color="BCBEC0"/>
            </w:tcBorders>
          </w:tcPr>
          <w:p>
            <w:pPr>
              <w:spacing w:after="0"/>
              <w:rPr>
                <w:sz w:val="8"/>
                <w:szCs w:val="8"/>
                <w:color w:val="auto"/>
              </w:rPr>
            </w:pPr>
          </w:p>
        </w:tc>
        <w:tc>
          <w:tcPr>
            <w:tcW w:w="9140" w:type="dxa"/>
            <w:vAlign w:val="bottom"/>
            <w:tcBorders>
              <w:bottom w:val="single" w:sz="8" w:color="BCBEC0"/>
            </w:tcBorders>
          </w:tcPr>
          <w:p>
            <w:pPr>
              <w:spacing w:after="0"/>
              <w:rPr>
                <w:sz w:val="8"/>
                <w:szCs w:val="8"/>
                <w:color w:val="auto"/>
              </w:rPr>
            </w:pPr>
          </w:p>
        </w:tc>
        <w:tc>
          <w:tcPr>
            <w:tcW w:w="1920" w:type="dxa"/>
            <w:vAlign w:val="bottom"/>
            <w:tcBorders>
              <w:bottom w:val="single" w:sz="8" w:color="BCBEC0"/>
            </w:tcBorders>
          </w:tcPr>
          <w:p>
            <w:pPr>
              <w:spacing w:after="0"/>
              <w:rPr>
                <w:sz w:val="8"/>
                <w:szCs w:val="8"/>
                <w:color w:val="auto"/>
              </w:rPr>
            </w:pPr>
          </w:p>
        </w:tc>
      </w:tr>
      <w:tr>
        <w:trPr>
          <w:trHeight w:val="262"/>
        </w:trPr>
        <w:tc>
          <w:tcPr>
            <w:tcW w:w="180" w:type="dxa"/>
            <w:vAlign w:val="bottom"/>
          </w:tcPr>
          <w:p>
            <w:pPr>
              <w:jc w:val="right"/>
              <w:spacing w:after="0"/>
              <w:rPr>
                <w:sz w:val="20"/>
                <w:szCs w:val="20"/>
                <w:color w:val="auto"/>
              </w:rPr>
            </w:pPr>
            <w:r>
              <w:rPr>
                <w:rFonts w:ascii="Arial" w:cs="Arial" w:eastAsia="Arial" w:hAnsi="Arial"/>
                <w:sz w:val="16"/>
                <w:szCs w:val="16"/>
                <w:b w:val="1"/>
                <w:bCs w:val="1"/>
                <w:color w:val="0C3471"/>
              </w:rPr>
              <w:t>6.</w:t>
            </w:r>
          </w:p>
        </w:tc>
        <w:tc>
          <w:tcPr>
            <w:tcW w:w="9140" w:type="dxa"/>
            <w:vAlign w:val="bottom"/>
          </w:tcPr>
          <w:p>
            <w:pPr>
              <w:ind w:left="40"/>
              <w:spacing w:after="0"/>
              <w:rPr>
                <w:sz w:val="20"/>
                <w:szCs w:val="20"/>
                <w:color w:val="auto"/>
              </w:rPr>
            </w:pPr>
            <w:r>
              <w:rPr>
                <w:rFonts w:ascii="Arial" w:cs="Arial" w:eastAsia="Arial" w:hAnsi="Arial"/>
                <w:sz w:val="16"/>
                <w:szCs w:val="16"/>
                <w:color w:val="auto"/>
              </w:rPr>
              <w:t>To authorize the price range at which Pentair plc can re-allot shares it holds as treasury shares under Irish law.</w:t>
            </w:r>
          </w:p>
        </w:tc>
        <w:tc>
          <w:tcPr>
            <w:tcW w:w="1920" w:type="dxa"/>
            <w:vAlign w:val="bottom"/>
          </w:tcPr>
          <w:p>
            <w:pPr>
              <w:jc w:val="right"/>
              <w:ind w:right="1039"/>
              <w:spacing w:after="0"/>
              <w:rPr>
                <w:sz w:val="20"/>
                <w:szCs w:val="20"/>
                <w:color w:val="auto"/>
              </w:rPr>
            </w:pPr>
            <w:r>
              <w:rPr>
                <w:rFonts w:ascii="Arial" w:cs="Arial" w:eastAsia="Arial" w:hAnsi="Arial"/>
                <w:sz w:val="16"/>
                <w:szCs w:val="16"/>
                <w:color w:val="auto"/>
              </w:rPr>
              <w:t>80</w:t>
            </w:r>
          </w:p>
        </w:tc>
      </w:tr>
      <w:tr>
        <w:trPr>
          <w:trHeight w:val="96"/>
        </w:trPr>
        <w:tc>
          <w:tcPr>
            <w:tcW w:w="180" w:type="dxa"/>
            <w:vAlign w:val="bottom"/>
            <w:tcBorders>
              <w:bottom w:val="single" w:sz="8" w:color="0C3471"/>
            </w:tcBorders>
          </w:tcPr>
          <w:p>
            <w:pPr>
              <w:spacing w:after="0"/>
              <w:rPr>
                <w:sz w:val="8"/>
                <w:szCs w:val="8"/>
                <w:color w:val="auto"/>
              </w:rPr>
            </w:pPr>
          </w:p>
        </w:tc>
        <w:tc>
          <w:tcPr>
            <w:tcW w:w="9140" w:type="dxa"/>
            <w:vAlign w:val="bottom"/>
            <w:tcBorders>
              <w:bottom w:val="single" w:sz="8" w:color="0C3471"/>
            </w:tcBorders>
          </w:tcPr>
          <w:p>
            <w:pPr>
              <w:spacing w:after="0"/>
              <w:rPr>
                <w:sz w:val="8"/>
                <w:szCs w:val="8"/>
                <w:color w:val="auto"/>
              </w:rPr>
            </w:pPr>
          </w:p>
        </w:tc>
        <w:tc>
          <w:tcPr>
            <w:tcW w:w="1920" w:type="dxa"/>
            <w:vAlign w:val="bottom"/>
            <w:tcBorders>
              <w:bottom w:val="single" w:sz="8" w:color="0C3471"/>
            </w:tcBorders>
          </w:tcPr>
          <w:p>
            <w:pPr>
              <w:spacing w:after="0"/>
              <w:rPr>
                <w:sz w:val="8"/>
                <w:szCs w:val="8"/>
                <w:color w:val="auto"/>
              </w:rPr>
            </w:pPr>
          </w:p>
        </w:tc>
      </w:tr>
    </w:tbl>
    <w:p>
      <w:pPr>
        <w:spacing w:after="0" w:line="134" w:lineRule="exact"/>
        <w:rPr>
          <w:sz w:val="20"/>
          <w:szCs w:val="20"/>
          <w:color w:val="auto"/>
        </w:rPr>
      </w:pPr>
    </w:p>
    <w:p>
      <w:pPr>
        <w:spacing w:after="0"/>
        <w:rPr>
          <w:sz w:val="20"/>
          <w:szCs w:val="20"/>
          <w:color w:val="auto"/>
        </w:rPr>
      </w:pPr>
      <w:r>
        <w:rPr>
          <w:rFonts w:ascii="Arial" w:cs="Arial" w:eastAsia="Arial" w:hAnsi="Arial"/>
          <w:sz w:val="16"/>
          <w:szCs w:val="16"/>
          <w:color w:val="auto"/>
        </w:rPr>
        <w:t>In addition, shareholders will consider and act on such other business as may properly come before the Annual General Meeting or any adjournment.</w:t>
      </w:r>
    </w:p>
    <w:p>
      <w:pPr>
        <w:spacing w:after="0" w:line="59" w:lineRule="exact"/>
        <w:rPr>
          <w:sz w:val="20"/>
          <w:szCs w:val="20"/>
          <w:color w:val="auto"/>
        </w:rPr>
      </w:pPr>
    </w:p>
    <w:p>
      <w:pPr>
        <w:ind w:right="160"/>
        <w:spacing w:after="0" w:line="281" w:lineRule="auto"/>
        <w:rPr>
          <w:sz w:val="20"/>
          <w:szCs w:val="20"/>
          <w:color w:val="auto"/>
        </w:rPr>
      </w:pPr>
      <w:r>
        <w:rPr>
          <w:rFonts w:ascii="Arial" w:cs="Arial" w:eastAsia="Arial" w:hAnsi="Arial"/>
          <w:sz w:val="16"/>
          <w:szCs w:val="16"/>
          <w:color w:val="auto"/>
        </w:rPr>
        <w:t>Proposals 1, 2, 3, and 4 are ordinary resolutions, requiring the approval of a simple majority of the votes cast at the meeting. Proposals 5 and 6 are special resolutions, requiring the approval of not less than 75% of the votes cast.</w:t>
      </w:r>
    </w:p>
    <w:p>
      <w:pPr>
        <w:spacing w:after="0" w:line="1" w:lineRule="exact"/>
        <w:rPr>
          <w:sz w:val="20"/>
          <w:szCs w:val="20"/>
          <w:color w:val="auto"/>
        </w:rPr>
      </w:pPr>
    </w:p>
    <w:p>
      <w:pPr>
        <w:ind w:right="80"/>
        <w:spacing w:after="0" w:line="243" w:lineRule="auto"/>
        <w:rPr>
          <w:sz w:val="20"/>
          <w:szCs w:val="20"/>
          <w:color w:val="auto"/>
        </w:rPr>
      </w:pPr>
      <w:r>
        <w:rPr>
          <w:rFonts w:ascii="Arial" w:cs="Arial" w:eastAsia="Arial" w:hAnsi="Arial"/>
          <w:sz w:val="16"/>
          <w:szCs w:val="16"/>
          <w:color w:val="auto"/>
        </w:rPr>
        <w:t>Only shareholders of record as of the close of business on March 6, 2026 are entitled to receive notice of, and vote at, the Annual General Meeting. If you are a shareholder entitled to attend and vote at the Annual General Meeting, you are entitled to appoint a proxy or proxies to attend, speak and vote on your behalf. A proxy need not be a shareholder. If you wish to appoint as proxy any person other than the individuals specified on the proxy card to attend and vote at the Annual General Meeting on your behalf, please contact our Corporate Secretary at our registered office or deliver to the Corporate Secretary at our registered office a proxy card in the form set out in section 184 of the Irish Companies Act 2014 (the “Companies Act”).</w:t>
      </w:r>
    </w:p>
    <w:p>
      <w:pPr>
        <w:spacing w:after="0" w:line="27" w:lineRule="exact"/>
        <w:rPr>
          <w:sz w:val="20"/>
          <w:szCs w:val="20"/>
          <w:color w:val="auto"/>
        </w:rPr>
      </w:pPr>
    </w:p>
    <w:p>
      <w:pPr>
        <w:ind w:right="240"/>
        <w:spacing w:after="0" w:line="281" w:lineRule="auto"/>
        <w:rPr>
          <w:sz w:val="20"/>
          <w:szCs w:val="20"/>
          <w:color w:val="auto"/>
        </w:rPr>
      </w:pPr>
      <w:r>
        <w:rPr>
          <w:rFonts w:ascii="Arial" w:cs="Arial" w:eastAsia="Arial" w:hAnsi="Arial"/>
          <w:sz w:val="16"/>
          <w:szCs w:val="16"/>
          <w:color w:val="auto"/>
        </w:rPr>
        <w:t>At the Annual General Meeting, management will review Pentair plc’s affairs and will also present Pentair plc’s Irish Statutory Financial Statements for the fiscal year ended December 31, 2025 and the reports of the directors and the statutory auditors thereon.</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480060" cy="2825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80060" cy="282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6"/>
          <w:szCs w:val="16"/>
          <w:b w:val="1"/>
          <w:bCs w:val="1"/>
          <w:color w:val="0C3471"/>
        </w:rPr>
        <w:t>Lance Bonner</w:t>
      </w:r>
      <w:r>
        <w:rPr>
          <w:rFonts w:ascii="Arial" w:cs="Arial" w:eastAsia="Arial" w:hAnsi="Arial"/>
          <w:sz w:val="16"/>
          <w:szCs w:val="16"/>
          <w:color w:val="000000"/>
        </w:rPr>
        <w:t>, Secretary</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March 20, 2026</w:t>
      </w:r>
    </w:p>
    <w:p>
      <w:pPr>
        <w:sectPr>
          <w:pgSz w:w="11900" w:h="16838" w:orient="portrait"/>
          <w:cols w:equalWidth="0" w:num="1">
            <w:col w:w="11240"/>
          </w:cols>
          <w:pgMar w:left="320" w:top="135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600" w:hanging="574"/>
        <w:spacing w:after="0"/>
        <w:tabs>
          <w:tab w:leader="none" w:pos="600" w:val="left"/>
        </w:tabs>
        <w:numPr>
          <w:ilvl w:val="0"/>
          <w:numId w:val="7"/>
        </w:numPr>
        <w:rPr>
          <w:rFonts w:ascii="Arial" w:cs="Arial" w:eastAsia="Arial" w:hAnsi="Arial"/>
          <w:sz w:val="16"/>
          <w:szCs w:val="16"/>
          <w:b w:val="1"/>
          <w:bCs w:val="1"/>
          <w:color w:val="auto"/>
        </w:rPr>
      </w:pPr>
      <w:r>
        <w:rPr>
          <w:rFonts w:ascii="Arial" w:cs="Arial" w:eastAsia="Arial" w:hAnsi="Arial"/>
          <w:sz w:val="16"/>
          <w:szCs w:val="16"/>
          <w:color w:val="auto"/>
        </w:rPr>
        <w:t xml:space="preserve">Pentair </w:t>
      </w:r>
      <w:r>
        <w:rPr>
          <w:rFonts w:ascii="Arial" w:cs="Arial" w:eastAsia="Arial" w:hAnsi="Arial"/>
          <w:sz w:val="16"/>
          <w:szCs w:val="16"/>
          <w:b w:val="1"/>
          <w:bCs w:val="1"/>
          <w:color w:val="0C3471"/>
        </w:rPr>
        <w:t>|</w:t>
      </w:r>
      <w:r>
        <w:rPr>
          <w:rFonts w:ascii="Arial" w:cs="Arial" w:eastAsia="Arial" w:hAnsi="Arial"/>
          <w:sz w:val="16"/>
          <w:szCs w:val="16"/>
          <w:color w:val="auto"/>
        </w:rPr>
        <w:t xml:space="preserve"> </w:t>
      </w:r>
      <w:r>
        <w:rPr>
          <w:rFonts w:ascii="Arial" w:cs="Arial" w:eastAsia="Arial" w:hAnsi="Arial"/>
          <w:sz w:val="16"/>
          <w:szCs w:val="16"/>
          <w:b w:val="1"/>
          <w:bCs w:val="1"/>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205105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2" w:right="339" w:bottom="1440" w:gutter="0" w:footer="0" w:header="0"/>
          <w:type w:val="continuous"/>
        </w:sectPr>
      </w:pPr>
    </w:p>
    <w:bookmarkStart w:id="4" w:name="page5"/>
    <w:bookmarkEnd w:id="4"/>
    <w:p>
      <w:pPr>
        <w:ind w:left="736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4262755</wp:posOffset>
            </wp:positionH>
            <wp:positionV relativeFrom="page">
              <wp:posOffset>191770</wp:posOffset>
            </wp:positionV>
            <wp:extent cx="102870" cy="11112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102870" cy="111125"/>
                    </a:xfrm>
                    <a:prstGeom prst="rect">
                      <a:avLst/>
                    </a:prstGeom>
                    <a:noFill/>
                  </pic:spPr>
                </pic:pic>
              </a:graphicData>
            </a:graphic>
          </wp:anchor>
        </w:drawing>
        <w:t>Notice of Annual General Meeting of Shareholders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Voting Methods</w:t>
      </w:r>
    </w:p>
    <w:p>
      <w:pPr>
        <w:spacing w:after="0" w:line="128" w:lineRule="exact"/>
        <w:rPr>
          <w:sz w:val="20"/>
          <w:szCs w:val="20"/>
          <w:color w:val="auto"/>
        </w:rPr>
      </w:pPr>
    </w:p>
    <w:p>
      <w:pPr>
        <w:ind w:right="60"/>
        <w:spacing w:after="0" w:line="321" w:lineRule="auto"/>
        <w:rPr>
          <w:sz w:val="20"/>
          <w:szCs w:val="20"/>
          <w:color w:val="auto"/>
        </w:rPr>
      </w:pPr>
      <w:r>
        <w:rPr>
          <w:rFonts w:ascii="Arial" w:cs="Arial" w:eastAsia="Arial" w:hAnsi="Arial"/>
          <w:sz w:val="16"/>
          <w:szCs w:val="16"/>
          <w:color w:val="auto"/>
        </w:rPr>
        <w:t>Whether or not you plan to attend the Annual General Meeting, we encourage you to vote your shares by submitting a proxy as soon as possible. If you vote by internet or telephone, have your proxy card, Notice of Internet Availability or voting instruction form in hand to access your 16-digit control number.</w:t>
      </w:r>
    </w:p>
    <w:p>
      <w:pPr>
        <w:spacing w:after="0" w:line="75"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1520" w:type="dxa"/>
            <w:vAlign w:val="bottom"/>
            <w:tcBorders>
              <w:left w:val="single" w:sz="8" w:color="64A70B"/>
              <w:bottom w:val="single" w:sz="8" w:color="64A70B"/>
            </w:tcBorders>
            <w:shd w:val="clear" w:color="auto" w:fill="0C3471"/>
          </w:tcPr>
          <w:p>
            <w:pPr>
              <w:jc w:val="center"/>
              <w:spacing w:after="0"/>
              <w:rPr>
                <w:sz w:val="20"/>
                <w:szCs w:val="20"/>
                <w:color w:val="auto"/>
              </w:rPr>
            </w:pPr>
            <w:r>
              <w:rPr>
                <w:rFonts w:ascii="Arial" w:cs="Arial" w:eastAsia="Arial" w:hAnsi="Arial"/>
                <w:sz w:val="16"/>
                <w:szCs w:val="16"/>
                <w:b w:val="1"/>
                <w:bCs w:val="1"/>
                <w:color w:val="FFFFFF"/>
              </w:rPr>
              <w:t>Method</w:t>
            </w:r>
          </w:p>
        </w:tc>
        <w:tc>
          <w:tcPr>
            <w:tcW w:w="5220" w:type="dxa"/>
            <w:vAlign w:val="bottom"/>
            <w:tcBorders>
              <w:bottom w:val="single" w:sz="8" w:color="64A70B"/>
              <w:right w:val="single" w:sz="8" w:color="0C3471"/>
            </w:tcBorders>
            <w:shd w:val="clear" w:color="auto" w:fill="0C3471"/>
          </w:tcPr>
          <w:p>
            <w:pPr>
              <w:ind w:left="2300"/>
              <w:spacing w:after="0"/>
              <w:rPr>
                <w:sz w:val="20"/>
                <w:szCs w:val="20"/>
                <w:color w:val="auto"/>
              </w:rPr>
            </w:pPr>
            <w:r>
              <w:rPr>
                <w:rFonts w:ascii="Arial" w:cs="Arial" w:eastAsia="Arial" w:hAnsi="Arial"/>
                <w:sz w:val="16"/>
                <w:szCs w:val="16"/>
                <w:b w:val="1"/>
                <w:bCs w:val="1"/>
                <w:color w:val="FFFFFF"/>
              </w:rPr>
              <w:t>Instruction</w:t>
            </w:r>
          </w:p>
        </w:tc>
        <w:tc>
          <w:tcPr>
            <w:tcW w:w="140" w:type="dxa"/>
            <w:vAlign w:val="bottom"/>
            <w:tcBorders>
              <w:bottom w:val="single" w:sz="8" w:color="64A70B"/>
            </w:tcBorders>
            <w:shd w:val="clear" w:color="auto" w:fill="0C3471"/>
          </w:tcPr>
          <w:p>
            <w:pPr>
              <w:spacing w:after="0"/>
              <w:rPr>
                <w:sz w:val="19"/>
                <w:szCs w:val="19"/>
                <w:color w:val="auto"/>
              </w:rPr>
            </w:pPr>
          </w:p>
        </w:tc>
        <w:tc>
          <w:tcPr>
            <w:tcW w:w="120" w:type="dxa"/>
            <w:vAlign w:val="bottom"/>
            <w:tcBorders>
              <w:bottom w:val="single" w:sz="8" w:color="64A70B"/>
            </w:tcBorders>
            <w:shd w:val="clear" w:color="auto" w:fill="0C3471"/>
          </w:tcPr>
          <w:p>
            <w:pPr>
              <w:spacing w:after="0"/>
              <w:rPr>
                <w:sz w:val="19"/>
                <w:szCs w:val="19"/>
                <w:color w:val="auto"/>
              </w:rPr>
            </w:pPr>
          </w:p>
        </w:tc>
        <w:tc>
          <w:tcPr>
            <w:tcW w:w="4260" w:type="dxa"/>
            <w:vAlign w:val="bottom"/>
            <w:tcBorders>
              <w:bottom w:val="single" w:sz="8" w:color="64A70B"/>
              <w:right w:val="single" w:sz="8" w:color="64A70B"/>
            </w:tcBorders>
            <w:shd w:val="clear" w:color="auto" w:fill="0C3471"/>
          </w:tcPr>
          <w:p>
            <w:pPr>
              <w:ind w:left="1720"/>
              <w:spacing w:after="0"/>
              <w:rPr>
                <w:sz w:val="20"/>
                <w:szCs w:val="20"/>
                <w:color w:val="auto"/>
              </w:rPr>
            </w:pPr>
            <w:r>
              <w:rPr>
                <w:rFonts w:ascii="Arial" w:cs="Arial" w:eastAsia="Arial" w:hAnsi="Arial"/>
                <w:sz w:val="16"/>
                <w:szCs w:val="16"/>
                <w:b w:val="1"/>
                <w:bCs w:val="1"/>
                <w:color w:val="FFFFFF"/>
              </w:rPr>
              <w:t>Deadline</w:t>
            </w:r>
          </w:p>
        </w:tc>
        <w:tc>
          <w:tcPr>
            <w:tcW w:w="0" w:type="dxa"/>
            <w:vAlign w:val="bottom"/>
          </w:tcPr>
          <w:p>
            <w:pPr>
              <w:spacing w:after="0"/>
              <w:rPr>
                <w:sz w:val="1"/>
                <w:szCs w:val="1"/>
                <w:color w:val="auto"/>
              </w:rPr>
            </w:pPr>
          </w:p>
        </w:tc>
      </w:tr>
      <w:tr>
        <w:trPr>
          <w:trHeight w:val="356"/>
        </w:trPr>
        <w:tc>
          <w:tcPr>
            <w:tcW w:w="1520" w:type="dxa"/>
            <w:vAlign w:val="bottom"/>
          </w:tcPr>
          <w:p>
            <w:pPr>
              <w:spacing w:after="0"/>
              <w:rPr>
                <w:sz w:val="24"/>
                <w:szCs w:val="24"/>
                <w:color w:val="auto"/>
              </w:rPr>
            </w:pPr>
          </w:p>
        </w:tc>
        <w:tc>
          <w:tcPr>
            <w:tcW w:w="5220" w:type="dxa"/>
            <w:vAlign w:val="bottom"/>
            <w:tcBorders>
              <w:right w:val="single" w:sz="8" w:color="CED6E3"/>
            </w:tcBorders>
            <w:vMerge w:val="restart"/>
          </w:tcPr>
          <w:p>
            <w:pPr>
              <w:ind w:left="240"/>
              <w:spacing w:after="0"/>
              <w:rPr>
                <w:sz w:val="20"/>
                <w:szCs w:val="20"/>
                <w:color w:val="auto"/>
              </w:rPr>
            </w:pPr>
            <w:r>
              <w:rPr>
                <w:rFonts w:ascii="Arial" w:cs="Arial" w:eastAsia="Arial" w:hAnsi="Arial"/>
                <w:sz w:val="16"/>
                <w:szCs w:val="16"/>
                <w:color w:val="auto"/>
              </w:rPr>
              <w:t xml:space="preserve">You can vote over the Internet at </w:t>
            </w:r>
            <w:r>
              <w:rPr>
                <w:rFonts w:ascii="Arial" w:cs="Arial" w:eastAsia="Arial" w:hAnsi="Arial"/>
                <w:sz w:val="16"/>
                <w:szCs w:val="16"/>
                <w:color w:val="0C3471"/>
              </w:rPr>
              <w:t>www.proxyvote.com</w:t>
            </w:r>
            <w:r>
              <w:rPr>
                <w:rFonts w:ascii="Arial" w:cs="Arial" w:eastAsia="Arial" w:hAnsi="Arial"/>
                <w:sz w:val="16"/>
                <w:szCs w:val="16"/>
                <w:color w:val="auto"/>
              </w:rPr>
              <w:t xml:space="preserve"> and follow the</w:t>
            </w:r>
          </w:p>
        </w:tc>
        <w:tc>
          <w:tcPr>
            <w:tcW w:w="140" w:type="dxa"/>
            <w:vAlign w:val="bottom"/>
            <w:shd w:val="clear" w:color="auto" w:fill="ECEFF4"/>
          </w:tcPr>
          <w:p>
            <w:pPr>
              <w:spacing w:after="0"/>
              <w:rPr>
                <w:sz w:val="24"/>
                <w:szCs w:val="24"/>
                <w:color w:val="auto"/>
              </w:rPr>
            </w:pPr>
          </w:p>
        </w:tc>
        <w:tc>
          <w:tcPr>
            <w:tcW w:w="4380" w:type="dxa"/>
            <w:vAlign w:val="bottom"/>
            <w:tcBorders>
              <w:right w:val="single" w:sz="8" w:color="CED6E3"/>
            </w:tcBorders>
            <w:gridSpan w:val="2"/>
            <w:shd w:val="clear" w:color="auto" w:fill="ECEFF4"/>
          </w:tcPr>
          <w:p>
            <w:pPr>
              <w:ind w:left="20"/>
              <w:spacing w:after="0"/>
              <w:rPr>
                <w:sz w:val="20"/>
                <w:szCs w:val="20"/>
                <w:color w:val="auto"/>
              </w:rPr>
            </w:pPr>
            <w:r>
              <w:rPr>
                <w:rFonts w:ascii="Arial" w:cs="Arial" w:eastAsia="Arial" w:hAnsi="Arial"/>
                <w:sz w:val="16"/>
                <w:szCs w:val="16"/>
                <w:color w:val="auto"/>
              </w:rPr>
              <w:t>You must submit your proxy by internet or telephone, or</w:t>
            </w:r>
          </w:p>
        </w:tc>
        <w:tc>
          <w:tcPr>
            <w:tcW w:w="0" w:type="dxa"/>
            <w:vAlign w:val="bottom"/>
          </w:tcPr>
          <w:p>
            <w:pPr>
              <w:spacing w:after="0"/>
              <w:rPr>
                <w:sz w:val="1"/>
                <w:szCs w:val="1"/>
                <w:color w:val="auto"/>
              </w:rPr>
            </w:pPr>
          </w:p>
        </w:tc>
      </w:tr>
      <w:tr>
        <w:trPr>
          <w:trHeight w:val="162"/>
        </w:trPr>
        <w:tc>
          <w:tcPr>
            <w:tcW w:w="1520" w:type="dxa"/>
            <w:vAlign w:val="bottom"/>
          </w:tcPr>
          <w:p>
            <w:pPr>
              <w:spacing w:after="0"/>
              <w:rPr>
                <w:sz w:val="14"/>
                <w:szCs w:val="14"/>
                <w:color w:val="auto"/>
              </w:rPr>
            </w:pPr>
          </w:p>
        </w:tc>
        <w:tc>
          <w:tcPr>
            <w:tcW w:w="5220" w:type="dxa"/>
            <w:vAlign w:val="bottom"/>
            <w:tcBorders>
              <w:right w:val="single" w:sz="8" w:color="CED6E3"/>
            </w:tcBorders>
            <w:vMerge w:val="continue"/>
          </w:tcPr>
          <w:p>
            <w:pPr>
              <w:spacing w:after="0"/>
              <w:rPr>
                <w:sz w:val="14"/>
                <w:szCs w:val="14"/>
                <w:color w:val="auto"/>
              </w:rPr>
            </w:pPr>
          </w:p>
        </w:tc>
        <w:tc>
          <w:tcPr>
            <w:tcW w:w="140" w:type="dxa"/>
            <w:vAlign w:val="bottom"/>
            <w:shd w:val="clear" w:color="auto" w:fill="ECEFF4"/>
          </w:tcPr>
          <w:p>
            <w:pPr>
              <w:spacing w:after="0"/>
              <w:rPr>
                <w:sz w:val="14"/>
                <w:szCs w:val="14"/>
                <w:color w:val="auto"/>
              </w:rPr>
            </w:pPr>
          </w:p>
        </w:tc>
        <w:tc>
          <w:tcPr>
            <w:tcW w:w="4380" w:type="dxa"/>
            <w:vAlign w:val="bottom"/>
            <w:tcBorders>
              <w:right w:val="single" w:sz="8" w:color="CED6E3"/>
            </w:tcBorders>
            <w:gridSpan w:val="2"/>
            <w:vMerge w:val="restart"/>
            <w:shd w:val="clear" w:color="auto" w:fill="ECEFF4"/>
          </w:tcPr>
          <w:p>
            <w:pPr>
              <w:ind w:left="20"/>
              <w:spacing w:after="0"/>
              <w:rPr>
                <w:sz w:val="20"/>
                <w:szCs w:val="20"/>
                <w:color w:val="auto"/>
              </w:rPr>
            </w:pPr>
            <w:r>
              <w:rPr>
                <w:rFonts w:ascii="Arial" w:cs="Arial" w:eastAsia="Arial" w:hAnsi="Arial"/>
                <w:sz w:val="16"/>
                <w:szCs w:val="16"/>
                <w:color w:val="auto"/>
              </w:rPr>
              <w:t>your printed proxy card must be received at the address</w:t>
            </w:r>
          </w:p>
        </w:tc>
        <w:tc>
          <w:tcPr>
            <w:tcW w:w="0" w:type="dxa"/>
            <w:vAlign w:val="bottom"/>
          </w:tcPr>
          <w:p>
            <w:pPr>
              <w:spacing w:after="0"/>
              <w:rPr>
                <w:sz w:val="1"/>
                <w:szCs w:val="1"/>
                <w:color w:val="auto"/>
              </w:rPr>
            </w:pPr>
          </w:p>
        </w:tc>
      </w:tr>
      <w:tr>
        <w:trPr>
          <w:trHeight w:val="42"/>
        </w:trPr>
        <w:tc>
          <w:tcPr>
            <w:tcW w:w="1520" w:type="dxa"/>
            <w:vAlign w:val="bottom"/>
          </w:tcPr>
          <w:p>
            <w:pPr>
              <w:spacing w:after="0"/>
              <w:rPr>
                <w:sz w:val="3"/>
                <w:szCs w:val="3"/>
                <w:color w:val="auto"/>
              </w:rPr>
            </w:pPr>
          </w:p>
        </w:tc>
        <w:tc>
          <w:tcPr>
            <w:tcW w:w="5220" w:type="dxa"/>
            <w:vAlign w:val="bottom"/>
            <w:tcBorders>
              <w:right w:val="single" w:sz="8" w:color="CED6E3"/>
            </w:tcBorders>
            <w:vMerge w:val="restart"/>
          </w:tcPr>
          <w:p>
            <w:pPr>
              <w:ind w:left="240"/>
              <w:spacing w:after="0"/>
              <w:rPr>
                <w:sz w:val="20"/>
                <w:szCs w:val="20"/>
                <w:color w:val="auto"/>
              </w:rPr>
            </w:pPr>
            <w:r>
              <w:rPr>
                <w:rFonts w:ascii="Arial" w:cs="Arial" w:eastAsia="Arial" w:hAnsi="Arial"/>
                <w:sz w:val="16"/>
                <w:szCs w:val="16"/>
                <w:color w:val="auto"/>
              </w:rPr>
              <w:t>instructions (have your Notice of Internet Availability, proxy card or</w:t>
            </w:r>
          </w:p>
        </w:tc>
        <w:tc>
          <w:tcPr>
            <w:tcW w:w="140" w:type="dxa"/>
            <w:vAlign w:val="bottom"/>
            <w:shd w:val="clear" w:color="auto" w:fill="ECEFF4"/>
          </w:tcPr>
          <w:p>
            <w:pPr>
              <w:spacing w:after="0"/>
              <w:rPr>
                <w:sz w:val="3"/>
                <w:szCs w:val="3"/>
                <w:color w:val="auto"/>
              </w:rPr>
            </w:pPr>
          </w:p>
        </w:tc>
        <w:tc>
          <w:tcPr>
            <w:tcW w:w="4380" w:type="dxa"/>
            <w:vAlign w:val="bottom"/>
            <w:tcBorders>
              <w:right w:val="single" w:sz="8" w:color="CED6E3"/>
            </w:tcBorders>
            <w:gridSpan w:val="2"/>
            <w:vMerge w:val="continue"/>
            <w:shd w:val="clear" w:color="auto" w:fill="ECEFF4"/>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1520" w:type="dxa"/>
            <w:vAlign w:val="bottom"/>
          </w:tcPr>
          <w:p>
            <w:pPr>
              <w:spacing w:after="0"/>
              <w:rPr>
                <w:sz w:val="14"/>
                <w:szCs w:val="14"/>
                <w:color w:val="auto"/>
              </w:rPr>
            </w:pPr>
          </w:p>
        </w:tc>
        <w:tc>
          <w:tcPr>
            <w:tcW w:w="5220" w:type="dxa"/>
            <w:vAlign w:val="bottom"/>
            <w:tcBorders>
              <w:right w:val="single" w:sz="8" w:color="CED6E3"/>
            </w:tcBorders>
            <w:vMerge w:val="continue"/>
          </w:tcPr>
          <w:p>
            <w:pPr>
              <w:spacing w:after="0"/>
              <w:rPr>
                <w:sz w:val="14"/>
                <w:szCs w:val="14"/>
                <w:color w:val="auto"/>
              </w:rPr>
            </w:pPr>
          </w:p>
        </w:tc>
        <w:tc>
          <w:tcPr>
            <w:tcW w:w="140" w:type="dxa"/>
            <w:vAlign w:val="bottom"/>
            <w:shd w:val="clear" w:color="auto" w:fill="ECEFF4"/>
          </w:tcPr>
          <w:p>
            <w:pPr>
              <w:spacing w:after="0"/>
              <w:rPr>
                <w:sz w:val="14"/>
                <w:szCs w:val="14"/>
                <w:color w:val="auto"/>
              </w:rPr>
            </w:pPr>
          </w:p>
        </w:tc>
        <w:tc>
          <w:tcPr>
            <w:tcW w:w="4380" w:type="dxa"/>
            <w:vAlign w:val="bottom"/>
            <w:tcBorders>
              <w:right w:val="single" w:sz="8" w:color="CED6E3"/>
            </w:tcBorders>
            <w:gridSpan w:val="2"/>
            <w:shd w:val="clear" w:color="auto" w:fill="ECEFF4"/>
          </w:tcPr>
          <w:p>
            <w:pPr>
              <w:ind w:left="20"/>
              <w:spacing w:after="0" w:line="163" w:lineRule="exact"/>
              <w:rPr>
                <w:sz w:val="20"/>
                <w:szCs w:val="20"/>
                <w:color w:val="auto"/>
              </w:rPr>
            </w:pPr>
            <w:r>
              <w:rPr>
                <w:rFonts w:ascii="Arial" w:cs="Arial" w:eastAsia="Arial" w:hAnsi="Arial"/>
                <w:sz w:val="16"/>
                <w:szCs w:val="16"/>
                <w:color w:val="auto"/>
              </w:rPr>
              <w:t>stated on the card, by no later than:</w:t>
            </w:r>
          </w:p>
        </w:tc>
        <w:tc>
          <w:tcPr>
            <w:tcW w:w="0" w:type="dxa"/>
            <w:vAlign w:val="bottom"/>
          </w:tcPr>
          <w:p>
            <w:pPr>
              <w:spacing w:after="0"/>
              <w:rPr>
                <w:sz w:val="1"/>
                <w:szCs w:val="1"/>
                <w:color w:val="auto"/>
              </w:rPr>
            </w:pPr>
          </w:p>
        </w:tc>
      </w:tr>
      <w:tr>
        <w:trPr>
          <w:trHeight w:val="215"/>
        </w:trPr>
        <w:tc>
          <w:tcPr>
            <w:tcW w:w="1520" w:type="dxa"/>
            <w:vAlign w:val="bottom"/>
            <w:vMerge w:val="restart"/>
          </w:tcPr>
          <w:p>
            <w:pPr>
              <w:jc w:val="center"/>
              <w:spacing w:after="0"/>
              <w:rPr>
                <w:sz w:val="20"/>
                <w:szCs w:val="20"/>
                <w:color w:val="auto"/>
              </w:rPr>
            </w:pPr>
            <w:r>
              <w:rPr>
                <w:rFonts w:ascii="Arial" w:cs="Arial" w:eastAsia="Arial" w:hAnsi="Arial"/>
                <w:sz w:val="16"/>
                <w:szCs w:val="16"/>
                <w:b w:val="1"/>
                <w:bCs w:val="1"/>
                <w:color w:val="0C3471"/>
              </w:rPr>
              <w:t>By Internet</w:t>
            </w:r>
          </w:p>
        </w:tc>
        <w:tc>
          <w:tcPr>
            <w:tcW w:w="5220" w:type="dxa"/>
            <w:vAlign w:val="bottom"/>
            <w:tcBorders>
              <w:right w:val="single" w:sz="8" w:color="CED6E3"/>
            </w:tcBorders>
          </w:tcPr>
          <w:p>
            <w:pPr>
              <w:ind w:left="240"/>
              <w:spacing w:after="0"/>
              <w:rPr>
                <w:sz w:val="20"/>
                <w:szCs w:val="20"/>
                <w:color w:val="auto"/>
              </w:rPr>
            </w:pPr>
            <w:r>
              <w:rPr>
                <w:rFonts w:ascii="Arial" w:cs="Arial" w:eastAsia="Arial" w:hAnsi="Arial"/>
                <w:sz w:val="16"/>
                <w:szCs w:val="16"/>
                <w:color w:val="auto"/>
              </w:rPr>
              <w:t>voting instruction form in hand when accessing the website)</w:t>
            </w:r>
          </w:p>
        </w:tc>
        <w:tc>
          <w:tcPr>
            <w:tcW w:w="140" w:type="dxa"/>
            <w:vAlign w:val="bottom"/>
            <w:shd w:val="clear" w:color="auto" w:fill="ECEFF4"/>
          </w:tcPr>
          <w:p>
            <w:pPr>
              <w:spacing w:after="0"/>
              <w:rPr>
                <w:sz w:val="18"/>
                <w:szCs w:val="18"/>
                <w:color w:val="auto"/>
              </w:rPr>
            </w:pPr>
          </w:p>
        </w:tc>
        <w:tc>
          <w:tcPr>
            <w:tcW w:w="120" w:type="dxa"/>
            <w:vAlign w:val="bottom"/>
            <w:vMerge w:val="restart"/>
            <w:shd w:val="clear" w:color="auto" w:fill="ECEFF4"/>
          </w:tcPr>
          <w:p>
            <w:pPr>
              <w:ind w:left="20"/>
              <w:spacing w:after="0"/>
              <w:rPr>
                <w:sz w:val="20"/>
                <w:szCs w:val="20"/>
                <w:color w:val="auto"/>
              </w:rPr>
            </w:pPr>
            <w:r>
              <w:rPr>
                <w:rFonts w:ascii="Arial" w:cs="Arial" w:eastAsia="Arial" w:hAnsi="Arial"/>
                <w:sz w:val="13"/>
                <w:szCs w:val="13"/>
                <w:color w:val="64A70B"/>
              </w:rPr>
              <w:t>u</w:t>
            </w:r>
          </w:p>
        </w:tc>
        <w:tc>
          <w:tcPr>
            <w:tcW w:w="4260" w:type="dxa"/>
            <w:vAlign w:val="bottom"/>
            <w:tcBorders>
              <w:right w:val="single" w:sz="8" w:color="CED6E3"/>
            </w:tcBorders>
            <w:vMerge w:val="restart"/>
            <w:shd w:val="clear" w:color="auto" w:fill="ECEFF4"/>
          </w:tcPr>
          <w:p>
            <w:pPr>
              <w:ind w:left="40"/>
              <w:spacing w:after="0"/>
              <w:rPr>
                <w:sz w:val="20"/>
                <w:szCs w:val="20"/>
                <w:color w:val="auto"/>
              </w:rPr>
            </w:pPr>
            <w:r>
              <w:rPr>
                <w:rFonts w:ascii="Arial" w:cs="Arial" w:eastAsia="Arial" w:hAnsi="Arial"/>
                <w:sz w:val="16"/>
                <w:szCs w:val="16"/>
                <w:color w:val="auto"/>
              </w:rPr>
              <w:t>4:59 a.m. (British Summer Time) on April 30, 2026</w:t>
            </w:r>
          </w:p>
        </w:tc>
        <w:tc>
          <w:tcPr>
            <w:tcW w:w="0" w:type="dxa"/>
            <w:vAlign w:val="bottom"/>
          </w:tcPr>
          <w:p>
            <w:pPr>
              <w:spacing w:after="0"/>
              <w:rPr>
                <w:sz w:val="1"/>
                <w:szCs w:val="1"/>
                <w:color w:val="auto"/>
              </w:rPr>
            </w:pPr>
          </w:p>
        </w:tc>
      </w:tr>
      <w:tr>
        <w:trPr>
          <w:trHeight w:val="161"/>
        </w:trPr>
        <w:tc>
          <w:tcPr>
            <w:tcW w:w="1520" w:type="dxa"/>
            <w:vAlign w:val="bottom"/>
            <w:vMerge w:val="continue"/>
          </w:tcPr>
          <w:p>
            <w:pPr>
              <w:spacing w:after="0"/>
              <w:rPr>
                <w:sz w:val="14"/>
                <w:szCs w:val="14"/>
                <w:color w:val="auto"/>
              </w:rPr>
            </w:pPr>
          </w:p>
        </w:tc>
        <w:tc>
          <w:tcPr>
            <w:tcW w:w="5220" w:type="dxa"/>
            <w:vAlign w:val="bottom"/>
            <w:tcBorders>
              <w:right w:val="single" w:sz="8" w:color="CED6E3"/>
            </w:tcBorders>
          </w:tcPr>
          <w:p>
            <w:pPr>
              <w:spacing w:after="0"/>
              <w:rPr>
                <w:sz w:val="14"/>
                <w:szCs w:val="14"/>
                <w:color w:val="auto"/>
              </w:rPr>
            </w:pPr>
          </w:p>
        </w:tc>
        <w:tc>
          <w:tcPr>
            <w:tcW w:w="140" w:type="dxa"/>
            <w:vAlign w:val="bottom"/>
            <w:shd w:val="clear" w:color="auto" w:fill="ECEFF4"/>
          </w:tcPr>
          <w:p>
            <w:pPr>
              <w:spacing w:after="0"/>
              <w:rPr>
                <w:sz w:val="14"/>
                <w:szCs w:val="14"/>
                <w:color w:val="auto"/>
              </w:rPr>
            </w:pPr>
          </w:p>
        </w:tc>
        <w:tc>
          <w:tcPr>
            <w:tcW w:w="120" w:type="dxa"/>
            <w:vAlign w:val="bottom"/>
            <w:vMerge w:val="continue"/>
            <w:shd w:val="clear" w:color="auto" w:fill="ECEFF4"/>
          </w:tcPr>
          <w:p>
            <w:pPr>
              <w:spacing w:after="0"/>
              <w:rPr>
                <w:sz w:val="14"/>
                <w:szCs w:val="14"/>
                <w:color w:val="auto"/>
              </w:rPr>
            </w:pPr>
          </w:p>
        </w:tc>
        <w:tc>
          <w:tcPr>
            <w:tcW w:w="4260" w:type="dxa"/>
            <w:vAlign w:val="bottom"/>
            <w:tcBorders>
              <w:right w:val="single" w:sz="8" w:color="CED6E3"/>
            </w:tcBorders>
            <w:vMerge w:val="continue"/>
            <w:shd w:val="clear" w:color="auto" w:fill="ECEFF4"/>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1520" w:type="dxa"/>
            <w:vAlign w:val="bottom"/>
            <w:tcBorders>
              <w:bottom w:val="single" w:sz="8" w:color="0C3471"/>
            </w:tcBorders>
          </w:tcPr>
          <w:p>
            <w:pPr>
              <w:spacing w:after="0"/>
              <w:rPr>
                <w:sz w:val="16"/>
                <w:szCs w:val="16"/>
                <w:color w:val="auto"/>
              </w:rPr>
            </w:pPr>
          </w:p>
        </w:tc>
        <w:tc>
          <w:tcPr>
            <w:tcW w:w="5220" w:type="dxa"/>
            <w:vAlign w:val="bottom"/>
            <w:tcBorders>
              <w:bottom w:val="single" w:sz="8" w:color="0C3471"/>
              <w:right w:val="single" w:sz="8" w:color="CED6E3"/>
            </w:tcBorders>
          </w:tcPr>
          <w:p>
            <w:pPr>
              <w:spacing w:after="0"/>
              <w:rPr>
                <w:sz w:val="16"/>
                <w:szCs w:val="16"/>
                <w:color w:val="auto"/>
              </w:rPr>
            </w:pPr>
          </w:p>
        </w:tc>
        <w:tc>
          <w:tcPr>
            <w:tcW w:w="140" w:type="dxa"/>
            <w:vAlign w:val="bottom"/>
            <w:tcBorders>
              <w:bottom w:val="single" w:sz="8" w:color="ECEFF4"/>
            </w:tcBorders>
            <w:shd w:val="clear" w:color="auto" w:fill="ECEFF4"/>
          </w:tcPr>
          <w:p>
            <w:pPr>
              <w:spacing w:after="0"/>
              <w:rPr>
                <w:sz w:val="16"/>
                <w:szCs w:val="16"/>
                <w:color w:val="auto"/>
              </w:rPr>
            </w:pPr>
          </w:p>
        </w:tc>
        <w:tc>
          <w:tcPr>
            <w:tcW w:w="120" w:type="dxa"/>
            <w:vAlign w:val="bottom"/>
            <w:tcBorders>
              <w:bottom w:val="single" w:sz="8" w:color="ECEFF4"/>
            </w:tcBorders>
            <w:shd w:val="clear" w:color="auto" w:fill="ECEFF4"/>
          </w:tcPr>
          <w:p>
            <w:pPr>
              <w:spacing w:after="0"/>
              <w:rPr>
                <w:sz w:val="16"/>
                <w:szCs w:val="16"/>
                <w:color w:val="auto"/>
              </w:rPr>
            </w:pPr>
          </w:p>
        </w:tc>
        <w:tc>
          <w:tcPr>
            <w:tcW w:w="4260" w:type="dxa"/>
            <w:vAlign w:val="bottom"/>
            <w:tcBorders>
              <w:bottom w:val="single" w:sz="8" w:color="ECEFF4"/>
              <w:right w:val="single" w:sz="8" w:color="CED6E3"/>
            </w:tcBorders>
            <w:shd w:val="clear" w:color="auto" w:fill="ECEFF4"/>
          </w:tcPr>
          <w:p>
            <w:pPr>
              <w:ind w:left="100"/>
              <w:spacing w:after="0"/>
              <w:rPr>
                <w:sz w:val="20"/>
                <w:szCs w:val="20"/>
                <w:color w:val="auto"/>
              </w:rPr>
            </w:pPr>
            <w:r>
              <w:rPr>
                <w:rFonts w:ascii="Arial" w:cs="Arial" w:eastAsia="Arial" w:hAnsi="Arial"/>
                <w:sz w:val="16"/>
                <w:szCs w:val="16"/>
                <w:color w:val="auto"/>
              </w:rPr>
              <w:t>(11:59 p.m. Eastern Daylight Time on April 29, 2026)</w:t>
            </w:r>
          </w:p>
        </w:tc>
        <w:tc>
          <w:tcPr>
            <w:tcW w:w="0" w:type="dxa"/>
            <w:vAlign w:val="bottom"/>
          </w:tcPr>
          <w:p>
            <w:pPr>
              <w:spacing w:after="0"/>
              <w:rPr>
                <w:sz w:val="1"/>
                <w:szCs w:val="1"/>
                <w:color w:val="auto"/>
              </w:rPr>
            </w:pPr>
          </w:p>
        </w:tc>
      </w:tr>
      <w:tr>
        <w:trPr>
          <w:trHeight w:val="207"/>
        </w:trPr>
        <w:tc>
          <w:tcPr>
            <w:tcW w:w="1520" w:type="dxa"/>
            <w:vAlign w:val="bottom"/>
          </w:tcPr>
          <w:p>
            <w:pPr>
              <w:spacing w:after="0"/>
              <w:rPr>
                <w:sz w:val="18"/>
                <w:szCs w:val="18"/>
                <w:color w:val="auto"/>
              </w:rPr>
            </w:pPr>
          </w:p>
        </w:tc>
        <w:tc>
          <w:tcPr>
            <w:tcW w:w="5220" w:type="dxa"/>
            <w:vAlign w:val="bottom"/>
            <w:tcBorders>
              <w:right w:val="single" w:sz="8" w:color="CED6E3"/>
            </w:tcBorders>
          </w:tcPr>
          <w:p>
            <w:pPr>
              <w:spacing w:after="0"/>
              <w:rPr>
                <w:sz w:val="18"/>
                <w:szCs w:val="18"/>
                <w:color w:val="auto"/>
              </w:rPr>
            </w:pPr>
          </w:p>
        </w:tc>
        <w:tc>
          <w:tcPr>
            <w:tcW w:w="140" w:type="dxa"/>
            <w:vAlign w:val="bottom"/>
            <w:shd w:val="clear" w:color="auto" w:fill="ECEFF4"/>
          </w:tcPr>
          <w:p>
            <w:pPr>
              <w:spacing w:after="0"/>
              <w:rPr>
                <w:sz w:val="18"/>
                <w:szCs w:val="18"/>
                <w:color w:val="auto"/>
              </w:rPr>
            </w:pPr>
          </w:p>
        </w:tc>
        <w:tc>
          <w:tcPr>
            <w:tcW w:w="120" w:type="dxa"/>
            <w:vAlign w:val="bottom"/>
            <w:shd w:val="clear" w:color="auto" w:fill="ECEFF4"/>
          </w:tcPr>
          <w:p>
            <w:pPr>
              <w:spacing w:after="0"/>
              <w:rPr>
                <w:sz w:val="18"/>
                <w:szCs w:val="18"/>
                <w:color w:val="auto"/>
              </w:rPr>
            </w:pPr>
          </w:p>
        </w:tc>
        <w:tc>
          <w:tcPr>
            <w:tcW w:w="4260" w:type="dxa"/>
            <w:vAlign w:val="bottom"/>
            <w:tcBorders>
              <w:right w:val="single" w:sz="8" w:color="CED6E3"/>
            </w:tcBorders>
            <w:shd w:val="clear" w:color="auto" w:fill="ECEFF4"/>
          </w:tcPr>
          <w:p>
            <w:pPr>
              <w:ind w:left="100"/>
              <w:spacing w:after="0"/>
              <w:rPr>
                <w:sz w:val="20"/>
                <w:szCs w:val="20"/>
                <w:color w:val="auto"/>
              </w:rPr>
            </w:pPr>
            <w:r>
              <w:rPr>
                <w:rFonts w:ascii="Arial" w:cs="Arial" w:eastAsia="Arial" w:hAnsi="Arial"/>
                <w:sz w:val="16"/>
                <w:szCs w:val="16"/>
                <w:color w:val="auto"/>
              </w:rPr>
              <w:t>for shares held in the Company’s retirement plans or</w:t>
            </w:r>
          </w:p>
        </w:tc>
        <w:tc>
          <w:tcPr>
            <w:tcW w:w="0" w:type="dxa"/>
            <w:vAlign w:val="bottom"/>
          </w:tcPr>
          <w:p>
            <w:pPr>
              <w:spacing w:after="0"/>
              <w:rPr>
                <w:sz w:val="1"/>
                <w:szCs w:val="1"/>
                <w:color w:val="auto"/>
              </w:rPr>
            </w:pPr>
          </w:p>
        </w:tc>
      </w:tr>
      <w:tr>
        <w:trPr>
          <w:trHeight w:val="216"/>
        </w:trPr>
        <w:tc>
          <w:tcPr>
            <w:tcW w:w="1520" w:type="dxa"/>
            <w:vAlign w:val="bottom"/>
          </w:tcPr>
          <w:p>
            <w:pPr>
              <w:spacing w:after="0"/>
              <w:rPr>
                <w:sz w:val="18"/>
                <w:szCs w:val="18"/>
                <w:color w:val="auto"/>
              </w:rPr>
            </w:pPr>
          </w:p>
        </w:tc>
        <w:tc>
          <w:tcPr>
            <w:tcW w:w="5220" w:type="dxa"/>
            <w:vAlign w:val="bottom"/>
            <w:tcBorders>
              <w:right w:val="single" w:sz="8" w:color="CED6E3"/>
            </w:tcBorders>
            <w:vMerge w:val="restart"/>
          </w:tcPr>
          <w:p>
            <w:pPr>
              <w:ind w:left="240"/>
              <w:spacing w:after="0"/>
              <w:rPr>
                <w:sz w:val="20"/>
                <w:szCs w:val="20"/>
                <w:color w:val="auto"/>
              </w:rPr>
            </w:pPr>
            <w:r>
              <w:rPr>
                <w:rFonts w:ascii="Arial" w:cs="Arial" w:eastAsia="Arial" w:hAnsi="Arial"/>
                <w:sz w:val="16"/>
                <w:szCs w:val="16"/>
                <w:color w:val="auto"/>
              </w:rPr>
              <w:t>You can vote by telephone by calling the number on the proxy card</w:t>
            </w:r>
          </w:p>
        </w:tc>
        <w:tc>
          <w:tcPr>
            <w:tcW w:w="140" w:type="dxa"/>
            <w:vAlign w:val="bottom"/>
            <w:shd w:val="clear" w:color="auto" w:fill="ECEFF4"/>
          </w:tcPr>
          <w:p>
            <w:pPr>
              <w:spacing w:after="0"/>
              <w:rPr>
                <w:sz w:val="18"/>
                <w:szCs w:val="18"/>
                <w:color w:val="auto"/>
              </w:rPr>
            </w:pPr>
          </w:p>
        </w:tc>
        <w:tc>
          <w:tcPr>
            <w:tcW w:w="120" w:type="dxa"/>
            <w:vAlign w:val="bottom"/>
            <w:shd w:val="clear" w:color="auto" w:fill="ECEFF4"/>
          </w:tcPr>
          <w:p>
            <w:pPr>
              <w:spacing w:after="0"/>
              <w:rPr>
                <w:sz w:val="18"/>
                <w:szCs w:val="18"/>
                <w:color w:val="auto"/>
              </w:rPr>
            </w:pPr>
          </w:p>
        </w:tc>
        <w:tc>
          <w:tcPr>
            <w:tcW w:w="4260" w:type="dxa"/>
            <w:vAlign w:val="bottom"/>
            <w:tcBorders>
              <w:right w:val="single" w:sz="8" w:color="CED6E3"/>
            </w:tcBorders>
            <w:shd w:val="clear" w:color="auto" w:fill="ECEFF4"/>
          </w:tcPr>
          <w:p>
            <w:pPr>
              <w:ind w:left="100"/>
              <w:spacing w:after="0"/>
              <w:rPr>
                <w:sz w:val="20"/>
                <w:szCs w:val="20"/>
                <w:color w:val="auto"/>
              </w:rPr>
            </w:pPr>
            <w:r>
              <w:rPr>
                <w:rFonts w:ascii="Arial" w:cs="Arial" w:eastAsia="Arial" w:hAnsi="Arial"/>
                <w:sz w:val="16"/>
                <w:szCs w:val="16"/>
                <w:color w:val="auto"/>
              </w:rPr>
              <w:t>employee stock purchase plan; or</w:t>
            </w:r>
          </w:p>
        </w:tc>
        <w:tc>
          <w:tcPr>
            <w:tcW w:w="0" w:type="dxa"/>
            <w:vAlign w:val="bottom"/>
          </w:tcPr>
          <w:p>
            <w:pPr>
              <w:spacing w:after="0"/>
              <w:rPr>
                <w:sz w:val="1"/>
                <w:szCs w:val="1"/>
                <w:color w:val="auto"/>
              </w:rPr>
            </w:pPr>
          </w:p>
        </w:tc>
      </w:tr>
      <w:tr>
        <w:trPr>
          <w:trHeight w:val="175"/>
        </w:trPr>
        <w:tc>
          <w:tcPr>
            <w:tcW w:w="1520" w:type="dxa"/>
            <w:vAlign w:val="bottom"/>
          </w:tcPr>
          <w:p>
            <w:pPr>
              <w:spacing w:after="0"/>
              <w:rPr>
                <w:sz w:val="15"/>
                <w:szCs w:val="15"/>
                <w:color w:val="auto"/>
              </w:rPr>
            </w:pPr>
          </w:p>
        </w:tc>
        <w:tc>
          <w:tcPr>
            <w:tcW w:w="5220" w:type="dxa"/>
            <w:vAlign w:val="bottom"/>
            <w:tcBorders>
              <w:right w:val="single" w:sz="8" w:color="CED6E3"/>
            </w:tcBorders>
            <w:vMerge w:val="continue"/>
          </w:tcPr>
          <w:p>
            <w:pPr>
              <w:spacing w:after="0"/>
              <w:rPr>
                <w:sz w:val="15"/>
                <w:szCs w:val="15"/>
                <w:color w:val="auto"/>
              </w:rPr>
            </w:pPr>
          </w:p>
        </w:tc>
        <w:tc>
          <w:tcPr>
            <w:tcW w:w="140" w:type="dxa"/>
            <w:vAlign w:val="bottom"/>
            <w:shd w:val="clear" w:color="auto" w:fill="ECEFF4"/>
          </w:tcPr>
          <w:p>
            <w:pPr>
              <w:spacing w:after="0"/>
              <w:rPr>
                <w:sz w:val="15"/>
                <w:szCs w:val="15"/>
                <w:color w:val="auto"/>
              </w:rPr>
            </w:pPr>
          </w:p>
        </w:tc>
        <w:tc>
          <w:tcPr>
            <w:tcW w:w="120" w:type="dxa"/>
            <w:vAlign w:val="bottom"/>
            <w:vMerge w:val="restart"/>
            <w:shd w:val="clear" w:color="auto" w:fill="ECEFF4"/>
          </w:tcPr>
          <w:p>
            <w:pPr>
              <w:ind w:left="20"/>
              <w:spacing w:after="0"/>
              <w:rPr>
                <w:sz w:val="20"/>
                <w:szCs w:val="20"/>
                <w:color w:val="auto"/>
              </w:rPr>
            </w:pPr>
            <w:r>
              <w:rPr>
                <w:rFonts w:ascii="Arial" w:cs="Arial" w:eastAsia="Arial" w:hAnsi="Arial"/>
                <w:sz w:val="13"/>
                <w:szCs w:val="13"/>
                <w:color w:val="64A70B"/>
              </w:rPr>
              <w:t>u</w:t>
            </w:r>
          </w:p>
        </w:tc>
        <w:tc>
          <w:tcPr>
            <w:tcW w:w="4260" w:type="dxa"/>
            <w:vAlign w:val="bottom"/>
            <w:tcBorders>
              <w:right w:val="single" w:sz="8" w:color="CED6E3"/>
            </w:tcBorders>
            <w:vMerge w:val="restart"/>
            <w:shd w:val="clear" w:color="auto" w:fill="ECEFF4"/>
          </w:tcPr>
          <w:p>
            <w:pPr>
              <w:ind w:left="40"/>
              <w:spacing w:after="0"/>
              <w:rPr>
                <w:sz w:val="20"/>
                <w:szCs w:val="20"/>
                <w:color w:val="auto"/>
              </w:rPr>
            </w:pPr>
            <w:r>
              <w:rPr>
                <w:rFonts w:ascii="Arial" w:cs="Arial" w:eastAsia="Arial" w:hAnsi="Arial"/>
                <w:sz w:val="16"/>
                <w:szCs w:val="16"/>
                <w:color w:val="auto"/>
              </w:rPr>
              <w:t>4:59 a.m. (British Summer Time) on May 4, 2026</w:t>
            </w:r>
          </w:p>
        </w:tc>
        <w:tc>
          <w:tcPr>
            <w:tcW w:w="0" w:type="dxa"/>
            <w:vAlign w:val="bottom"/>
          </w:tcPr>
          <w:p>
            <w:pPr>
              <w:spacing w:after="0"/>
              <w:rPr>
                <w:sz w:val="1"/>
                <w:szCs w:val="1"/>
                <w:color w:val="auto"/>
              </w:rPr>
            </w:pPr>
          </w:p>
        </w:tc>
      </w:tr>
      <w:tr>
        <w:trPr>
          <w:trHeight w:val="96"/>
        </w:trPr>
        <w:tc>
          <w:tcPr>
            <w:tcW w:w="1520" w:type="dxa"/>
            <w:vAlign w:val="bottom"/>
          </w:tcPr>
          <w:p>
            <w:pPr>
              <w:spacing w:after="0"/>
              <w:rPr>
                <w:sz w:val="8"/>
                <w:szCs w:val="8"/>
                <w:color w:val="auto"/>
              </w:rPr>
            </w:pPr>
          </w:p>
        </w:tc>
        <w:tc>
          <w:tcPr>
            <w:tcW w:w="5220" w:type="dxa"/>
            <w:vAlign w:val="bottom"/>
            <w:tcBorders>
              <w:right w:val="single" w:sz="8" w:color="CED6E3"/>
            </w:tcBorders>
            <w:vMerge w:val="restart"/>
          </w:tcPr>
          <w:p>
            <w:pPr>
              <w:ind w:left="240"/>
              <w:spacing w:after="0"/>
              <w:rPr>
                <w:sz w:val="20"/>
                <w:szCs w:val="20"/>
                <w:color w:val="auto"/>
              </w:rPr>
            </w:pPr>
            <w:r>
              <w:rPr>
                <w:rFonts w:ascii="Arial" w:cs="Arial" w:eastAsia="Arial" w:hAnsi="Arial"/>
                <w:sz w:val="16"/>
                <w:szCs w:val="16"/>
                <w:color w:val="auto"/>
              </w:rPr>
              <w:t>or voting instruction form.</w:t>
            </w:r>
          </w:p>
        </w:tc>
        <w:tc>
          <w:tcPr>
            <w:tcW w:w="140" w:type="dxa"/>
            <w:vAlign w:val="bottom"/>
            <w:shd w:val="clear" w:color="auto" w:fill="ECEFF4"/>
          </w:tcPr>
          <w:p>
            <w:pPr>
              <w:spacing w:after="0"/>
              <w:rPr>
                <w:sz w:val="8"/>
                <w:szCs w:val="8"/>
                <w:color w:val="auto"/>
              </w:rPr>
            </w:pPr>
          </w:p>
        </w:tc>
        <w:tc>
          <w:tcPr>
            <w:tcW w:w="120" w:type="dxa"/>
            <w:vAlign w:val="bottom"/>
            <w:vMerge w:val="continue"/>
            <w:shd w:val="clear" w:color="auto" w:fill="ECEFF4"/>
          </w:tcPr>
          <w:p>
            <w:pPr>
              <w:spacing w:after="0"/>
              <w:rPr>
                <w:sz w:val="8"/>
                <w:szCs w:val="8"/>
                <w:color w:val="auto"/>
              </w:rPr>
            </w:pPr>
          </w:p>
        </w:tc>
        <w:tc>
          <w:tcPr>
            <w:tcW w:w="4260" w:type="dxa"/>
            <w:vAlign w:val="bottom"/>
            <w:tcBorders>
              <w:right w:val="single" w:sz="8" w:color="CED6E3"/>
            </w:tcBorders>
            <w:vMerge w:val="continue"/>
            <w:shd w:val="clear" w:color="auto" w:fill="ECEFF4"/>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1520" w:type="dxa"/>
            <w:vAlign w:val="bottom"/>
            <w:vMerge w:val="restart"/>
          </w:tcPr>
          <w:p>
            <w:pPr>
              <w:jc w:val="center"/>
              <w:spacing w:after="0"/>
              <w:rPr>
                <w:sz w:val="20"/>
                <w:szCs w:val="20"/>
                <w:color w:val="auto"/>
              </w:rPr>
            </w:pPr>
            <w:r>
              <w:rPr>
                <w:rFonts w:ascii="Arial" w:cs="Arial" w:eastAsia="Arial" w:hAnsi="Arial"/>
                <w:sz w:val="16"/>
                <w:szCs w:val="16"/>
                <w:b w:val="1"/>
                <w:bCs w:val="1"/>
                <w:color w:val="0C3471"/>
              </w:rPr>
              <w:t>By Telephone</w:t>
            </w:r>
          </w:p>
        </w:tc>
        <w:tc>
          <w:tcPr>
            <w:tcW w:w="5220" w:type="dxa"/>
            <w:vAlign w:val="bottom"/>
            <w:tcBorders>
              <w:right w:val="single" w:sz="8" w:color="CED6E3"/>
            </w:tcBorders>
            <w:vMerge w:val="continue"/>
          </w:tcPr>
          <w:p>
            <w:pPr>
              <w:spacing w:after="0"/>
              <w:rPr>
                <w:sz w:val="10"/>
                <w:szCs w:val="10"/>
                <w:color w:val="auto"/>
              </w:rPr>
            </w:pPr>
          </w:p>
        </w:tc>
        <w:tc>
          <w:tcPr>
            <w:tcW w:w="140" w:type="dxa"/>
            <w:vAlign w:val="bottom"/>
            <w:shd w:val="clear" w:color="auto" w:fill="ECEFF4"/>
          </w:tcPr>
          <w:p>
            <w:pPr>
              <w:spacing w:after="0"/>
              <w:rPr>
                <w:sz w:val="10"/>
                <w:szCs w:val="10"/>
                <w:color w:val="auto"/>
              </w:rPr>
            </w:pPr>
          </w:p>
        </w:tc>
        <w:tc>
          <w:tcPr>
            <w:tcW w:w="120" w:type="dxa"/>
            <w:vAlign w:val="bottom"/>
            <w:shd w:val="clear" w:color="auto" w:fill="ECEFF4"/>
          </w:tcPr>
          <w:p>
            <w:pPr>
              <w:spacing w:after="0"/>
              <w:rPr>
                <w:sz w:val="10"/>
                <w:szCs w:val="10"/>
                <w:color w:val="auto"/>
              </w:rPr>
            </w:pPr>
          </w:p>
        </w:tc>
        <w:tc>
          <w:tcPr>
            <w:tcW w:w="4260" w:type="dxa"/>
            <w:vAlign w:val="bottom"/>
            <w:tcBorders>
              <w:right w:val="single" w:sz="8" w:color="CED6E3"/>
            </w:tcBorders>
            <w:vMerge w:val="restart"/>
            <w:shd w:val="clear" w:color="auto" w:fill="ECEFF4"/>
          </w:tcPr>
          <w:p>
            <w:pPr>
              <w:ind w:left="100"/>
              <w:spacing w:after="0"/>
              <w:rPr>
                <w:sz w:val="20"/>
                <w:szCs w:val="20"/>
                <w:color w:val="auto"/>
              </w:rPr>
            </w:pPr>
            <w:r>
              <w:rPr>
                <w:rFonts w:ascii="Arial" w:cs="Arial" w:eastAsia="Arial" w:hAnsi="Arial"/>
                <w:sz w:val="16"/>
                <w:szCs w:val="16"/>
                <w:color w:val="auto"/>
              </w:rPr>
              <w:t>(11:59 p.m. Eastern Daylight Time on May 3, 2026) for</w:t>
            </w:r>
          </w:p>
        </w:tc>
        <w:tc>
          <w:tcPr>
            <w:tcW w:w="0" w:type="dxa"/>
            <w:vAlign w:val="bottom"/>
          </w:tcPr>
          <w:p>
            <w:pPr>
              <w:spacing w:after="0"/>
              <w:rPr>
                <w:sz w:val="1"/>
                <w:szCs w:val="1"/>
                <w:color w:val="auto"/>
              </w:rPr>
            </w:pPr>
          </w:p>
        </w:tc>
      </w:tr>
      <w:tr>
        <w:trPr>
          <w:trHeight w:val="95"/>
        </w:trPr>
        <w:tc>
          <w:tcPr>
            <w:tcW w:w="1520" w:type="dxa"/>
            <w:vAlign w:val="bottom"/>
            <w:vMerge w:val="continue"/>
          </w:tcPr>
          <w:p>
            <w:pPr>
              <w:spacing w:after="0"/>
              <w:rPr>
                <w:sz w:val="8"/>
                <w:szCs w:val="8"/>
                <w:color w:val="auto"/>
              </w:rPr>
            </w:pPr>
          </w:p>
        </w:tc>
        <w:tc>
          <w:tcPr>
            <w:tcW w:w="5220" w:type="dxa"/>
            <w:vAlign w:val="bottom"/>
            <w:tcBorders>
              <w:right w:val="single" w:sz="8" w:color="CED6E3"/>
            </w:tcBorders>
          </w:tcPr>
          <w:p>
            <w:pPr>
              <w:spacing w:after="0"/>
              <w:rPr>
                <w:sz w:val="8"/>
                <w:szCs w:val="8"/>
                <w:color w:val="auto"/>
              </w:rPr>
            </w:pPr>
          </w:p>
        </w:tc>
        <w:tc>
          <w:tcPr>
            <w:tcW w:w="140" w:type="dxa"/>
            <w:vAlign w:val="bottom"/>
            <w:shd w:val="clear" w:color="auto" w:fill="ECEFF4"/>
          </w:tcPr>
          <w:p>
            <w:pPr>
              <w:spacing w:after="0"/>
              <w:rPr>
                <w:sz w:val="8"/>
                <w:szCs w:val="8"/>
                <w:color w:val="auto"/>
              </w:rPr>
            </w:pPr>
          </w:p>
        </w:tc>
        <w:tc>
          <w:tcPr>
            <w:tcW w:w="120" w:type="dxa"/>
            <w:vAlign w:val="bottom"/>
            <w:shd w:val="clear" w:color="auto" w:fill="ECEFF4"/>
          </w:tcPr>
          <w:p>
            <w:pPr>
              <w:spacing w:after="0"/>
              <w:rPr>
                <w:sz w:val="8"/>
                <w:szCs w:val="8"/>
                <w:color w:val="auto"/>
              </w:rPr>
            </w:pPr>
          </w:p>
        </w:tc>
        <w:tc>
          <w:tcPr>
            <w:tcW w:w="4260" w:type="dxa"/>
            <w:vAlign w:val="bottom"/>
            <w:tcBorders>
              <w:right w:val="single" w:sz="8" w:color="CED6E3"/>
            </w:tcBorders>
            <w:vMerge w:val="continue"/>
            <w:shd w:val="clear" w:color="auto" w:fill="ECEFF4"/>
          </w:tcPr>
          <w:p>
            <w:pPr>
              <w:spacing w:after="0"/>
              <w:rPr>
                <w:sz w:val="8"/>
                <w:szCs w:val="8"/>
                <w:color w:val="auto"/>
              </w:rPr>
            </w:pPr>
          </w:p>
        </w:tc>
        <w:tc>
          <w:tcPr>
            <w:tcW w:w="0" w:type="dxa"/>
            <w:vAlign w:val="bottom"/>
          </w:tcPr>
          <w:p>
            <w:pPr>
              <w:spacing w:after="0"/>
              <w:rPr>
                <w:sz w:val="1"/>
                <w:szCs w:val="1"/>
                <w:color w:val="auto"/>
              </w:rPr>
            </w:pPr>
          </w:p>
        </w:tc>
      </w:tr>
      <w:tr>
        <w:trPr>
          <w:trHeight w:val="116"/>
        </w:trPr>
        <w:tc>
          <w:tcPr>
            <w:tcW w:w="1520" w:type="dxa"/>
            <w:vAlign w:val="bottom"/>
            <w:vMerge w:val="continue"/>
          </w:tcPr>
          <w:p>
            <w:pPr>
              <w:spacing w:after="0"/>
              <w:rPr>
                <w:sz w:val="10"/>
                <w:szCs w:val="10"/>
                <w:color w:val="auto"/>
              </w:rPr>
            </w:pPr>
          </w:p>
        </w:tc>
        <w:tc>
          <w:tcPr>
            <w:tcW w:w="5220" w:type="dxa"/>
            <w:vAlign w:val="bottom"/>
            <w:tcBorders>
              <w:right w:val="single" w:sz="8" w:color="CED6E3"/>
            </w:tcBorders>
          </w:tcPr>
          <w:p>
            <w:pPr>
              <w:spacing w:after="0"/>
              <w:rPr>
                <w:sz w:val="10"/>
                <w:szCs w:val="10"/>
                <w:color w:val="auto"/>
              </w:rPr>
            </w:pPr>
          </w:p>
        </w:tc>
        <w:tc>
          <w:tcPr>
            <w:tcW w:w="140" w:type="dxa"/>
            <w:vAlign w:val="bottom"/>
            <w:shd w:val="clear" w:color="auto" w:fill="ECEFF4"/>
          </w:tcPr>
          <w:p>
            <w:pPr>
              <w:spacing w:after="0"/>
              <w:rPr>
                <w:sz w:val="10"/>
                <w:szCs w:val="10"/>
                <w:color w:val="auto"/>
              </w:rPr>
            </w:pPr>
          </w:p>
        </w:tc>
        <w:tc>
          <w:tcPr>
            <w:tcW w:w="120" w:type="dxa"/>
            <w:vAlign w:val="bottom"/>
            <w:shd w:val="clear" w:color="auto" w:fill="ECEFF4"/>
          </w:tcPr>
          <w:p>
            <w:pPr>
              <w:spacing w:after="0"/>
              <w:rPr>
                <w:sz w:val="10"/>
                <w:szCs w:val="10"/>
                <w:color w:val="auto"/>
              </w:rPr>
            </w:pPr>
          </w:p>
        </w:tc>
        <w:tc>
          <w:tcPr>
            <w:tcW w:w="4260" w:type="dxa"/>
            <w:vAlign w:val="bottom"/>
            <w:tcBorders>
              <w:right w:val="single" w:sz="8" w:color="CED6E3"/>
            </w:tcBorders>
            <w:vMerge w:val="restart"/>
            <w:shd w:val="clear" w:color="auto" w:fill="ECEFF4"/>
          </w:tcPr>
          <w:p>
            <w:pPr>
              <w:ind w:left="100"/>
              <w:spacing w:after="0"/>
              <w:rPr>
                <w:sz w:val="20"/>
                <w:szCs w:val="20"/>
                <w:color w:val="auto"/>
              </w:rPr>
            </w:pPr>
            <w:r>
              <w:rPr>
                <w:rFonts w:ascii="Arial" w:cs="Arial" w:eastAsia="Arial" w:hAnsi="Arial"/>
                <w:sz w:val="16"/>
                <w:szCs w:val="16"/>
                <w:color w:val="auto"/>
              </w:rPr>
              <w:t>shares held of record or through a broker or bank.</w:t>
            </w:r>
          </w:p>
        </w:tc>
        <w:tc>
          <w:tcPr>
            <w:tcW w:w="0" w:type="dxa"/>
            <w:vAlign w:val="bottom"/>
          </w:tcPr>
          <w:p>
            <w:pPr>
              <w:spacing w:after="0"/>
              <w:rPr>
                <w:sz w:val="1"/>
                <w:szCs w:val="1"/>
                <w:color w:val="auto"/>
              </w:rPr>
            </w:pPr>
          </w:p>
        </w:tc>
      </w:tr>
      <w:tr>
        <w:trPr>
          <w:trHeight w:val="100"/>
        </w:trPr>
        <w:tc>
          <w:tcPr>
            <w:tcW w:w="1520" w:type="dxa"/>
            <w:vAlign w:val="bottom"/>
          </w:tcPr>
          <w:p>
            <w:pPr>
              <w:spacing w:after="0"/>
              <w:rPr>
                <w:sz w:val="8"/>
                <w:szCs w:val="8"/>
                <w:color w:val="auto"/>
              </w:rPr>
            </w:pPr>
          </w:p>
        </w:tc>
        <w:tc>
          <w:tcPr>
            <w:tcW w:w="5220" w:type="dxa"/>
            <w:vAlign w:val="bottom"/>
            <w:tcBorders>
              <w:right w:val="single" w:sz="8" w:color="CED6E3"/>
            </w:tcBorders>
          </w:tcPr>
          <w:p>
            <w:pPr>
              <w:spacing w:after="0"/>
              <w:rPr>
                <w:sz w:val="8"/>
                <w:szCs w:val="8"/>
                <w:color w:val="auto"/>
              </w:rPr>
            </w:pPr>
          </w:p>
        </w:tc>
        <w:tc>
          <w:tcPr>
            <w:tcW w:w="140" w:type="dxa"/>
            <w:vAlign w:val="bottom"/>
            <w:shd w:val="clear" w:color="auto" w:fill="ECEFF4"/>
          </w:tcPr>
          <w:p>
            <w:pPr>
              <w:spacing w:after="0"/>
              <w:rPr>
                <w:sz w:val="8"/>
                <w:szCs w:val="8"/>
                <w:color w:val="auto"/>
              </w:rPr>
            </w:pPr>
          </w:p>
        </w:tc>
        <w:tc>
          <w:tcPr>
            <w:tcW w:w="120" w:type="dxa"/>
            <w:vAlign w:val="bottom"/>
            <w:shd w:val="clear" w:color="auto" w:fill="ECEFF4"/>
          </w:tcPr>
          <w:p>
            <w:pPr>
              <w:spacing w:after="0"/>
              <w:rPr>
                <w:sz w:val="8"/>
                <w:szCs w:val="8"/>
                <w:color w:val="auto"/>
              </w:rPr>
            </w:pPr>
          </w:p>
        </w:tc>
        <w:tc>
          <w:tcPr>
            <w:tcW w:w="4260" w:type="dxa"/>
            <w:vAlign w:val="bottom"/>
            <w:tcBorders>
              <w:right w:val="single" w:sz="8" w:color="CED6E3"/>
            </w:tcBorders>
            <w:vMerge w:val="continue"/>
            <w:shd w:val="clear" w:color="auto" w:fill="ECEFF4"/>
          </w:tcPr>
          <w:p>
            <w:pPr>
              <w:spacing w:after="0"/>
              <w:rPr>
                <w:sz w:val="8"/>
                <w:szCs w:val="8"/>
                <w:color w:val="auto"/>
              </w:rPr>
            </w:pPr>
          </w:p>
        </w:tc>
        <w:tc>
          <w:tcPr>
            <w:tcW w:w="0" w:type="dxa"/>
            <w:vAlign w:val="bottom"/>
          </w:tcPr>
          <w:p>
            <w:pPr>
              <w:spacing w:after="0"/>
              <w:rPr>
                <w:sz w:val="1"/>
                <w:szCs w:val="1"/>
                <w:color w:val="auto"/>
              </w:rPr>
            </w:pPr>
          </w:p>
        </w:tc>
      </w:tr>
      <w:tr>
        <w:trPr>
          <w:trHeight w:val="110"/>
        </w:trPr>
        <w:tc>
          <w:tcPr>
            <w:tcW w:w="1520" w:type="dxa"/>
            <w:vAlign w:val="bottom"/>
            <w:tcBorders>
              <w:bottom w:val="single" w:sz="8" w:color="0C3471"/>
            </w:tcBorders>
          </w:tcPr>
          <w:p>
            <w:pPr>
              <w:spacing w:after="0"/>
              <w:rPr>
                <w:sz w:val="9"/>
                <w:szCs w:val="9"/>
                <w:color w:val="auto"/>
              </w:rPr>
            </w:pPr>
          </w:p>
        </w:tc>
        <w:tc>
          <w:tcPr>
            <w:tcW w:w="5220" w:type="dxa"/>
            <w:vAlign w:val="bottom"/>
            <w:tcBorders>
              <w:bottom w:val="single" w:sz="8" w:color="0C3471"/>
              <w:right w:val="single" w:sz="8" w:color="CED6E3"/>
            </w:tcBorders>
          </w:tcPr>
          <w:p>
            <w:pPr>
              <w:spacing w:after="0"/>
              <w:rPr>
                <w:sz w:val="9"/>
                <w:szCs w:val="9"/>
                <w:color w:val="auto"/>
              </w:rPr>
            </w:pPr>
          </w:p>
        </w:tc>
        <w:tc>
          <w:tcPr>
            <w:tcW w:w="140" w:type="dxa"/>
            <w:vAlign w:val="bottom"/>
            <w:tcBorders>
              <w:bottom w:val="single" w:sz="8" w:color="ECEFF4"/>
            </w:tcBorders>
            <w:shd w:val="clear" w:color="auto" w:fill="ECEFF4"/>
          </w:tcPr>
          <w:p>
            <w:pPr>
              <w:spacing w:after="0"/>
              <w:rPr>
                <w:sz w:val="9"/>
                <w:szCs w:val="9"/>
                <w:color w:val="auto"/>
              </w:rPr>
            </w:pPr>
          </w:p>
        </w:tc>
        <w:tc>
          <w:tcPr>
            <w:tcW w:w="120" w:type="dxa"/>
            <w:vAlign w:val="bottom"/>
            <w:tcBorders>
              <w:bottom w:val="single" w:sz="8" w:color="ECEFF4"/>
            </w:tcBorders>
            <w:shd w:val="clear" w:color="auto" w:fill="ECEFF4"/>
          </w:tcPr>
          <w:p>
            <w:pPr>
              <w:spacing w:after="0"/>
              <w:rPr>
                <w:sz w:val="9"/>
                <w:szCs w:val="9"/>
                <w:color w:val="auto"/>
              </w:rPr>
            </w:pPr>
          </w:p>
        </w:tc>
        <w:tc>
          <w:tcPr>
            <w:tcW w:w="4260" w:type="dxa"/>
            <w:vAlign w:val="bottom"/>
            <w:tcBorders>
              <w:bottom w:val="single" w:sz="8" w:color="ECEFF4"/>
              <w:right w:val="single" w:sz="8" w:color="CED6E3"/>
            </w:tcBorders>
            <w:shd w:val="clear" w:color="auto" w:fill="ECEFF4"/>
          </w:tcPr>
          <w:p>
            <w:pPr>
              <w:spacing w:after="0"/>
              <w:rPr>
                <w:sz w:val="9"/>
                <w:szCs w:val="9"/>
                <w:color w:val="auto"/>
              </w:rPr>
            </w:pPr>
          </w:p>
        </w:tc>
        <w:tc>
          <w:tcPr>
            <w:tcW w:w="0" w:type="dxa"/>
            <w:vAlign w:val="bottom"/>
          </w:tcPr>
          <w:p>
            <w:pPr>
              <w:spacing w:after="0"/>
              <w:rPr>
                <w:sz w:val="1"/>
                <w:szCs w:val="1"/>
                <w:color w:val="auto"/>
              </w:rPr>
            </w:pPr>
          </w:p>
        </w:tc>
      </w:tr>
      <w:tr>
        <w:trPr>
          <w:trHeight w:val="464"/>
        </w:trPr>
        <w:tc>
          <w:tcPr>
            <w:tcW w:w="1520" w:type="dxa"/>
            <w:vAlign w:val="bottom"/>
          </w:tcPr>
          <w:p>
            <w:pPr>
              <w:spacing w:after="0"/>
              <w:rPr>
                <w:sz w:val="24"/>
                <w:szCs w:val="24"/>
                <w:color w:val="auto"/>
              </w:rPr>
            </w:pPr>
          </w:p>
        </w:tc>
        <w:tc>
          <w:tcPr>
            <w:tcW w:w="5220" w:type="dxa"/>
            <w:vAlign w:val="bottom"/>
            <w:tcBorders>
              <w:right w:val="single" w:sz="8" w:color="CED6E3"/>
            </w:tcBorders>
          </w:tcPr>
          <w:p>
            <w:pPr>
              <w:ind w:left="240"/>
              <w:spacing w:after="0"/>
              <w:rPr>
                <w:sz w:val="20"/>
                <w:szCs w:val="20"/>
                <w:color w:val="auto"/>
              </w:rPr>
            </w:pPr>
            <w:r>
              <w:rPr>
                <w:rFonts w:ascii="Arial" w:cs="Arial" w:eastAsia="Arial" w:hAnsi="Arial"/>
                <w:sz w:val="16"/>
                <w:szCs w:val="16"/>
                <w:color w:val="auto"/>
              </w:rPr>
              <w:t>You can vote by mail by marking, signing and dating your proxy</w:t>
            </w:r>
          </w:p>
        </w:tc>
        <w:tc>
          <w:tcPr>
            <w:tcW w:w="140" w:type="dxa"/>
            <w:vAlign w:val="bottom"/>
            <w:shd w:val="clear" w:color="auto" w:fill="ECEFF4"/>
          </w:tcPr>
          <w:p>
            <w:pPr>
              <w:spacing w:after="0"/>
              <w:rPr>
                <w:sz w:val="24"/>
                <w:szCs w:val="24"/>
                <w:color w:val="auto"/>
              </w:rPr>
            </w:pPr>
          </w:p>
        </w:tc>
        <w:tc>
          <w:tcPr>
            <w:tcW w:w="120" w:type="dxa"/>
            <w:vAlign w:val="bottom"/>
            <w:shd w:val="clear" w:color="auto" w:fill="ECEFF4"/>
          </w:tcPr>
          <w:p>
            <w:pPr>
              <w:spacing w:after="0"/>
              <w:rPr>
                <w:sz w:val="24"/>
                <w:szCs w:val="24"/>
                <w:color w:val="auto"/>
              </w:rPr>
            </w:pPr>
          </w:p>
        </w:tc>
        <w:tc>
          <w:tcPr>
            <w:tcW w:w="4260" w:type="dxa"/>
            <w:vAlign w:val="bottom"/>
            <w:tcBorders>
              <w:right w:val="single" w:sz="8" w:color="CED6E3"/>
            </w:tcBorders>
            <w:shd w:val="clear" w:color="auto" w:fill="ECEFF4"/>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1520" w:type="dxa"/>
            <w:vAlign w:val="bottom"/>
          </w:tcPr>
          <w:p>
            <w:pPr>
              <w:spacing w:after="0"/>
              <w:rPr>
                <w:sz w:val="17"/>
                <w:szCs w:val="17"/>
                <w:color w:val="auto"/>
              </w:rPr>
            </w:pPr>
          </w:p>
        </w:tc>
        <w:tc>
          <w:tcPr>
            <w:tcW w:w="5220" w:type="dxa"/>
            <w:vAlign w:val="bottom"/>
            <w:tcBorders>
              <w:right w:val="single" w:sz="8" w:color="CED6E3"/>
            </w:tcBorders>
          </w:tcPr>
          <w:p>
            <w:pPr>
              <w:ind w:left="240"/>
              <w:spacing w:after="0"/>
              <w:rPr>
                <w:sz w:val="20"/>
                <w:szCs w:val="20"/>
                <w:color w:val="auto"/>
              </w:rPr>
            </w:pPr>
            <w:r>
              <w:rPr>
                <w:rFonts w:ascii="Arial" w:cs="Arial" w:eastAsia="Arial" w:hAnsi="Arial"/>
                <w:sz w:val="16"/>
                <w:szCs w:val="16"/>
                <w:color w:val="auto"/>
              </w:rPr>
              <w:t>card or voting instruction form and returning it in the postage-paid</w:t>
            </w:r>
          </w:p>
        </w:tc>
        <w:tc>
          <w:tcPr>
            <w:tcW w:w="140" w:type="dxa"/>
            <w:vAlign w:val="bottom"/>
            <w:shd w:val="clear" w:color="auto" w:fill="ECEFF4"/>
          </w:tcPr>
          <w:p>
            <w:pPr>
              <w:spacing w:after="0"/>
              <w:rPr>
                <w:sz w:val="17"/>
                <w:szCs w:val="17"/>
                <w:color w:val="auto"/>
              </w:rPr>
            </w:pPr>
          </w:p>
        </w:tc>
        <w:tc>
          <w:tcPr>
            <w:tcW w:w="120" w:type="dxa"/>
            <w:vAlign w:val="bottom"/>
            <w:shd w:val="clear" w:color="auto" w:fill="ECEFF4"/>
          </w:tcPr>
          <w:p>
            <w:pPr>
              <w:spacing w:after="0"/>
              <w:rPr>
                <w:sz w:val="17"/>
                <w:szCs w:val="17"/>
                <w:color w:val="auto"/>
              </w:rPr>
            </w:pPr>
          </w:p>
        </w:tc>
        <w:tc>
          <w:tcPr>
            <w:tcW w:w="4260" w:type="dxa"/>
            <w:vAlign w:val="bottom"/>
            <w:tcBorders>
              <w:right w:val="single" w:sz="8" w:color="CED6E3"/>
            </w:tcBorders>
            <w:shd w:val="clear" w:color="auto" w:fill="ECEFF4"/>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1520" w:type="dxa"/>
            <w:vAlign w:val="bottom"/>
          </w:tcPr>
          <w:p>
            <w:pPr>
              <w:spacing w:after="0"/>
              <w:rPr>
                <w:sz w:val="18"/>
                <w:szCs w:val="18"/>
                <w:color w:val="auto"/>
              </w:rPr>
            </w:pPr>
          </w:p>
        </w:tc>
        <w:tc>
          <w:tcPr>
            <w:tcW w:w="5220" w:type="dxa"/>
            <w:vAlign w:val="bottom"/>
            <w:tcBorders>
              <w:right w:val="single" w:sz="8" w:color="CED6E3"/>
            </w:tcBorders>
          </w:tcPr>
          <w:p>
            <w:pPr>
              <w:ind w:left="240"/>
              <w:spacing w:after="0"/>
              <w:rPr>
                <w:sz w:val="20"/>
                <w:szCs w:val="20"/>
                <w:color w:val="auto"/>
              </w:rPr>
            </w:pPr>
            <w:r>
              <w:rPr>
                <w:rFonts w:ascii="Arial" w:cs="Arial" w:eastAsia="Arial" w:hAnsi="Arial"/>
                <w:sz w:val="16"/>
                <w:szCs w:val="16"/>
                <w:color w:val="auto"/>
              </w:rPr>
              <w:t>envelope, the results of which will be forwarded to the Company’s</w:t>
            </w:r>
          </w:p>
        </w:tc>
        <w:tc>
          <w:tcPr>
            <w:tcW w:w="140" w:type="dxa"/>
            <w:vAlign w:val="bottom"/>
            <w:shd w:val="clear" w:color="auto" w:fill="ECEFF4"/>
          </w:tcPr>
          <w:p>
            <w:pPr>
              <w:spacing w:after="0"/>
              <w:rPr>
                <w:sz w:val="18"/>
                <w:szCs w:val="18"/>
                <w:color w:val="auto"/>
              </w:rPr>
            </w:pPr>
          </w:p>
        </w:tc>
        <w:tc>
          <w:tcPr>
            <w:tcW w:w="120" w:type="dxa"/>
            <w:vAlign w:val="bottom"/>
            <w:shd w:val="clear" w:color="auto" w:fill="ECEFF4"/>
          </w:tcPr>
          <w:p>
            <w:pPr>
              <w:spacing w:after="0"/>
              <w:rPr>
                <w:sz w:val="18"/>
                <w:szCs w:val="18"/>
                <w:color w:val="auto"/>
              </w:rPr>
            </w:pPr>
          </w:p>
        </w:tc>
        <w:tc>
          <w:tcPr>
            <w:tcW w:w="4260" w:type="dxa"/>
            <w:vAlign w:val="bottom"/>
            <w:tcBorders>
              <w:right w:val="single" w:sz="8" w:color="CED6E3"/>
            </w:tcBorders>
            <w:shd w:val="clear" w:color="auto" w:fill="ECEFF4"/>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520" w:type="dxa"/>
            <w:vAlign w:val="bottom"/>
          </w:tcPr>
          <w:p>
            <w:pPr>
              <w:jc w:val="center"/>
              <w:spacing w:after="0"/>
              <w:rPr>
                <w:sz w:val="20"/>
                <w:szCs w:val="20"/>
                <w:color w:val="auto"/>
              </w:rPr>
            </w:pPr>
            <w:r>
              <w:rPr>
                <w:rFonts w:ascii="Arial" w:cs="Arial" w:eastAsia="Arial" w:hAnsi="Arial"/>
                <w:sz w:val="16"/>
                <w:szCs w:val="16"/>
                <w:b w:val="1"/>
                <w:bCs w:val="1"/>
                <w:color w:val="0C3471"/>
              </w:rPr>
              <w:t>By Mail</w:t>
            </w:r>
          </w:p>
        </w:tc>
        <w:tc>
          <w:tcPr>
            <w:tcW w:w="5220" w:type="dxa"/>
            <w:vAlign w:val="bottom"/>
            <w:tcBorders>
              <w:right w:val="single" w:sz="8" w:color="CED6E3"/>
            </w:tcBorders>
          </w:tcPr>
          <w:p>
            <w:pPr>
              <w:ind w:left="240"/>
              <w:spacing w:after="0"/>
              <w:rPr>
                <w:sz w:val="20"/>
                <w:szCs w:val="20"/>
                <w:color w:val="auto"/>
              </w:rPr>
            </w:pPr>
            <w:r>
              <w:rPr>
                <w:rFonts w:ascii="Arial" w:cs="Arial" w:eastAsia="Arial" w:hAnsi="Arial"/>
                <w:sz w:val="16"/>
                <w:szCs w:val="16"/>
                <w:color w:val="auto"/>
              </w:rPr>
              <w:t>registered address electronically.</w:t>
            </w:r>
          </w:p>
        </w:tc>
        <w:tc>
          <w:tcPr>
            <w:tcW w:w="140" w:type="dxa"/>
            <w:vAlign w:val="bottom"/>
            <w:shd w:val="clear" w:color="auto" w:fill="ECEFF4"/>
          </w:tcPr>
          <w:p>
            <w:pPr>
              <w:spacing w:after="0"/>
              <w:rPr>
                <w:sz w:val="19"/>
                <w:szCs w:val="19"/>
                <w:color w:val="auto"/>
              </w:rPr>
            </w:pPr>
          </w:p>
        </w:tc>
        <w:tc>
          <w:tcPr>
            <w:tcW w:w="120" w:type="dxa"/>
            <w:vAlign w:val="bottom"/>
            <w:shd w:val="clear" w:color="auto" w:fill="ECEFF4"/>
          </w:tcPr>
          <w:p>
            <w:pPr>
              <w:spacing w:after="0"/>
              <w:rPr>
                <w:sz w:val="19"/>
                <w:szCs w:val="19"/>
                <w:color w:val="auto"/>
              </w:rPr>
            </w:pPr>
          </w:p>
        </w:tc>
        <w:tc>
          <w:tcPr>
            <w:tcW w:w="4260" w:type="dxa"/>
            <w:vAlign w:val="bottom"/>
            <w:tcBorders>
              <w:right w:val="single" w:sz="8" w:color="CED6E3"/>
            </w:tcBorders>
            <w:shd w:val="clear" w:color="auto" w:fill="ECEFF4"/>
          </w:tcPr>
          <w:p>
            <w:pPr>
              <w:spacing w:after="0"/>
              <w:rPr>
                <w:sz w:val="19"/>
                <w:szCs w:val="19"/>
                <w:color w:val="auto"/>
              </w:rPr>
            </w:pPr>
          </w:p>
        </w:tc>
        <w:tc>
          <w:tcPr>
            <w:tcW w:w="0" w:type="dxa"/>
            <w:vAlign w:val="bottom"/>
          </w:tcPr>
          <w:p>
            <w:pPr>
              <w:spacing w:after="0"/>
              <w:rPr>
                <w:sz w:val="1"/>
                <w:szCs w:val="1"/>
                <w:color w:val="auto"/>
              </w:rPr>
            </w:pPr>
          </w:p>
        </w:tc>
      </w:tr>
      <w:tr>
        <w:trPr>
          <w:trHeight w:val="291"/>
        </w:trPr>
        <w:tc>
          <w:tcPr>
            <w:tcW w:w="1520" w:type="dxa"/>
            <w:vAlign w:val="bottom"/>
            <w:tcBorders>
              <w:bottom w:val="single" w:sz="8" w:color="0C3471"/>
            </w:tcBorders>
          </w:tcPr>
          <w:p>
            <w:pPr>
              <w:spacing w:after="0"/>
              <w:rPr>
                <w:sz w:val="24"/>
                <w:szCs w:val="24"/>
                <w:color w:val="auto"/>
              </w:rPr>
            </w:pPr>
          </w:p>
        </w:tc>
        <w:tc>
          <w:tcPr>
            <w:tcW w:w="5220" w:type="dxa"/>
            <w:vAlign w:val="bottom"/>
            <w:tcBorders>
              <w:bottom w:val="single" w:sz="8" w:color="0C3471"/>
              <w:right w:val="single" w:sz="8" w:color="CED6E3"/>
            </w:tcBorders>
          </w:tcPr>
          <w:p>
            <w:pPr>
              <w:spacing w:after="0"/>
              <w:rPr>
                <w:sz w:val="24"/>
                <w:szCs w:val="24"/>
                <w:color w:val="auto"/>
              </w:rPr>
            </w:pPr>
          </w:p>
        </w:tc>
        <w:tc>
          <w:tcPr>
            <w:tcW w:w="140" w:type="dxa"/>
            <w:vAlign w:val="bottom"/>
            <w:tcBorders>
              <w:bottom w:val="single" w:sz="8" w:color="0C3471"/>
            </w:tcBorders>
            <w:shd w:val="clear" w:color="auto" w:fill="ECEFF4"/>
          </w:tcPr>
          <w:p>
            <w:pPr>
              <w:spacing w:after="0"/>
              <w:rPr>
                <w:sz w:val="24"/>
                <w:szCs w:val="24"/>
                <w:color w:val="auto"/>
              </w:rPr>
            </w:pPr>
          </w:p>
        </w:tc>
        <w:tc>
          <w:tcPr>
            <w:tcW w:w="120" w:type="dxa"/>
            <w:vAlign w:val="bottom"/>
            <w:tcBorders>
              <w:bottom w:val="single" w:sz="8" w:color="0C3471"/>
            </w:tcBorders>
            <w:shd w:val="clear" w:color="auto" w:fill="ECEFF4"/>
          </w:tcPr>
          <w:p>
            <w:pPr>
              <w:spacing w:after="0"/>
              <w:rPr>
                <w:sz w:val="24"/>
                <w:szCs w:val="24"/>
                <w:color w:val="auto"/>
              </w:rPr>
            </w:pPr>
          </w:p>
        </w:tc>
        <w:tc>
          <w:tcPr>
            <w:tcW w:w="4260" w:type="dxa"/>
            <w:vAlign w:val="bottom"/>
            <w:tcBorders>
              <w:bottom w:val="single" w:sz="8" w:color="0C3471"/>
              <w:right w:val="single" w:sz="8" w:color="CED6E3"/>
            </w:tcBorders>
            <w:shd w:val="clear" w:color="auto" w:fill="ECEFF4"/>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-2374265</wp:posOffset>
            </wp:positionV>
            <wp:extent cx="402590" cy="3600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02590" cy="360045"/>
                    </a:xfrm>
                    <a:prstGeom prst="rect">
                      <a:avLst/>
                    </a:prstGeom>
                    <a:noFill/>
                  </pic:spPr>
                </pic:pic>
              </a:graphicData>
            </a:graphic>
          </wp:anchor>
        </w:drawing>
        <w:drawing>
          <wp:anchor simplePos="0" relativeHeight="251657728" behindDoc="1" locked="0" layoutInCell="0" allowOverlap="1">
            <wp:simplePos x="0" y="0"/>
            <wp:positionH relativeFrom="column">
              <wp:posOffset>304800</wp:posOffset>
            </wp:positionH>
            <wp:positionV relativeFrom="paragraph">
              <wp:posOffset>-1542415</wp:posOffset>
            </wp:positionV>
            <wp:extent cx="325755" cy="3257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25755" cy="325755"/>
                    </a:xfrm>
                    <a:prstGeom prst="rect">
                      <a:avLst/>
                    </a:prstGeom>
                    <a:noFill/>
                  </pic:spPr>
                </pic:pic>
              </a:graphicData>
            </a:graphic>
          </wp:anchor>
        </w:drawing>
        <w:drawing>
          <wp:anchor simplePos="0" relativeHeight="251657728" behindDoc="1" locked="0" layoutInCell="0" allowOverlap="1">
            <wp:simplePos x="0" y="0"/>
            <wp:positionH relativeFrom="column">
              <wp:posOffset>262255</wp:posOffset>
            </wp:positionH>
            <wp:positionV relativeFrom="paragraph">
              <wp:posOffset>-693420</wp:posOffset>
            </wp:positionV>
            <wp:extent cx="402590" cy="3257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02590" cy="325755"/>
                    </a:xfrm>
                    <a:prstGeom prst="rect">
                      <a:avLst/>
                    </a:prstGeom>
                    <a:noFill/>
                  </pic:spPr>
                </pic:pic>
              </a:graphicData>
            </a:graphic>
          </wp:anchor>
        </w:drawing>
        <w:drawing>
          <wp:anchor simplePos="0" relativeHeight="251657728" behindDoc="1" locked="0" layoutInCell="0" allowOverlap="1">
            <wp:simplePos x="0" y="0"/>
            <wp:positionH relativeFrom="column">
              <wp:posOffset>339090</wp:posOffset>
            </wp:positionH>
            <wp:positionV relativeFrom="paragraph">
              <wp:posOffset>154305</wp:posOffset>
            </wp:positionV>
            <wp:extent cx="248920" cy="3340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48920" cy="334010"/>
                    </a:xfrm>
                    <a:prstGeom prst="rect">
                      <a:avLst/>
                    </a:prstGeom>
                    <a:noFill/>
                  </pic:spPr>
                </pic:pic>
              </a:graphicData>
            </a:graphic>
          </wp:anchor>
        </w:drawing>
      </w:r>
    </w:p>
    <w:p>
      <w:pPr>
        <w:spacing w:after="0" w:line="371" w:lineRule="exact"/>
        <w:rPr>
          <w:sz w:val="20"/>
          <w:szCs w:val="20"/>
          <w:color w:val="auto"/>
        </w:rPr>
      </w:pPr>
    </w:p>
    <w:p>
      <w:pPr>
        <w:ind w:left="1760" w:right="320"/>
        <w:spacing w:after="0" w:line="281" w:lineRule="auto"/>
        <w:rPr>
          <w:sz w:val="20"/>
          <w:szCs w:val="20"/>
          <w:color w:val="auto"/>
        </w:rPr>
      </w:pPr>
      <w:r>
        <w:rPr>
          <w:rFonts w:ascii="Arial" w:cs="Arial" w:eastAsia="Arial" w:hAnsi="Arial"/>
          <w:sz w:val="16"/>
          <w:szCs w:val="16"/>
          <w:color w:val="auto"/>
        </w:rPr>
        <w:t>If you plan to attend the Annual General Meeting and wish to vote your ordinary shares in person, we will give you a ballot at the meeting.</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0C3471"/>
        </w:rPr>
        <w:t>Vote in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158115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0C3471"/>
        </w:rPr>
        <w:t xml:space="preserve">Important Notice Regarding the Availability of Proxy Materials for the Shareholder Meeting to Be Held on May 5, 2026. </w:t>
      </w:r>
      <w:r>
        <w:rPr>
          <w:rFonts w:ascii="Arial" w:cs="Arial" w:eastAsia="Arial" w:hAnsi="Arial"/>
          <w:sz w:val="16"/>
          <w:szCs w:val="16"/>
          <w:color w:val="000000"/>
        </w:rPr>
        <w:t>The Annual Report,</w:t>
      </w:r>
    </w:p>
    <w:p>
      <w:pPr>
        <w:spacing w:after="0" w:line="35" w:lineRule="exact"/>
        <w:rPr>
          <w:sz w:val="20"/>
          <w:szCs w:val="20"/>
          <w:color w:val="auto"/>
        </w:rPr>
      </w:pPr>
    </w:p>
    <w:p>
      <w:pPr>
        <w:jc w:val="center"/>
        <w:spacing w:after="0" w:line="300" w:lineRule="auto"/>
        <w:rPr>
          <w:sz w:val="20"/>
          <w:szCs w:val="20"/>
          <w:color w:val="auto"/>
        </w:rPr>
      </w:pPr>
      <w:r>
        <w:rPr>
          <w:rFonts w:ascii="Arial" w:cs="Arial" w:eastAsia="Arial" w:hAnsi="Arial"/>
          <w:sz w:val="16"/>
          <w:szCs w:val="16"/>
          <w:color w:val="auto"/>
        </w:rPr>
        <w:t xml:space="preserve">Notice of Annual General Meeting, Proxy Statement, and Irish Statutory Financial Statements and Related Reports are available by Internet at </w:t>
      </w:r>
      <w:r>
        <w:rPr>
          <w:rFonts w:ascii="Arial" w:cs="Arial" w:eastAsia="Arial" w:hAnsi="Arial"/>
          <w:sz w:val="16"/>
          <w:szCs w:val="16"/>
          <w:color w:val="0C3471"/>
        </w:rPr>
        <w:t>www.proxyvote.com</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1" w:lineRule="exact"/>
        <w:rPr>
          <w:sz w:val="20"/>
          <w:szCs w:val="20"/>
          <w:color w:val="auto"/>
        </w:rPr>
      </w:pPr>
    </w:p>
    <w:p>
      <w:pPr>
        <w:jc w:val="center"/>
        <w:ind w:right="20"/>
        <w:spacing w:after="0" w:line="292" w:lineRule="auto"/>
        <w:rPr>
          <w:sz w:val="20"/>
          <w:szCs w:val="20"/>
          <w:color w:val="auto"/>
        </w:rPr>
      </w:pPr>
      <w:r>
        <w:rPr>
          <w:rFonts w:ascii="Arial" w:cs="Arial" w:eastAsia="Arial" w:hAnsi="Arial"/>
          <w:sz w:val="16"/>
          <w:szCs w:val="16"/>
          <w:color w:val="auto"/>
        </w:rPr>
        <w:t>Shareholders in Ireland may participate in the Annual General Meeting by audio link at Arthur Cox LLP, Ten Earlsfort Terrace, Dublin 2, D02 T380, Ireland, at 8:00 a.m. local time (Irish Standard Time) on May 5, 2026. See “Questions and Answers about the Annual General Meeting and Voting” for further information on participating in the Annual General Meeting in Ireland.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97155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10840" w:type="dxa"/>
            <w:vAlign w:val="bottom"/>
          </w:tcPr>
          <w:p>
            <w:pPr>
              <w:ind w:left="8260"/>
              <w:spacing w:after="0"/>
              <w:rPr>
                <w:sz w:val="20"/>
                <w:szCs w:val="20"/>
                <w:color w:val="auto"/>
              </w:rPr>
            </w:pPr>
            <w:r>
              <w:rPr>
                <w:rFonts w:ascii="Arial" w:cs="Arial" w:eastAsia="Arial" w:hAnsi="Arial"/>
                <w:sz w:val="16"/>
                <w:szCs w:val="16"/>
                <w:b w:val="1"/>
                <w:bCs w:val="1"/>
                <w:color w:val="auto"/>
              </w:rPr>
              <w:t xml:space="preserve">2026 Proxy Statement </w:t>
            </w:r>
            <w:r>
              <w:rPr>
                <w:rFonts w:ascii="Arial" w:cs="Arial" w:eastAsia="Arial" w:hAnsi="Arial"/>
                <w:sz w:val="16"/>
                <w:szCs w:val="16"/>
                <w:b w:val="1"/>
                <w:bCs w:val="1"/>
                <w:color w:val="0C3471"/>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Pentair</w:t>
            </w:r>
          </w:p>
        </w:tc>
        <w:tc>
          <w:tcPr>
            <w:tcW w:w="400" w:type="dxa"/>
            <w:vAlign w:val="bottom"/>
          </w:tcPr>
          <w:p>
            <w:pPr>
              <w:jc w:val="right"/>
              <w:spacing w:after="0"/>
              <w:rPr>
                <w:sz w:val="20"/>
                <w:szCs w:val="20"/>
                <w:color w:val="auto"/>
              </w:rPr>
            </w:pPr>
            <w:r>
              <w:rPr>
                <w:rFonts w:ascii="Arial" w:cs="Arial" w:eastAsia="Arial" w:hAnsi="Arial"/>
                <w:sz w:val="16"/>
                <w:szCs w:val="16"/>
                <w:b w:val="1"/>
                <w:bCs w:val="1"/>
                <w:color w:val="auto"/>
              </w:rPr>
              <w:t>3</w:t>
            </w:r>
          </w:p>
        </w:tc>
      </w:tr>
      <w:tr>
        <w:trPr>
          <w:trHeight w:val="325"/>
        </w:trPr>
        <w:tc>
          <w:tcPr>
            <w:tcW w:w="108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314" w:right="319" w:bottom="1440" w:gutter="0" w:footer="0" w:header="0"/>
        </w:sectPr>
      </w:pPr>
    </w:p>
    <w:bookmarkStart w:id="5" w:name="page6"/>
    <w:bookmarkEnd w:id="5"/>
    <w:p>
      <w:pPr>
        <w:spacing w:after="0" w:line="7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216535</wp:posOffset>
            </wp:positionH>
            <wp:positionV relativeFrom="page">
              <wp:posOffset>877570</wp:posOffset>
            </wp:positionV>
            <wp:extent cx="445770" cy="4718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clrChange>
                        <a:clrFrom>
                          <a:srgbClr val="FFFFFF"/>
                        </a:clrFrom>
                        <a:clrTo>
                          <a:srgbClr val="FFFFFF">
                            <a:alpha val="0"/>
                          </a:srgbClr>
                        </a:clrTo>
                      </a:clrChange>
                      <a:extLst>
                        <a:ext uri="{28A0092B-C50C-407E-A947-70E740481C1C}"/>
                      </a:extLst>
                    </a:blip>
                    <a:srcRect/>
                    <a:stretch>
                      <a:fillRect/>
                    </a:stretch>
                  </pic:blipFill>
                  <pic:spPr bwMode="auto">
                    <a:xfrm>
                      <a:off x="0" y="0"/>
                      <a:ext cx="445770" cy="471805"/>
                    </a:xfrm>
                    <a:prstGeom prst="rect">
                      <a:avLst/>
                    </a:prstGeom>
                    <a:noFill/>
                  </pic:spPr>
                </pic:pic>
              </a:graphicData>
            </a:graphic>
          </wp:anchor>
        </w:drawing>
      </w:r>
    </w:p>
    <w:p>
      <w:pPr>
        <w:ind w:left="1080"/>
        <w:spacing w:after="0"/>
        <w:rPr>
          <w:sz w:val="20"/>
          <w:szCs w:val="20"/>
          <w:color w:val="auto"/>
        </w:rPr>
      </w:pPr>
      <w:r>
        <w:rPr>
          <w:rFonts w:ascii="Arial" w:cs="Arial" w:eastAsia="Arial" w:hAnsi="Arial"/>
          <w:sz w:val="42"/>
          <w:szCs w:val="42"/>
          <w:b w:val="1"/>
          <w:bCs w:val="1"/>
          <w:color w:val="0C347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474980</wp:posOffset>
            </wp:positionV>
            <wp:extent cx="705485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054850" cy="8255"/>
                    </a:xfrm>
                    <a:prstGeom prst="rect">
                      <a:avLst/>
                    </a:prstGeom>
                    <a:noFill/>
                  </pic:spPr>
                </pic:pic>
              </a:graphicData>
            </a:graphic>
          </wp:anchor>
        </w:drawing>
      </w:r>
    </w:p>
    <w:p>
      <w:pPr>
        <w:sectPr>
          <w:pgSz w:w="11900" w:h="16838" w:orient="portrait"/>
          <w:cols w:equalWidth="0" w:num="1">
            <w:col w:w="11120"/>
          </w:cols>
          <w:pgMar w:left="320" w:top="1440"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000" w:type="dxa"/>
            <w:vAlign w:val="bottom"/>
            <w:gridSpan w:val="2"/>
          </w:tcPr>
          <w:p>
            <w:pPr>
              <w:ind w:left="20"/>
              <w:spacing w:after="0"/>
              <w:rPr>
                <w:sz w:val="20"/>
                <w:szCs w:val="20"/>
                <w:color w:val="auto"/>
              </w:rPr>
            </w:pPr>
            <w:r>
              <w:rPr>
                <w:rFonts w:ascii="Arial" w:cs="Arial" w:eastAsia="Arial" w:hAnsi="Arial"/>
                <w:sz w:val="13"/>
                <w:szCs w:val="13"/>
                <w:b w:val="1"/>
                <w:bCs w:val="1"/>
                <w:color w:val="0C3471"/>
              </w:rPr>
              <w:t>Letter to Shareholders</w:t>
            </w:r>
          </w:p>
        </w:tc>
        <w:tc>
          <w:tcPr>
            <w:tcW w:w="440" w:type="dxa"/>
            <w:vAlign w:val="bottom"/>
          </w:tcPr>
          <w:p>
            <w:pPr>
              <w:jc w:val="center"/>
              <w:spacing w:after="0"/>
              <w:rPr>
                <w:sz w:val="20"/>
                <w:szCs w:val="20"/>
                <w:color w:val="auto"/>
              </w:rPr>
            </w:pPr>
            <w:r>
              <w:rPr>
                <w:rFonts w:ascii="Arial" w:cs="Arial" w:eastAsia="Arial" w:hAnsi="Arial"/>
                <w:sz w:val="13"/>
                <w:szCs w:val="13"/>
                <w:b w:val="1"/>
                <w:bCs w:val="1"/>
                <w:color w:val="0C3471"/>
                <w:w w:val="82"/>
              </w:rPr>
              <w:t>1</w:t>
            </w:r>
          </w:p>
        </w:tc>
        <w:tc>
          <w:tcPr>
            <w:tcW w:w="0" w:type="dxa"/>
            <w:vAlign w:val="bottom"/>
          </w:tcPr>
          <w:p>
            <w:pPr>
              <w:spacing w:after="0"/>
              <w:rPr>
                <w:sz w:val="1"/>
                <w:szCs w:val="1"/>
                <w:color w:val="auto"/>
              </w:rPr>
            </w:pPr>
          </w:p>
        </w:tc>
      </w:tr>
      <w:tr>
        <w:trPr>
          <w:trHeight w:val="216"/>
        </w:trPr>
        <w:tc>
          <w:tcPr>
            <w:tcW w:w="5000" w:type="dxa"/>
            <w:vAlign w:val="bottom"/>
            <w:gridSpan w:val="2"/>
          </w:tcPr>
          <w:p>
            <w:pPr>
              <w:ind w:left="20"/>
              <w:spacing w:after="0"/>
              <w:rPr>
                <w:sz w:val="20"/>
                <w:szCs w:val="20"/>
                <w:color w:val="auto"/>
              </w:rPr>
            </w:pPr>
            <w:r>
              <w:rPr>
                <w:rFonts w:ascii="Arial" w:cs="Arial" w:eastAsia="Arial" w:hAnsi="Arial"/>
                <w:sz w:val="13"/>
                <w:szCs w:val="13"/>
                <w:b w:val="1"/>
                <w:bCs w:val="1"/>
                <w:color w:val="0C3471"/>
              </w:rPr>
              <w:t>Notice of Annual General Meeting of Shareholders</w:t>
            </w:r>
          </w:p>
        </w:tc>
        <w:tc>
          <w:tcPr>
            <w:tcW w:w="440" w:type="dxa"/>
            <w:vAlign w:val="bottom"/>
          </w:tcPr>
          <w:p>
            <w:pPr>
              <w:jc w:val="center"/>
              <w:spacing w:after="0"/>
              <w:rPr>
                <w:sz w:val="20"/>
                <w:szCs w:val="20"/>
                <w:color w:val="auto"/>
              </w:rPr>
            </w:pPr>
            <w:r>
              <w:rPr>
                <w:rFonts w:ascii="Arial" w:cs="Arial" w:eastAsia="Arial" w:hAnsi="Arial"/>
                <w:sz w:val="13"/>
                <w:szCs w:val="13"/>
                <w:b w:val="1"/>
                <w:bCs w:val="1"/>
                <w:color w:val="0C3471"/>
                <w:w w:val="82"/>
              </w:rPr>
              <w:t>2</w:t>
            </w:r>
          </w:p>
        </w:tc>
        <w:tc>
          <w:tcPr>
            <w:tcW w:w="0" w:type="dxa"/>
            <w:vAlign w:val="bottom"/>
          </w:tcPr>
          <w:p>
            <w:pPr>
              <w:spacing w:after="0"/>
              <w:rPr>
                <w:sz w:val="1"/>
                <w:szCs w:val="1"/>
                <w:color w:val="auto"/>
              </w:rPr>
            </w:pPr>
          </w:p>
        </w:tc>
      </w:tr>
      <w:tr>
        <w:trPr>
          <w:trHeight w:val="216"/>
        </w:trPr>
        <w:tc>
          <w:tcPr>
            <w:tcW w:w="5000" w:type="dxa"/>
            <w:vAlign w:val="bottom"/>
            <w:gridSpan w:val="2"/>
          </w:tcPr>
          <w:p>
            <w:pPr>
              <w:ind w:left="20"/>
              <w:spacing w:after="0"/>
              <w:rPr>
                <w:sz w:val="20"/>
                <w:szCs w:val="20"/>
                <w:color w:val="auto"/>
              </w:rPr>
            </w:pPr>
            <w:r>
              <w:rPr>
                <w:rFonts w:ascii="Arial" w:cs="Arial" w:eastAsia="Arial" w:hAnsi="Arial"/>
                <w:sz w:val="13"/>
                <w:szCs w:val="13"/>
                <w:b w:val="1"/>
                <w:bCs w:val="1"/>
                <w:color w:val="0C3471"/>
              </w:rPr>
              <w:t>Business and Financial Results</w:t>
            </w:r>
          </w:p>
        </w:tc>
        <w:tc>
          <w:tcPr>
            <w:tcW w:w="440" w:type="dxa"/>
            <w:vAlign w:val="bottom"/>
          </w:tcPr>
          <w:p>
            <w:pPr>
              <w:jc w:val="center"/>
              <w:spacing w:after="0"/>
              <w:rPr>
                <w:sz w:val="20"/>
                <w:szCs w:val="20"/>
                <w:color w:val="auto"/>
              </w:rPr>
            </w:pPr>
            <w:r>
              <w:rPr>
                <w:rFonts w:ascii="Arial" w:cs="Arial" w:eastAsia="Arial" w:hAnsi="Arial"/>
                <w:sz w:val="13"/>
                <w:szCs w:val="13"/>
                <w:b w:val="1"/>
                <w:bCs w:val="1"/>
                <w:color w:val="0C3471"/>
                <w:w w:val="82"/>
              </w:rPr>
              <w:t>5</w:t>
            </w:r>
          </w:p>
        </w:tc>
        <w:tc>
          <w:tcPr>
            <w:tcW w:w="0" w:type="dxa"/>
            <w:vAlign w:val="bottom"/>
          </w:tcPr>
          <w:p>
            <w:pPr>
              <w:spacing w:after="0"/>
              <w:rPr>
                <w:sz w:val="1"/>
                <w:szCs w:val="1"/>
                <w:color w:val="auto"/>
              </w:rPr>
            </w:pPr>
          </w:p>
        </w:tc>
      </w:tr>
      <w:tr>
        <w:trPr>
          <w:trHeight w:val="216"/>
        </w:trPr>
        <w:tc>
          <w:tcPr>
            <w:tcW w:w="5000" w:type="dxa"/>
            <w:vAlign w:val="bottom"/>
            <w:gridSpan w:val="2"/>
          </w:tcPr>
          <w:p>
            <w:pPr>
              <w:ind w:left="20"/>
              <w:spacing w:after="0"/>
              <w:rPr>
                <w:sz w:val="20"/>
                <w:szCs w:val="20"/>
                <w:color w:val="auto"/>
              </w:rPr>
            </w:pPr>
            <w:r>
              <w:rPr>
                <w:rFonts w:ascii="Arial" w:cs="Arial" w:eastAsia="Arial" w:hAnsi="Arial"/>
                <w:sz w:val="13"/>
                <w:szCs w:val="13"/>
                <w:b w:val="1"/>
                <w:bCs w:val="1"/>
                <w:color w:val="0C3471"/>
              </w:rPr>
              <w:t>Proxy Statement Summary</w:t>
            </w:r>
          </w:p>
        </w:tc>
        <w:tc>
          <w:tcPr>
            <w:tcW w:w="440" w:type="dxa"/>
            <w:vAlign w:val="bottom"/>
          </w:tcPr>
          <w:p>
            <w:pPr>
              <w:jc w:val="center"/>
              <w:spacing w:after="0"/>
              <w:rPr>
                <w:sz w:val="20"/>
                <w:szCs w:val="20"/>
                <w:color w:val="auto"/>
              </w:rPr>
            </w:pPr>
            <w:r>
              <w:rPr>
                <w:rFonts w:ascii="Arial" w:cs="Arial" w:eastAsia="Arial" w:hAnsi="Arial"/>
                <w:sz w:val="13"/>
                <w:szCs w:val="13"/>
                <w:b w:val="1"/>
                <w:bCs w:val="1"/>
                <w:color w:val="0C3471"/>
                <w:w w:val="82"/>
              </w:rPr>
              <w:t>6</w:t>
            </w:r>
          </w:p>
        </w:tc>
        <w:tc>
          <w:tcPr>
            <w:tcW w:w="0" w:type="dxa"/>
            <w:vAlign w:val="bottom"/>
          </w:tcPr>
          <w:p>
            <w:pPr>
              <w:spacing w:after="0"/>
              <w:rPr>
                <w:sz w:val="1"/>
                <w:szCs w:val="1"/>
                <w:color w:val="auto"/>
              </w:rPr>
            </w:pPr>
          </w:p>
        </w:tc>
      </w:tr>
      <w:tr>
        <w:trPr>
          <w:trHeight w:val="116"/>
        </w:trPr>
        <w:tc>
          <w:tcPr>
            <w:tcW w:w="540" w:type="dxa"/>
            <w:vAlign w:val="bottom"/>
          </w:tcPr>
          <w:p>
            <w:pPr>
              <w:spacing w:after="0"/>
              <w:rPr>
                <w:sz w:val="10"/>
                <w:szCs w:val="10"/>
                <w:color w:val="auto"/>
              </w:rPr>
            </w:pPr>
          </w:p>
        </w:tc>
        <w:tc>
          <w:tcPr>
            <w:tcW w:w="44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8"/>
        </w:trPr>
        <w:tc>
          <w:tcPr>
            <w:tcW w:w="540" w:type="dxa"/>
            <w:vAlign w:val="bottom"/>
            <w:shd w:val="clear" w:color="auto" w:fill="0C3471"/>
          </w:tcPr>
          <w:p>
            <w:pPr>
              <w:spacing w:after="0"/>
              <w:rPr>
                <w:sz w:val="21"/>
                <w:szCs w:val="21"/>
                <w:color w:val="auto"/>
              </w:rPr>
            </w:pPr>
          </w:p>
        </w:tc>
        <w:tc>
          <w:tcPr>
            <w:tcW w:w="4460" w:type="dxa"/>
            <w:vAlign w:val="bottom"/>
            <w:shd w:val="clear" w:color="auto" w:fill="0C3471"/>
          </w:tcPr>
          <w:p>
            <w:pPr>
              <w:ind w:left="20"/>
              <w:spacing w:after="0"/>
              <w:rPr>
                <w:sz w:val="20"/>
                <w:szCs w:val="20"/>
                <w:color w:val="auto"/>
              </w:rPr>
            </w:pPr>
            <w:r>
              <w:rPr>
                <w:rFonts w:ascii="Arial" w:cs="Arial" w:eastAsia="Arial" w:hAnsi="Arial"/>
                <w:sz w:val="13"/>
                <w:szCs w:val="13"/>
                <w:b w:val="1"/>
                <w:bCs w:val="1"/>
                <w:color w:val="FFFFFF"/>
              </w:rPr>
              <w:t>PROPOSAL 1 — Re-Elect Director Nominees</w:t>
            </w:r>
          </w:p>
        </w:tc>
        <w:tc>
          <w:tcPr>
            <w:tcW w:w="440" w:type="dxa"/>
            <w:vAlign w:val="bottom"/>
            <w:shd w:val="clear" w:color="auto" w:fill="0C3471"/>
          </w:tcPr>
          <w:p>
            <w:pPr>
              <w:jc w:val="center"/>
              <w:spacing w:after="0"/>
              <w:rPr>
                <w:sz w:val="20"/>
                <w:szCs w:val="20"/>
                <w:color w:val="auto"/>
              </w:rPr>
            </w:pPr>
            <w:r>
              <w:rPr>
                <w:rFonts w:ascii="Arial" w:cs="Arial" w:eastAsia="Arial" w:hAnsi="Arial"/>
                <w:sz w:val="13"/>
                <w:szCs w:val="13"/>
                <w:b w:val="1"/>
                <w:bCs w:val="1"/>
                <w:color w:val="FFFFFF"/>
                <w:w w:val="82"/>
              </w:rPr>
              <w:t>9</w:t>
            </w:r>
          </w:p>
        </w:tc>
        <w:tc>
          <w:tcPr>
            <w:tcW w:w="0" w:type="dxa"/>
            <w:vAlign w:val="bottom"/>
          </w:tcPr>
          <w:p>
            <w:pPr>
              <w:spacing w:after="0"/>
              <w:rPr>
                <w:sz w:val="1"/>
                <w:szCs w:val="1"/>
                <w:color w:val="auto"/>
              </w:rPr>
            </w:pPr>
          </w:p>
        </w:tc>
      </w:tr>
      <w:tr>
        <w:trPr>
          <w:trHeight w:val="75"/>
        </w:trPr>
        <w:tc>
          <w:tcPr>
            <w:tcW w:w="540" w:type="dxa"/>
            <w:vAlign w:val="bottom"/>
            <w:shd w:val="clear" w:color="auto" w:fill="0C3471"/>
          </w:tcPr>
          <w:p>
            <w:pPr>
              <w:spacing w:after="0"/>
              <w:rPr>
                <w:sz w:val="6"/>
                <w:szCs w:val="6"/>
                <w:color w:val="auto"/>
              </w:rPr>
            </w:pPr>
          </w:p>
        </w:tc>
        <w:tc>
          <w:tcPr>
            <w:tcW w:w="4460" w:type="dxa"/>
            <w:vAlign w:val="bottom"/>
            <w:shd w:val="clear" w:color="auto" w:fill="0C3471"/>
          </w:tcPr>
          <w:p>
            <w:pPr>
              <w:spacing w:after="0"/>
              <w:rPr>
                <w:sz w:val="6"/>
                <w:szCs w:val="6"/>
                <w:color w:val="auto"/>
              </w:rPr>
            </w:pPr>
          </w:p>
        </w:tc>
        <w:tc>
          <w:tcPr>
            <w:tcW w:w="440" w:type="dxa"/>
            <w:vAlign w:val="bottom"/>
            <w:shd w:val="clear" w:color="auto" w:fill="0C3471"/>
          </w:tcPr>
          <w:p>
            <w:pPr>
              <w:spacing w:after="0"/>
              <w:rPr>
                <w:sz w:val="6"/>
                <w:szCs w:val="6"/>
                <w:color w:val="auto"/>
              </w:rPr>
            </w:pPr>
          </w:p>
        </w:tc>
        <w:tc>
          <w:tcPr>
            <w:tcW w:w="0" w:type="dxa"/>
            <w:vAlign w:val="bottom"/>
          </w:tcPr>
          <w:p>
            <w:pPr>
              <w:spacing w:after="0"/>
              <w:rPr>
                <w:sz w:val="1"/>
                <w:szCs w:val="1"/>
                <w:color w:val="auto"/>
              </w:rPr>
            </w:pPr>
          </w:p>
        </w:tc>
      </w:tr>
      <w:tr>
        <w:trPr>
          <w:trHeight w:val="289"/>
        </w:trPr>
        <w:tc>
          <w:tcPr>
            <w:tcW w:w="5000" w:type="dxa"/>
            <w:vAlign w:val="bottom"/>
            <w:gridSpan w:val="2"/>
          </w:tcPr>
          <w:p>
            <w:pPr>
              <w:ind w:left="20"/>
              <w:spacing w:after="0"/>
              <w:rPr>
                <w:sz w:val="20"/>
                <w:szCs w:val="20"/>
                <w:color w:val="auto"/>
              </w:rPr>
            </w:pPr>
            <w:r>
              <w:rPr>
                <w:rFonts w:ascii="Arial" w:cs="Arial" w:eastAsia="Arial" w:hAnsi="Arial"/>
                <w:sz w:val="13"/>
                <w:szCs w:val="13"/>
                <w:b w:val="1"/>
                <w:bCs w:val="1"/>
                <w:color w:val="0C3471"/>
              </w:rPr>
              <w:t>Board of Directors</w:t>
            </w:r>
          </w:p>
        </w:tc>
        <w:tc>
          <w:tcPr>
            <w:tcW w:w="440" w:type="dxa"/>
            <w:vAlign w:val="bottom"/>
          </w:tcPr>
          <w:p>
            <w:pPr>
              <w:jc w:val="center"/>
              <w:spacing w:after="0"/>
              <w:rPr>
                <w:sz w:val="20"/>
                <w:szCs w:val="20"/>
                <w:color w:val="auto"/>
              </w:rPr>
            </w:pPr>
            <w:r>
              <w:rPr>
                <w:rFonts w:ascii="Arial" w:cs="Arial" w:eastAsia="Arial" w:hAnsi="Arial"/>
                <w:sz w:val="13"/>
                <w:szCs w:val="13"/>
                <w:b w:val="1"/>
                <w:bCs w:val="1"/>
                <w:color w:val="0C3471"/>
                <w:w w:val="96"/>
              </w:rPr>
              <w:t>10</w:t>
            </w:r>
          </w:p>
        </w:tc>
        <w:tc>
          <w:tcPr>
            <w:tcW w:w="0" w:type="dxa"/>
            <w:vAlign w:val="bottom"/>
          </w:tcPr>
          <w:p>
            <w:pPr>
              <w:spacing w:after="0"/>
              <w:rPr>
                <w:sz w:val="1"/>
                <w:szCs w:val="1"/>
                <w:color w:val="auto"/>
              </w:rPr>
            </w:pPr>
          </w:p>
        </w:tc>
      </w:tr>
      <w:tr>
        <w:trPr>
          <w:trHeight w:val="210"/>
        </w:trPr>
        <w:tc>
          <w:tcPr>
            <w:tcW w:w="540" w:type="dxa"/>
            <w:vAlign w:val="bottom"/>
          </w:tcPr>
          <w:p>
            <w:pPr>
              <w:spacing w:after="0"/>
              <w:rPr>
                <w:sz w:val="18"/>
                <w:szCs w:val="18"/>
                <w:color w:val="auto"/>
              </w:rPr>
            </w:pPr>
          </w:p>
        </w:tc>
        <w:tc>
          <w:tcPr>
            <w:tcW w:w="4460" w:type="dxa"/>
            <w:vAlign w:val="bottom"/>
          </w:tcPr>
          <w:p>
            <w:pPr>
              <w:ind w:left="20"/>
              <w:spacing w:after="0"/>
              <w:rPr>
                <w:sz w:val="20"/>
                <w:szCs w:val="20"/>
                <w:color w:val="auto"/>
              </w:rPr>
            </w:pPr>
            <w:r>
              <w:rPr>
                <w:rFonts w:ascii="Arial" w:cs="Arial" w:eastAsia="Arial" w:hAnsi="Arial"/>
                <w:sz w:val="13"/>
                <w:szCs w:val="13"/>
                <w:color w:val="auto"/>
              </w:rPr>
              <w:t>2026 Board Nominees</w:t>
            </w:r>
          </w:p>
        </w:tc>
        <w:tc>
          <w:tcPr>
            <w:tcW w:w="440" w:type="dxa"/>
            <w:vAlign w:val="bottom"/>
          </w:tcPr>
          <w:p>
            <w:pPr>
              <w:jc w:val="center"/>
              <w:spacing w:after="0"/>
              <w:rPr>
                <w:sz w:val="20"/>
                <w:szCs w:val="20"/>
                <w:color w:val="auto"/>
              </w:rPr>
            </w:pPr>
            <w:r>
              <w:rPr>
                <w:rFonts w:ascii="Arial" w:cs="Arial" w:eastAsia="Arial" w:hAnsi="Arial"/>
                <w:sz w:val="13"/>
                <w:szCs w:val="13"/>
                <w:color w:val="auto"/>
                <w:w w:val="96"/>
              </w:rPr>
              <w:t>10</w:t>
            </w:r>
          </w:p>
        </w:tc>
        <w:tc>
          <w:tcPr>
            <w:tcW w:w="0" w:type="dxa"/>
            <w:vAlign w:val="bottom"/>
          </w:tcPr>
          <w:p>
            <w:pPr>
              <w:spacing w:after="0"/>
              <w:rPr>
                <w:sz w:val="1"/>
                <w:szCs w:val="1"/>
                <w:color w:val="auto"/>
              </w:rPr>
            </w:pPr>
          </w:p>
        </w:tc>
      </w:tr>
      <w:tr>
        <w:trPr>
          <w:trHeight w:val="317"/>
        </w:trPr>
        <w:tc>
          <w:tcPr>
            <w:tcW w:w="5000" w:type="dxa"/>
            <w:vAlign w:val="bottom"/>
            <w:gridSpan w:val="2"/>
          </w:tcPr>
          <w:p>
            <w:pPr>
              <w:ind w:left="20"/>
              <w:spacing w:after="0"/>
              <w:rPr>
                <w:sz w:val="20"/>
                <w:szCs w:val="20"/>
                <w:color w:val="auto"/>
              </w:rPr>
            </w:pPr>
            <w:r>
              <w:rPr>
                <w:rFonts w:ascii="Arial" w:cs="Arial" w:eastAsia="Arial" w:hAnsi="Arial"/>
                <w:sz w:val="13"/>
                <w:szCs w:val="13"/>
                <w:b w:val="1"/>
                <w:bCs w:val="1"/>
                <w:color w:val="0C3471"/>
              </w:rPr>
              <w:t>Sustainability Overview</w:t>
            </w:r>
          </w:p>
        </w:tc>
        <w:tc>
          <w:tcPr>
            <w:tcW w:w="440" w:type="dxa"/>
            <w:vAlign w:val="bottom"/>
          </w:tcPr>
          <w:p>
            <w:pPr>
              <w:jc w:val="center"/>
              <w:spacing w:after="0"/>
              <w:rPr>
                <w:sz w:val="20"/>
                <w:szCs w:val="20"/>
                <w:color w:val="auto"/>
              </w:rPr>
            </w:pPr>
            <w:r>
              <w:rPr>
                <w:rFonts w:ascii="Arial" w:cs="Arial" w:eastAsia="Arial" w:hAnsi="Arial"/>
                <w:sz w:val="13"/>
                <w:szCs w:val="13"/>
                <w:b w:val="1"/>
                <w:bCs w:val="1"/>
                <w:color w:val="0C3471"/>
                <w:w w:val="96"/>
              </w:rPr>
              <w:t>18</w:t>
            </w:r>
          </w:p>
        </w:tc>
        <w:tc>
          <w:tcPr>
            <w:tcW w:w="0" w:type="dxa"/>
            <w:vAlign w:val="bottom"/>
          </w:tcPr>
          <w:p>
            <w:pPr>
              <w:spacing w:after="0"/>
              <w:rPr>
                <w:sz w:val="1"/>
                <w:szCs w:val="1"/>
                <w:color w:val="auto"/>
              </w:rPr>
            </w:pPr>
          </w:p>
        </w:tc>
      </w:tr>
      <w:tr>
        <w:trPr>
          <w:trHeight w:val="310"/>
        </w:trPr>
        <w:tc>
          <w:tcPr>
            <w:tcW w:w="5000" w:type="dxa"/>
            <w:vAlign w:val="bottom"/>
            <w:gridSpan w:val="2"/>
          </w:tcPr>
          <w:p>
            <w:pPr>
              <w:ind w:left="20"/>
              <w:spacing w:after="0"/>
              <w:rPr>
                <w:sz w:val="20"/>
                <w:szCs w:val="20"/>
                <w:color w:val="auto"/>
              </w:rPr>
            </w:pPr>
            <w:r>
              <w:rPr>
                <w:rFonts w:ascii="Arial" w:cs="Arial" w:eastAsia="Arial" w:hAnsi="Arial"/>
                <w:sz w:val="13"/>
                <w:szCs w:val="13"/>
                <w:b w:val="1"/>
                <w:bCs w:val="1"/>
                <w:color w:val="0C3471"/>
              </w:rPr>
              <w:t>Corporate Governance</w:t>
            </w:r>
          </w:p>
        </w:tc>
        <w:tc>
          <w:tcPr>
            <w:tcW w:w="440" w:type="dxa"/>
            <w:vAlign w:val="bottom"/>
          </w:tcPr>
          <w:p>
            <w:pPr>
              <w:jc w:val="center"/>
              <w:spacing w:after="0"/>
              <w:rPr>
                <w:sz w:val="20"/>
                <w:szCs w:val="20"/>
                <w:color w:val="auto"/>
              </w:rPr>
            </w:pPr>
            <w:r>
              <w:rPr>
                <w:rFonts w:ascii="Arial" w:cs="Arial" w:eastAsia="Arial" w:hAnsi="Arial"/>
                <w:sz w:val="13"/>
                <w:szCs w:val="13"/>
                <w:b w:val="1"/>
                <w:bCs w:val="1"/>
                <w:color w:val="0C3471"/>
                <w:w w:val="96"/>
              </w:rPr>
              <w:t>19</w:t>
            </w:r>
          </w:p>
        </w:tc>
        <w:tc>
          <w:tcPr>
            <w:tcW w:w="0" w:type="dxa"/>
            <w:vAlign w:val="bottom"/>
          </w:tcPr>
          <w:p>
            <w:pPr>
              <w:spacing w:after="0"/>
              <w:rPr>
                <w:sz w:val="1"/>
                <w:szCs w:val="1"/>
                <w:color w:val="auto"/>
              </w:rPr>
            </w:pPr>
          </w:p>
        </w:tc>
      </w:tr>
      <w:tr>
        <w:trPr>
          <w:trHeight w:val="210"/>
        </w:trPr>
        <w:tc>
          <w:tcPr>
            <w:tcW w:w="540" w:type="dxa"/>
            <w:vAlign w:val="bottom"/>
          </w:tcPr>
          <w:p>
            <w:pPr>
              <w:spacing w:after="0"/>
              <w:rPr>
                <w:sz w:val="18"/>
                <w:szCs w:val="18"/>
                <w:color w:val="auto"/>
              </w:rPr>
            </w:pPr>
          </w:p>
        </w:tc>
        <w:tc>
          <w:tcPr>
            <w:tcW w:w="4460" w:type="dxa"/>
            <w:vAlign w:val="bottom"/>
          </w:tcPr>
          <w:p>
            <w:pPr>
              <w:ind w:left="20"/>
              <w:spacing w:after="0"/>
              <w:rPr>
                <w:sz w:val="20"/>
                <w:szCs w:val="20"/>
                <w:color w:val="auto"/>
              </w:rPr>
            </w:pPr>
            <w:r>
              <w:rPr>
                <w:rFonts w:ascii="Arial" w:cs="Arial" w:eastAsia="Arial" w:hAnsi="Arial"/>
                <w:sz w:val="13"/>
                <w:szCs w:val="13"/>
                <w:color w:val="auto"/>
              </w:rPr>
              <w:t>Board Structure and Processes</w:t>
            </w:r>
          </w:p>
        </w:tc>
        <w:tc>
          <w:tcPr>
            <w:tcW w:w="440" w:type="dxa"/>
            <w:vAlign w:val="bottom"/>
          </w:tcPr>
          <w:p>
            <w:pPr>
              <w:jc w:val="center"/>
              <w:spacing w:after="0"/>
              <w:rPr>
                <w:sz w:val="20"/>
                <w:szCs w:val="20"/>
                <w:color w:val="auto"/>
              </w:rPr>
            </w:pPr>
            <w:r>
              <w:rPr>
                <w:rFonts w:ascii="Arial" w:cs="Arial" w:eastAsia="Arial" w:hAnsi="Arial"/>
                <w:sz w:val="13"/>
                <w:szCs w:val="13"/>
                <w:color w:val="auto"/>
                <w:w w:val="96"/>
              </w:rPr>
              <w:t>19</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4460" w:type="dxa"/>
            <w:vAlign w:val="bottom"/>
          </w:tcPr>
          <w:p>
            <w:pPr>
              <w:ind w:left="20"/>
              <w:spacing w:after="0"/>
              <w:rPr>
                <w:sz w:val="20"/>
                <w:szCs w:val="20"/>
                <w:color w:val="auto"/>
              </w:rPr>
            </w:pPr>
            <w:r>
              <w:rPr>
                <w:rFonts w:ascii="Arial" w:cs="Arial" w:eastAsia="Arial" w:hAnsi="Arial"/>
                <w:sz w:val="13"/>
                <w:szCs w:val="13"/>
                <w:color w:val="auto"/>
              </w:rPr>
              <w:t>Committees of the Board</w:t>
            </w:r>
          </w:p>
        </w:tc>
        <w:tc>
          <w:tcPr>
            <w:tcW w:w="440" w:type="dxa"/>
            <w:vAlign w:val="bottom"/>
          </w:tcPr>
          <w:p>
            <w:pPr>
              <w:jc w:val="center"/>
              <w:spacing w:after="0"/>
              <w:rPr>
                <w:sz w:val="20"/>
                <w:szCs w:val="20"/>
                <w:color w:val="auto"/>
              </w:rPr>
            </w:pPr>
            <w:r>
              <w:rPr>
                <w:rFonts w:ascii="Arial" w:cs="Arial" w:eastAsia="Arial" w:hAnsi="Arial"/>
                <w:sz w:val="13"/>
                <w:szCs w:val="13"/>
                <w:color w:val="auto"/>
                <w:w w:val="96"/>
              </w:rPr>
              <w:t>20</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4460" w:type="dxa"/>
            <w:vAlign w:val="bottom"/>
          </w:tcPr>
          <w:p>
            <w:pPr>
              <w:ind w:left="20"/>
              <w:spacing w:after="0"/>
              <w:rPr>
                <w:sz w:val="20"/>
                <w:szCs w:val="20"/>
                <w:color w:val="auto"/>
              </w:rPr>
            </w:pPr>
            <w:r>
              <w:rPr>
                <w:rFonts w:ascii="Arial" w:cs="Arial" w:eastAsia="Arial" w:hAnsi="Arial"/>
                <w:sz w:val="13"/>
                <w:szCs w:val="13"/>
                <w:color w:val="auto"/>
              </w:rPr>
              <w:t>Attendance at Meetings</w:t>
            </w:r>
          </w:p>
        </w:tc>
        <w:tc>
          <w:tcPr>
            <w:tcW w:w="440" w:type="dxa"/>
            <w:vAlign w:val="bottom"/>
          </w:tcPr>
          <w:p>
            <w:pPr>
              <w:jc w:val="center"/>
              <w:spacing w:after="0"/>
              <w:rPr>
                <w:sz w:val="20"/>
                <w:szCs w:val="20"/>
                <w:color w:val="auto"/>
              </w:rPr>
            </w:pPr>
            <w:r>
              <w:rPr>
                <w:rFonts w:ascii="Arial" w:cs="Arial" w:eastAsia="Arial" w:hAnsi="Arial"/>
                <w:sz w:val="13"/>
                <w:szCs w:val="13"/>
                <w:color w:val="auto"/>
                <w:w w:val="96"/>
              </w:rPr>
              <w:t>22</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4460" w:type="dxa"/>
            <w:vAlign w:val="bottom"/>
          </w:tcPr>
          <w:p>
            <w:pPr>
              <w:ind w:left="20"/>
              <w:spacing w:after="0"/>
              <w:rPr>
                <w:sz w:val="20"/>
                <w:szCs w:val="20"/>
                <w:color w:val="auto"/>
              </w:rPr>
            </w:pPr>
            <w:r>
              <w:rPr>
                <w:rFonts w:ascii="Arial" w:cs="Arial" w:eastAsia="Arial" w:hAnsi="Arial"/>
                <w:sz w:val="13"/>
                <w:szCs w:val="13"/>
                <w:color w:val="auto"/>
              </w:rPr>
              <w:t>Board and Committee Self-Assessments</w:t>
            </w:r>
          </w:p>
        </w:tc>
        <w:tc>
          <w:tcPr>
            <w:tcW w:w="440" w:type="dxa"/>
            <w:vAlign w:val="bottom"/>
          </w:tcPr>
          <w:p>
            <w:pPr>
              <w:jc w:val="center"/>
              <w:spacing w:after="0"/>
              <w:rPr>
                <w:sz w:val="20"/>
                <w:szCs w:val="20"/>
                <w:color w:val="auto"/>
              </w:rPr>
            </w:pPr>
            <w:r>
              <w:rPr>
                <w:rFonts w:ascii="Arial" w:cs="Arial" w:eastAsia="Arial" w:hAnsi="Arial"/>
                <w:sz w:val="13"/>
                <w:szCs w:val="13"/>
                <w:color w:val="auto"/>
                <w:w w:val="96"/>
              </w:rPr>
              <w:t>22</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4460" w:type="dxa"/>
            <w:vAlign w:val="bottom"/>
          </w:tcPr>
          <w:p>
            <w:pPr>
              <w:ind w:left="20"/>
              <w:spacing w:after="0"/>
              <w:rPr>
                <w:sz w:val="20"/>
                <w:szCs w:val="20"/>
                <w:color w:val="auto"/>
              </w:rPr>
            </w:pPr>
            <w:r>
              <w:rPr>
                <w:rFonts w:ascii="Arial" w:cs="Arial" w:eastAsia="Arial" w:hAnsi="Arial"/>
                <w:sz w:val="13"/>
                <w:szCs w:val="13"/>
                <w:color w:val="auto"/>
              </w:rPr>
              <w:t>Board Education</w:t>
            </w:r>
          </w:p>
        </w:tc>
        <w:tc>
          <w:tcPr>
            <w:tcW w:w="440" w:type="dxa"/>
            <w:vAlign w:val="bottom"/>
          </w:tcPr>
          <w:p>
            <w:pPr>
              <w:jc w:val="center"/>
              <w:spacing w:after="0"/>
              <w:rPr>
                <w:sz w:val="20"/>
                <w:szCs w:val="20"/>
                <w:color w:val="auto"/>
              </w:rPr>
            </w:pPr>
            <w:r>
              <w:rPr>
                <w:rFonts w:ascii="Arial" w:cs="Arial" w:eastAsia="Arial" w:hAnsi="Arial"/>
                <w:sz w:val="13"/>
                <w:szCs w:val="13"/>
                <w:color w:val="auto"/>
                <w:w w:val="96"/>
              </w:rPr>
              <w:t>22</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4460" w:type="dxa"/>
            <w:vAlign w:val="bottom"/>
          </w:tcPr>
          <w:p>
            <w:pPr>
              <w:ind w:left="20"/>
              <w:spacing w:after="0"/>
              <w:rPr>
                <w:sz w:val="20"/>
                <w:szCs w:val="20"/>
                <w:color w:val="auto"/>
              </w:rPr>
            </w:pPr>
            <w:r>
              <w:rPr>
                <w:rFonts w:ascii="Arial" w:cs="Arial" w:eastAsia="Arial" w:hAnsi="Arial"/>
                <w:sz w:val="13"/>
                <w:szCs w:val="13"/>
                <w:color w:val="auto"/>
              </w:rPr>
              <w:t>The Board’s Role and Responsibilities</w:t>
            </w:r>
          </w:p>
        </w:tc>
        <w:tc>
          <w:tcPr>
            <w:tcW w:w="440" w:type="dxa"/>
            <w:vAlign w:val="bottom"/>
          </w:tcPr>
          <w:p>
            <w:pPr>
              <w:jc w:val="center"/>
              <w:spacing w:after="0"/>
              <w:rPr>
                <w:sz w:val="20"/>
                <w:szCs w:val="20"/>
                <w:color w:val="auto"/>
              </w:rPr>
            </w:pPr>
            <w:r>
              <w:rPr>
                <w:rFonts w:ascii="Arial" w:cs="Arial" w:eastAsia="Arial" w:hAnsi="Arial"/>
                <w:sz w:val="13"/>
                <w:szCs w:val="13"/>
                <w:color w:val="auto"/>
                <w:w w:val="96"/>
              </w:rPr>
              <w:t>23</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4460" w:type="dxa"/>
            <w:vAlign w:val="bottom"/>
          </w:tcPr>
          <w:p>
            <w:pPr>
              <w:ind w:left="20"/>
              <w:spacing w:after="0"/>
              <w:rPr>
                <w:sz w:val="20"/>
                <w:szCs w:val="20"/>
                <w:color w:val="auto"/>
              </w:rPr>
            </w:pPr>
            <w:r>
              <w:rPr>
                <w:rFonts w:ascii="Arial" w:cs="Arial" w:eastAsia="Arial" w:hAnsi="Arial"/>
                <w:sz w:val="13"/>
                <w:szCs w:val="13"/>
                <w:color w:val="auto"/>
              </w:rPr>
              <w:t>Other Governance Policies and Practices</w:t>
            </w:r>
          </w:p>
        </w:tc>
        <w:tc>
          <w:tcPr>
            <w:tcW w:w="440" w:type="dxa"/>
            <w:vAlign w:val="bottom"/>
          </w:tcPr>
          <w:p>
            <w:pPr>
              <w:jc w:val="center"/>
              <w:spacing w:after="0"/>
              <w:rPr>
                <w:sz w:val="20"/>
                <w:szCs w:val="20"/>
                <w:color w:val="auto"/>
              </w:rPr>
            </w:pPr>
            <w:r>
              <w:rPr>
                <w:rFonts w:ascii="Arial" w:cs="Arial" w:eastAsia="Arial" w:hAnsi="Arial"/>
                <w:sz w:val="13"/>
                <w:szCs w:val="13"/>
                <w:color w:val="auto"/>
                <w:w w:val="96"/>
              </w:rPr>
              <w:t>24</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4460" w:type="dxa"/>
            <w:vAlign w:val="bottom"/>
          </w:tcPr>
          <w:p>
            <w:pPr>
              <w:ind w:left="20"/>
              <w:spacing w:after="0"/>
              <w:rPr>
                <w:sz w:val="20"/>
                <w:szCs w:val="20"/>
                <w:color w:val="auto"/>
              </w:rPr>
            </w:pPr>
            <w:r>
              <w:rPr>
                <w:rFonts w:ascii="Arial" w:cs="Arial" w:eastAsia="Arial" w:hAnsi="Arial"/>
                <w:sz w:val="13"/>
                <w:szCs w:val="13"/>
                <w:color w:val="auto"/>
              </w:rPr>
              <w:t>Director Compensation</w:t>
            </w:r>
          </w:p>
        </w:tc>
        <w:tc>
          <w:tcPr>
            <w:tcW w:w="440" w:type="dxa"/>
            <w:vAlign w:val="bottom"/>
          </w:tcPr>
          <w:p>
            <w:pPr>
              <w:jc w:val="center"/>
              <w:spacing w:after="0"/>
              <w:rPr>
                <w:sz w:val="20"/>
                <w:szCs w:val="20"/>
                <w:color w:val="auto"/>
              </w:rPr>
            </w:pPr>
            <w:r>
              <w:rPr>
                <w:rFonts w:ascii="Arial" w:cs="Arial" w:eastAsia="Arial" w:hAnsi="Arial"/>
                <w:sz w:val="13"/>
                <w:szCs w:val="13"/>
                <w:color w:val="auto"/>
                <w:w w:val="96"/>
              </w:rPr>
              <w:t>26</w:t>
            </w:r>
          </w:p>
        </w:tc>
        <w:tc>
          <w:tcPr>
            <w:tcW w:w="0" w:type="dxa"/>
            <w:vAlign w:val="bottom"/>
          </w:tcPr>
          <w:p>
            <w:pPr>
              <w:spacing w:after="0"/>
              <w:rPr>
                <w:sz w:val="1"/>
                <w:szCs w:val="1"/>
                <w:color w:val="auto"/>
              </w:rPr>
            </w:pPr>
          </w:p>
        </w:tc>
      </w:tr>
      <w:tr>
        <w:trPr>
          <w:trHeight w:val="122"/>
        </w:trPr>
        <w:tc>
          <w:tcPr>
            <w:tcW w:w="540" w:type="dxa"/>
            <w:vAlign w:val="bottom"/>
          </w:tcPr>
          <w:p>
            <w:pPr>
              <w:spacing w:after="0"/>
              <w:rPr>
                <w:sz w:val="10"/>
                <w:szCs w:val="10"/>
                <w:color w:val="auto"/>
              </w:rPr>
            </w:pPr>
          </w:p>
        </w:tc>
        <w:tc>
          <w:tcPr>
            <w:tcW w:w="44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9"/>
        </w:trPr>
        <w:tc>
          <w:tcPr>
            <w:tcW w:w="540" w:type="dxa"/>
            <w:vAlign w:val="bottom"/>
            <w:shd w:val="clear" w:color="auto" w:fill="0C3471"/>
          </w:tcPr>
          <w:p>
            <w:pPr>
              <w:spacing w:after="0"/>
              <w:rPr>
                <w:sz w:val="20"/>
                <w:szCs w:val="20"/>
                <w:color w:val="auto"/>
              </w:rPr>
            </w:pPr>
          </w:p>
        </w:tc>
        <w:tc>
          <w:tcPr>
            <w:tcW w:w="4460" w:type="dxa"/>
            <w:vAlign w:val="bottom"/>
            <w:shd w:val="clear" w:color="auto" w:fill="0C3471"/>
          </w:tcPr>
          <w:p>
            <w:pPr>
              <w:ind w:left="20"/>
              <w:spacing w:after="0"/>
              <w:rPr>
                <w:sz w:val="20"/>
                <w:szCs w:val="20"/>
                <w:color w:val="auto"/>
              </w:rPr>
            </w:pPr>
            <w:r>
              <w:rPr>
                <w:rFonts w:ascii="Arial" w:cs="Arial" w:eastAsia="Arial" w:hAnsi="Arial"/>
                <w:sz w:val="13"/>
                <w:szCs w:val="13"/>
                <w:b w:val="1"/>
                <w:bCs w:val="1"/>
                <w:color w:val="FFFFFF"/>
              </w:rPr>
              <w:t>PROPOSAL 2 — Approve, by Nonbinding, Advisory Vote, the</w:t>
            </w:r>
          </w:p>
        </w:tc>
        <w:tc>
          <w:tcPr>
            <w:tcW w:w="440" w:type="dxa"/>
            <w:vAlign w:val="bottom"/>
            <w:vMerge w:val="restart"/>
            <w:shd w:val="clear" w:color="auto" w:fill="0C3471"/>
          </w:tcPr>
          <w:p>
            <w:pPr>
              <w:jc w:val="center"/>
              <w:spacing w:after="0"/>
              <w:rPr>
                <w:sz w:val="20"/>
                <w:szCs w:val="20"/>
                <w:color w:val="auto"/>
              </w:rPr>
            </w:pPr>
            <w:r>
              <w:rPr>
                <w:rFonts w:ascii="Arial" w:cs="Arial" w:eastAsia="Arial" w:hAnsi="Arial"/>
                <w:sz w:val="13"/>
                <w:szCs w:val="13"/>
                <w:b w:val="1"/>
                <w:bCs w:val="1"/>
                <w:color w:val="FFFFFF"/>
                <w:w w:val="96"/>
              </w:rPr>
              <w:t>31</w:t>
            </w:r>
          </w:p>
        </w:tc>
        <w:tc>
          <w:tcPr>
            <w:tcW w:w="0" w:type="dxa"/>
            <w:vAlign w:val="bottom"/>
          </w:tcPr>
          <w:p>
            <w:pPr>
              <w:spacing w:after="0"/>
              <w:rPr>
                <w:sz w:val="1"/>
                <w:szCs w:val="1"/>
                <w:color w:val="auto"/>
              </w:rPr>
            </w:pPr>
          </w:p>
        </w:tc>
      </w:tr>
      <w:tr>
        <w:trPr>
          <w:trHeight w:val="91"/>
        </w:trPr>
        <w:tc>
          <w:tcPr>
            <w:tcW w:w="540" w:type="dxa"/>
            <w:vAlign w:val="bottom"/>
            <w:shd w:val="clear" w:color="auto" w:fill="0C3471"/>
          </w:tcPr>
          <w:p>
            <w:pPr>
              <w:spacing w:after="0"/>
              <w:rPr>
                <w:sz w:val="7"/>
                <w:szCs w:val="7"/>
                <w:color w:val="auto"/>
              </w:rPr>
            </w:pPr>
          </w:p>
        </w:tc>
        <w:tc>
          <w:tcPr>
            <w:tcW w:w="4460" w:type="dxa"/>
            <w:vAlign w:val="bottom"/>
            <w:vMerge w:val="restart"/>
            <w:shd w:val="clear" w:color="auto" w:fill="0C3471"/>
          </w:tcPr>
          <w:p>
            <w:pPr>
              <w:ind w:left="20"/>
              <w:spacing w:after="0"/>
              <w:rPr>
                <w:sz w:val="20"/>
                <w:szCs w:val="20"/>
                <w:color w:val="auto"/>
              </w:rPr>
            </w:pPr>
            <w:r>
              <w:rPr>
                <w:rFonts w:ascii="Arial" w:cs="Arial" w:eastAsia="Arial" w:hAnsi="Arial"/>
                <w:sz w:val="13"/>
                <w:szCs w:val="13"/>
                <w:b w:val="1"/>
                <w:bCs w:val="1"/>
                <w:color w:val="FFFFFF"/>
              </w:rPr>
              <w:t>Compensation of the Named Executive Officers</w:t>
            </w:r>
          </w:p>
        </w:tc>
        <w:tc>
          <w:tcPr>
            <w:tcW w:w="440" w:type="dxa"/>
            <w:vAlign w:val="bottom"/>
            <w:vMerge w:val="continue"/>
            <w:shd w:val="clear" w:color="auto" w:fill="0C3471"/>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540" w:type="dxa"/>
            <w:vAlign w:val="bottom"/>
            <w:shd w:val="clear" w:color="auto" w:fill="0C3471"/>
          </w:tcPr>
          <w:p>
            <w:pPr>
              <w:spacing w:after="0"/>
              <w:rPr>
                <w:sz w:val="7"/>
                <w:szCs w:val="7"/>
                <w:color w:val="auto"/>
              </w:rPr>
            </w:pPr>
          </w:p>
        </w:tc>
        <w:tc>
          <w:tcPr>
            <w:tcW w:w="4460" w:type="dxa"/>
            <w:vAlign w:val="bottom"/>
            <w:vMerge w:val="continue"/>
            <w:shd w:val="clear" w:color="auto" w:fill="0C3471"/>
          </w:tcPr>
          <w:p>
            <w:pPr>
              <w:spacing w:after="0"/>
              <w:rPr>
                <w:sz w:val="7"/>
                <w:szCs w:val="7"/>
                <w:color w:val="auto"/>
              </w:rPr>
            </w:pPr>
          </w:p>
        </w:tc>
        <w:tc>
          <w:tcPr>
            <w:tcW w:w="440" w:type="dxa"/>
            <w:vAlign w:val="bottom"/>
            <w:shd w:val="clear" w:color="auto" w:fill="0C3471"/>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540" w:type="dxa"/>
            <w:vAlign w:val="bottom"/>
            <w:shd w:val="clear" w:color="auto" w:fill="0C3471"/>
          </w:tcPr>
          <w:p>
            <w:pPr>
              <w:spacing w:after="0"/>
              <w:rPr>
                <w:sz w:val="6"/>
                <w:szCs w:val="6"/>
                <w:color w:val="auto"/>
              </w:rPr>
            </w:pPr>
          </w:p>
        </w:tc>
        <w:tc>
          <w:tcPr>
            <w:tcW w:w="4460" w:type="dxa"/>
            <w:vAlign w:val="bottom"/>
            <w:shd w:val="clear" w:color="auto" w:fill="0C3471"/>
          </w:tcPr>
          <w:p>
            <w:pPr>
              <w:spacing w:after="0"/>
              <w:rPr>
                <w:sz w:val="6"/>
                <w:szCs w:val="6"/>
                <w:color w:val="auto"/>
              </w:rPr>
            </w:pPr>
          </w:p>
        </w:tc>
        <w:tc>
          <w:tcPr>
            <w:tcW w:w="440" w:type="dxa"/>
            <w:vAlign w:val="bottom"/>
            <w:shd w:val="clear" w:color="auto" w:fill="0C3471"/>
          </w:tcPr>
          <w:p>
            <w:pPr>
              <w:spacing w:after="0"/>
              <w:rPr>
                <w:sz w:val="6"/>
                <w:szCs w:val="6"/>
                <w:color w:val="auto"/>
              </w:rPr>
            </w:pPr>
          </w:p>
        </w:tc>
        <w:tc>
          <w:tcPr>
            <w:tcW w:w="0" w:type="dxa"/>
            <w:vAlign w:val="bottom"/>
          </w:tcPr>
          <w:p>
            <w:pPr>
              <w:spacing w:after="0"/>
              <w:rPr>
                <w:sz w:val="1"/>
                <w:szCs w:val="1"/>
                <w:color w:val="auto"/>
              </w:rPr>
            </w:pPr>
          </w:p>
        </w:tc>
      </w:tr>
      <w:tr>
        <w:trPr>
          <w:trHeight w:val="289"/>
        </w:trPr>
        <w:tc>
          <w:tcPr>
            <w:tcW w:w="5000" w:type="dxa"/>
            <w:vAlign w:val="bottom"/>
            <w:gridSpan w:val="2"/>
          </w:tcPr>
          <w:p>
            <w:pPr>
              <w:ind w:left="20"/>
              <w:spacing w:after="0"/>
              <w:rPr>
                <w:sz w:val="20"/>
                <w:szCs w:val="20"/>
                <w:color w:val="auto"/>
              </w:rPr>
            </w:pPr>
            <w:r>
              <w:rPr>
                <w:rFonts w:ascii="Arial" w:cs="Arial" w:eastAsia="Arial" w:hAnsi="Arial"/>
                <w:sz w:val="13"/>
                <w:szCs w:val="13"/>
                <w:b w:val="1"/>
                <w:bCs w:val="1"/>
                <w:color w:val="0C3471"/>
              </w:rPr>
              <w:t>Compensation Committee Report</w:t>
            </w:r>
          </w:p>
        </w:tc>
        <w:tc>
          <w:tcPr>
            <w:tcW w:w="440" w:type="dxa"/>
            <w:vAlign w:val="bottom"/>
          </w:tcPr>
          <w:p>
            <w:pPr>
              <w:jc w:val="center"/>
              <w:spacing w:after="0"/>
              <w:rPr>
                <w:sz w:val="20"/>
                <w:szCs w:val="20"/>
                <w:color w:val="auto"/>
              </w:rPr>
            </w:pPr>
            <w:r>
              <w:rPr>
                <w:rFonts w:ascii="Arial" w:cs="Arial" w:eastAsia="Arial" w:hAnsi="Arial"/>
                <w:sz w:val="13"/>
                <w:szCs w:val="13"/>
                <w:b w:val="1"/>
                <w:bCs w:val="1"/>
                <w:color w:val="0C3471"/>
                <w:w w:val="96"/>
              </w:rPr>
              <w:t>32</w:t>
            </w:r>
          </w:p>
        </w:tc>
        <w:tc>
          <w:tcPr>
            <w:tcW w:w="0" w:type="dxa"/>
            <w:vAlign w:val="bottom"/>
          </w:tcPr>
          <w:p>
            <w:pPr>
              <w:spacing w:after="0"/>
              <w:rPr>
                <w:sz w:val="1"/>
                <w:szCs w:val="1"/>
                <w:color w:val="auto"/>
              </w:rPr>
            </w:pPr>
          </w:p>
        </w:tc>
      </w:tr>
      <w:tr>
        <w:trPr>
          <w:trHeight w:val="310"/>
        </w:trPr>
        <w:tc>
          <w:tcPr>
            <w:tcW w:w="5000" w:type="dxa"/>
            <w:vAlign w:val="bottom"/>
            <w:gridSpan w:val="2"/>
          </w:tcPr>
          <w:p>
            <w:pPr>
              <w:ind w:left="20"/>
              <w:spacing w:after="0"/>
              <w:rPr>
                <w:sz w:val="20"/>
                <w:szCs w:val="20"/>
                <w:color w:val="auto"/>
              </w:rPr>
            </w:pPr>
            <w:r>
              <w:rPr>
                <w:rFonts w:ascii="Arial" w:cs="Arial" w:eastAsia="Arial" w:hAnsi="Arial"/>
                <w:sz w:val="13"/>
                <w:szCs w:val="13"/>
                <w:b w:val="1"/>
                <w:bCs w:val="1"/>
                <w:color w:val="0C3471"/>
              </w:rPr>
              <w:t>Compensation Discussion and Analysis</w:t>
            </w:r>
          </w:p>
        </w:tc>
        <w:tc>
          <w:tcPr>
            <w:tcW w:w="440" w:type="dxa"/>
            <w:vAlign w:val="bottom"/>
          </w:tcPr>
          <w:p>
            <w:pPr>
              <w:jc w:val="center"/>
              <w:spacing w:after="0"/>
              <w:rPr>
                <w:sz w:val="20"/>
                <w:szCs w:val="20"/>
                <w:color w:val="auto"/>
              </w:rPr>
            </w:pPr>
            <w:r>
              <w:rPr>
                <w:rFonts w:ascii="Arial" w:cs="Arial" w:eastAsia="Arial" w:hAnsi="Arial"/>
                <w:sz w:val="13"/>
                <w:szCs w:val="13"/>
                <w:b w:val="1"/>
                <w:bCs w:val="1"/>
                <w:color w:val="0C3471"/>
                <w:w w:val="96"/>
              </w:rPr>
              <w:t>33</w:t>
            </w:r>
          </w:p>
        </w:tc>
        <w:tc>
          <w:tcPr>
            <w:tcW w:w="0" w:type="dxa"/>
            <w:vAlign w:val="bottom"/>
          </w:tcPr>
          <w:p>
            <w:pPr>
              <w:spacing w:after="0"/>
              <w:rPr>
                <w:sz w:val="1"/>
                <w:szCs w:val="1"/>
                <w:color w:val="auto"/>
              </w:rPr>
            </w:pPr>
          </w:p>
        </w:tc>
      </w:tr>
      <w:tr>
        <w:trPr>
          <w:trHeight w:val="210"/>
        </w:trPr>
        <w:tc>
          <w:tcPr>
            <w:tcW w:w="540" w:type="dxa"/>
            <w:vAlign w:val="bottom"/>
          </w:tcPr>
          <w:p>
            <w:pPr>
              <w:spacing w:after="0"/>
              <w:rPr>
                <w:sz w:val="18"/>
                <w:szCs w:val="18"/>
                <w:color w:val="auto"/>
              </w:rPr>
            </w:pPr>
          </w:p>
        </w:tc>
        <w:tc>
          <w:tcPr>
            <w:tcW w:w="4460" w:type="dxa"/>
            <w:vAlign w:val="bottom"/>
          </w:tcPr>
          <w:p>
            <w:pPr>
              <w:ind w:left="20"/>
              <w:spacing w:after="0"/>
              <w:rPr>
                <w:sz w:val="20"/>
                <w:szCs w:val="20"/>
                <w:color w:val="auto"/>
              </w:rPr>
            </w:pPr>
            <w:r>
              <w:rPr>
                <w:rFonts w:ascii="Arial" w:cs="Arial" w:eastAsia="Arial" w:hAnsi="Arial"/>
                <w:sz w:val="13"/>
                <w:szCs w:val="13"/>
                <w:color w:val="auto"/>
              </w:rPr>
              <w:t>Named Executive Officers</w:t>
            </w:r>
          </w:p>
        </w:tc>
        <w:tc>
          <w:tcPr>
            <w:tcW w:w="440" w:type="dxa"/>
            <w:vAlign w:val="bottom"/>
          </w:tcPr>
          <w:p>
            <w:pPr>
              <w:jc w:val="center"/>
              <w:spacing w:after="0"/>
              <w:rPr>
                <w:sz w:val="20"/>
                <w:szCs w:val="20"/>
                <w:color w:val="auto"/>
              </w:rPr>
            </w:pPr>
            <w:r>
              <w:rPr>
                <w:rFonts w:ascii="Arial" w:cs="Arial" w:eastAsia="Arial" w:hAnsi="Arial"/>
                <w:sz w:val="13"/>
                <w:szCs w:val="13"/>
                <w:color w:val="auto"/>
                <w:w w:val="96"/>
              </w:rPr>
              <w:t>33</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4460" w:type="dxa"/>
            <w:vAlign w:val="bottom"/>
          </w:tcPr>
          <w:p>
            <w:pPr>
              <w:ind w:left="20"/>
              <w:spacing w:after="0"/>
              <w:rPr>
                <w:sz w:val="20"/>
                <w:szCs w:val="20"/>
                <w:color w:val="auto"/>
              </w:rPr>
            </w:pPr>
            <w:r>
              <w:rPr>
                <w:rFonts w:ascii="Arial" w:cs="Arial" w:eastAsia="Arial" w:hAnsi="Arial"/>
                <w:sz w:val="13"/>
                <w:szCs w:val="13"/>
                <w:color w:val="auto"/>
              </w:rPr>
              <w:t>Executive Summary</w:t>
            </w:r>
          </w:p>
        </w:tc>
        <w:tc>
          <w:tcPr>
            <w:tcW w:w="440" w:type="dxa"/>
            <w:vAlign w:val="bottom"/>
          </w:tcPr>
          <w:p>
            <w:pPr>
              <w:jc w:val="center"/>
              <w:spacing w:after="0"/>
              <w:rPr>
                <w:sz w:val="20"/>
                <w:szCs w:val="20"/>
                <w:color w:val="auto"/>
              </w:rPr>
            </w:pPr>
            <w:r>
              <w:rPr>
                <w:rFonts w:ascii="Arial" w:cs="Arial" w:eastAsia="Arial" w:hAnsi="Arial"/>
                <w:sz w:val="13"/>
                <w:szCs w:val="13"/>
                <w:color w:val="auto"/>
                <w:w w:val="96"/>
              </w:rPr>
              <w:t>33</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4460" w:type="dxa"/>
            <w:vAlign w:val="bottom"/>
          </w:tcPr>
          <w:p>
            <w:pPr>
              <w:ind w:left="20"/>
              <w:spacing w:after="0"/>
              <w:rPr>
                <w:sz w:val="20"/>
                <w:szCs w:val="20"/>
                <w:color w:val="auto"/>
              </w:rPr>
            </w:pPr>
            <w:r>
              <w:rPr>
                <w:rFonts w:ascii="Arial" w:cs="Arial" w:eastAsia="Arial" w:hAnsi="Arial"/>
                <w:sz w:val="13"/>
                <w:szCs w:val="13"/>
                <w:color w:val="auto"/>
              </w:rPr>
              <w:t>Our Compensation Philosophy and Objectives</w:t>
            </w:r>
          </w:p>
        </w:tc>
        <w:tc>
          <w:tcPr>
            <w:tcW w:w="440" w:type="dxa"/>
            <w:vAlign w:val="bottom"/>
          </w:tcPr>
          <w:p>
            <w:pPr>
              <w:jc w:val="center"/>
              <w:spacing w:after="0"/>
              <w:rPr>
                <w:sz w:val="20"/>
                <w:szCs w:val="20"/>
                <w:color w:val="auto"/>
              </w:rPr>
            </w:pPr>
            <w:r>
              <w:rPr>
                <w:rFonts w:ascii="Arial" w:cs="Arial" w:eastAsia="Arial" w:hAnsi="Arial"/>
                <w:sz w:val="13"/>
                <w:szCs w:val="13"/>
                <w:color w:val="auto"/>
                <w:w w:val="96"/>
              </w:rPr>
              <w:t>37</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4460" w:type="dxa"/>
            <w:vAlign w:val="bottom"/>
          </w:tcPr>
          <w:p>
            <w:pPr>
              <w:ind w:left="20"/>
              <w:spacing w:after="0"/>
              <w:rPr>
                <w:sz w:val="20"/>
                <w:szCs w:val="20"/>
                <w:color w:val="auto"/>
              </w:rPr>
            </w:pPr>
            <w:r>
              <w:rPr>
                <w:rFonts w:ascii="Arial" w:cs="Arial" w:eastAsia="Arial" w:hAnsi="Arial"/>
                <w:sz w:val="13"/>
                <w:szCs w:val="13"/>
                <w:color w:val="auto"/>
              </w:rPr>
              <w:t>How Executive Compensation Decisions are Made</w:t>
            </w:r>
          </w:p>
        </w:tc>
        <w:tc>
          <w:tcPr>
            <w:tcW w:w="440" w:type="dxa"/>
            <w:vAlign w:val="bottom"/>
          </w:tcPr>
          <w:p>
            <w:pPr>
              <w:jc w:val="center"/>
              <w:spacing w:after="0"/>
              <w:rPr>
                <w:sz w:val="20"/>
                <w:szCs w:val="20"/>
                <w:color w:val="auto"/>
              </w:rPr>
            </w:pPr>
            <w:r>
              <w:rPr>
                <w:rFonts w:ascii="Arial" w:cs="Arial" w:eastAsia="Arial" w:hAnsi="Arial"/>
                <w:sz w:val="13"/>
                <w:szCs w:val="13"/>
                <w:color w:val="auto"/>
                <w:w w:val="96"/>
              </w:rPr>
              <w:t>38</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4460" w:type="dxa"/>
            <w:vAlign w:val="bottom"/>
          </w:tcPr>
          <w:p>
            <w:pPr>
              <w:ind w:left="20"/>
              <w:spacing w:after="0"/>
              <w:rPr>
                <w:sz w:val="20"/>
                <w:szCs w:val="20"/>
                <w:color w:val="auto"/>
              </w:rPr>
            </w:pPr>
            <w:r>
              <w:rPr>
                <w:rFonts w:ascii="Arial" w:cs="Arial" w:eastAsia="Arial" w:hAnsi="Arial"/>
                <w:sz w:val="13"/>
                <w:szCs w:val="13"/>
                <w:color w:val="auto"/>
              </w:rPr>
              <w:t>Elements and Payouts of 2025 NEO Compensation</w:t>
            </w:r>
          </w:p>
        </w:tc>
        <w:tc>
          <w:tcPr>
            <w:tcW w:w="440" w:type="dxa"/>
            <w:vAlign w:val="bottom"/>
          </w:tcPr>
          <w:p>
            <w:pPr>
              <w:jc w:val="center"/>
              <w:spacing w:after="0"/>
              <w:rPr>
                <w:sz w:val="20"/>
                <w:szCs w:val="20"/>
                <w:color w:val="auto"/>
              </w:rPr>
            </w:pPr>
            <w:r>
              <w:rPr>
                <w:rFonts w:ascii="Arial" w:cs="Arial" w:eastAsia="Arial" w:hAnsi="Arial"/>
                <w:sz w:val="13"/>
                <w:szCs w:val="13"/>
                <w:color w:val="auto"/>
                <w:w w:val="96"/>
              </w:rPr>
              <w:t>41</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4460" w:type="dxa"/>
            <w:vAlign w:val="bottom"/>
          </w:tcPr>
          <w:p>
            <w:pPr>
              <w:ind w:left="20"/>
              <w:spacing w:after="0"/>
              <w:rPr>
                <w:sz w:val="20"/>
                <w:szCs w:val="20"/>
                <w:color w:val="auto"/>
              </w:rPr>
            </w:pPr>
            <w:r>
              <w:rPr>
                <w:rFonts w:ascii="Arial" w:cs="Arial" w:eastAsia="Arial" w:hAnsi="Arial"/>
                <w:sz w:val="13"/>
                <w:szCs w:val="13"/>
                <w:color w:val="auto"/>
              </w:rPr>
              <w:t>Other Compensation Policies and Practices</w:t>
            </w:r>
          </w:p>
        </w:tc>
        <w:tc>
          <w:tcPr>
            <w:tcW w:w="440" w:type="dxa"/>
            <w:vAlign w:val="bottom"/>
          </w:tcPr>
          <w:p>
            <w:pPr>
              <w:jc w:val="center"/>
              <w:spacing w:after="0"/>
              <w:rPr>
                <w:sz w:val="20"/>
                <w:szCs w:val="20"/>
                <w:color w:val="auto"/>
              </w:rPr>
            </w:pPr>
            <w:r>
              <w:rPr>
                <w:rFonts w:ascii="Arial" w:cs="Arial" w:eastAsia="Arial" w:hAnsi="Arial"/>
                <w:sz w:val="13"/>
                <w:szCs w:val="13"/>
                <w:color w:val="auto"/>
                <w:w w:val="96"/>
              </w:rPr>
              <w:t>52</w:t>
            </w:r>
          </w:p>
        </w:tc>
        <w:tc>
          <w:tcPr>
            <w:tcW w:w="0" w:type="dxa"/>
            <w:vAlign w:val="bottom"/>
          </w:tcPr>
          <w:p>
            <w:pPr>
              <w:spacing w:after="0"/>
              <w:rPr>
                <w:sz w:val="1"/>
                <w:szCs w:val="1"/>
                <w:color w:val="auto"/>
              </w:rPr>
            </w:pPr>
          </w:p>
        </w:tc>
      </w:tr>
      <w:tr>
        <w:trPr>
          <w:trHeight w:val="316"/>
        </w:trPr>
        <w:tc>
          <w:tcPr>
            <w:tcW w:w="5000" w:type="dxa"/>
            <w:vAlign w:val="bottom"/>
            <w:gridSpan w:val="2"/>
          </w:tcPr>
          <w:p>
            <w:pPr>
              <w:ind w:left="20"/>
              <w:spacing w:after="0"/>
              <w:rPr>
                <w:sz w:val="20"/>
                <w:szCs w:val="20"/>
                <w:color w:val="auto"/>
              </w:rPr>
            </w:pPr>
            <w:r>
              <w:rPr>
                <w:rFonts w:ascii="Arial" w:cs="Arial" w:eastAsia="Arial" w:hAnsi="Arial"/>
                <w:sz w:val="13"/>
                <w:szCs w:val="13"/>
                <w:b w:val="1"/>
                <w:bCs w:val="1"/>
                <w:color w:val="0C3471"/>
              </w:rPr>
              <w:t>Executive Compensation Tables</w:t>
            </w:r>
          </w:p>
        </w:tc>
        <w:tc>
          <w:tcPr>
            <w:tcW w:w="440" w:type="dxa"/>
            <w:vAlign w:val="bottom"/>
          </w:tcPr>
          <w:p>
            <w:pPr>
              <w:jc w:val="center"/>
              <w:spacing w:after="0"/>
              <w:rPr>
                <w:sz w:val="20"/>
                <w:szCs w:val="20"/>
                <w:color w:val="auto"/>
              </w:rPr>
            </w:pPr>
            <w:r>
              <w:rPr>
                <w:rFonts w:ascii="Arial" w:cs="Arial" w:eastAsia="Arial" w:hAnsi="Arial"/>
                <w:sz w:val="13"/>
                <w:szCs w:val="13"/>
                <w:b w:val="1"/>
                <w:bCs w:val="1"/>
                <w:color w:val="0C3471"/>
                <w:w w:val="96"/>
              </w:rPr>
              <w:t>56</w:t>
            </w:r>
          </w:p>
        </w:tc>
        <w:tc>
          <w:tcPr>
            <w:tcW w:w="0" w:type="dxa"/>
            <w:vAlign w:val="bottom"/>
          </w:tcPr>
          <w:p>
            <w:pPr>
              <w:spacing w:after="0"/>
              <w:rPr>
                <w:sz w:val="1"/>
                <w:szCs w:val="1"/>
                <w:color w:val="auto"/>
              </w:rPr>
            </w:pPr>
          </w:p>
        </w:tc>
      </w:tr>
      <w:tr>
        <w:trPr>
          <w:trHeight w:val="210"/>
        </w:trPr>
        <w:tc>
          <w:tcPr>
            <w:tcW w:w="540" w:type="dxa"/>
            <w:vAlign w:val="bottom"/>
          </w:tcPr>
          <w:p>
            <w:pPr>
              <w:spacing w:after="0"/>
              <w:rPr>
                <w:sz w:val="18"/>
                <w:szCs w:val="18"/>
                <w:color w:val="auto"/>
              </w:rPr>
            </w:pPr>
          </w:p>
        </w:tc>
        <w:tc>
          <w:tcPr>
            <w:tcW w:w="4460" w:type="dxa"/>
            <w:vAlign w:val="bottom"/>
          </w:tcPr>
          <w:p>
            <w:pPr>
              <w:ind w:left="20"/>
              <w:spacing w:after="0"/>
              <w:rPr>
                <w:sz w:val="20"/>
                <w:szCs w:val="20"/>
                <w:color w:val="auto"/>
              </w:rPr>
            </w:pPr>
            <w:r>
              <w:rPr>
                <w:rFonts w:ascii="Arial" w:cs="Arial" w:eastAsia="Arial" w:hAnsi="Arial"/>
                <w:sz w:val="13"/>
                <w:szCs w:val="13"/>
                <w:color w:val="auto"/>
              </w:rPr>
              <w:t>Summary Compensation Table</w:t>
            </w:r>
          </w:p>
        </w:tc>
        <w:tc>
          <w:tcPr>
            <w:tcW w:w="440" w:type="dxa"/>
            <w:vAlign w:val="bottom"/>
          </w:tcPr>
          <w:p>
            <w:pPr>
              <w:jc w:val="center"/>
              <w:spacing w:after="0"/>
              <w:rPr>
                <w:sz w:val="20"/>
                <w:szCs w:val="20"/>
                <w:color w:val="auto"/>
              </w:rPr>
            </w:pPr>
            <w:r>
              <w:rPr>
                <w:rFonts w:ascii="Arial" w:cs="Arial" w:eastAsia="Arial" w:hAnsi="Arial"/>
                <w:sz w:val="13"/>
                <w:szCs w:val="13"/>
                <w:color w:val="auto"/>
                <w:w w:val="96"/>
              </w:rPr>
              <w:t>56</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4460" w:type="dxa"/>
            <w:vAlign w:val="bottom"/>
          </w:tcPr>
          <w:p>
            <w:pPr>
              <w:ind w:left="20"/>
              <w:spacing w:after="0"/>
              <w:rPr>
                <w:sz w:val="20"/>
                <w:szCs w:val="20"/>
                <w:color w:val="auto"/>
              </w:rPr>
            </w:pPr>
            <w:r>
              <w:rPr>
                <w:rFonts w:ascii="Arial" w:cs="Arial" w:eastAsia="Arial" w:hAnsi="Arial"/>
                <w:sz w:val="13"/>
                <w:szCs w:val="13"/>
                <w:color w:val="auto"/>
              </w:rPr>
              <w:t>Grants of Plan-Based Awards in 2025</w:t>
            </w:r>
          </w:p>
        </w:tc>
        <w:tc>
          <w:tcPr>
            <w:tcW w:w="440" w:type="dxa"/>
            <w:vAlign w:val="bottom"/>
          </w:tcPr>
          <w:p>
            <w:pPr>
              <w:jc w:val="center"/>
              <w:spacing w:after="0"/>
              <w:rPr>
                <w:sz w:val="20"/>
                <w:szCs w:val="20"/>
                <w:color w:val="auto"/>
              </w:rPr>
            </w:pPr>
            <w:r>
              <w:rPr>
                <w:rFonts w:ascii="Arial" w:cs="Arial" w:eastAsia="Arial" w:hAnsi="Arial"/>
                <w:sz w:val="13"/>
                <w:szCs w:val="13"/>
                <w:color w:val="auto"/>
                <w:w w:val="96"/>
              </w:rPr>
              <w:t>58</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4460" w:type="dxa"/>
            <w:vAlign w:val="bottom"/>
          </w:tcPr>
          <w:p>
            <w:pPr>
              <w:ind w:left="20"/>
              <w:spacing w:after="0"/>
              <w:rPr>
                <w:sz w:val="20"/>
                <w:szCs w:val="20"/>
                <w:color w:val="auto"/>
              </w:rPr>
            </w:pPr>
            <w:r>
              <w:rPr>
                <w:rFonts w:ascii="Arial" w:cs="Arial" w:eastAsia="Arial" w:hAnsi="Arial"/>
                <w:sz w:val="13"/>
                <w:szCs w:val="13"/>
                <w:color w:val="auto"/>
              </w:rPr>
              <w:t>Outstanding Equity Awards at December 31, 2025</w:t>
            </w:r>
          </w:p>
        </w:tc>
        <w:tc>
          <w:tcPr>
            <w:tcW w:w="440" w:type="dxa"/>
            <w:vAlign w:val="bottom"/>
          </w:tcPr>
          <w:p>
            <w:pPr>
              <w:jc w:val="center"/>
              <w:spacing w:after="0"/>
              <w:rPr>
                <w:sz w:val="20"/>
                <w:szCs w:val="20"/>
                <w:color w:val="auto"/>
              </w:rPr>
            </w:pPr>
            <w:r>
              <w:rPr>
                <w:rFonts w:ascii="Arial" w:cs="Arial" w:eastAsia="Arial" w:hAnsi="Arial"/>
                <w:sz w:val="13"/>
                <w:szCs w:val="13"/>
                <w:color w:val="auto"/>
                <w:w w:val="96"/>
              </w:rPr>
              <w:t>59</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4460" w:type="dxa"/>
            <w:vAlign w:val="bottom"/>
          </w:tcPr>
          <w:p>
            <w:pPr>
              <w:ind w:left="20"/>
              <w:spacing w:after="0"/>
              <w:rPr>
                <w:sz w:val="20"/>
                <w:szCs w:val="20"/>
                <w:color w:val="auto"/>
              </w:rPr>
            </w:pPr>
            <w:r>
              <w:rPr>
                <w:rFonts w:ascii="Arial" w:cs="Arial" w:eastAsia="Arial" w:hAnsi="Arial"/>
                <w:sz w:val="13"/>
                <w:szCs w:val="13"/>
                <w:color w:val="auto"/>
              </w:rPr>
              <w:t>2025 Option Exercises and Stock Vested Table</w:t>
            </w:r>
          </w:p>
        </w:tc>
        <w:tc>
          <w:tcPr>
            <w:tcW w:w="440" w:type="dxa"/>
            <w:vAlign w:val="bottom"/>
          </w:tcPr>
          <w:p>
            <w:pPr>
              <w:jc w:val="center"/>
              <w:spacing w:after="0"/>
              <w:rPr>
                <w:sz w:val="20"/>
                <w:szCs w:val="20"/>
                <w:color w:val="auto"/>
              </w:rPr>
            </w:pPr>
            <w:r>
              <w:rPr>
                <w:rFonts w:ascii="Arial" w:cs="Arial" w:eastAsia="Arial" w:hAnsi="Arial"/>
                <w:sz w:val="13"/>
                <w:szCs w:val="13"/>
                <w:color w:val="auto"/>
                <w:w w:val="96"/>
              </w:rPr>
              <w:t>61</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4460" w:type="dxa"/>
            <w:vAlign w:val="bottom"/>
          </w:tcPr>
          <w:p>
            <w:pPr>
              <w:ind w:left="20"/>
              <w:spacing w:after="0"/>
              <w:rPr>
                <w:sz w:val="20"/>
                <w:szCs w:val="20"/>
                <w:color w:val="auto"/>
              </w:rPr>
            </w:pPr>
            <w:r>
              <w:rPr>
                <w:rFonts w:ascii="Arial" w:cs="Arial" w:eastAsia="Arial" w:hAnsi="Arial"/>
                <w:sz w:val="13"/>
                <w:szCs w:val="13"/>
                <w:color w:val="auto"/>
              </w:rPr>
              <w:t>2025 Pension Benefits</w:t>
            </w:r>
          </w:p>
        </w:tc>
        <w:tc>
          <w:tcPr>
            <w:tcW w:w="440" w:type="dxa"/>
            <w:vAlign w:val="bottom"/>
          </w:tcPr>
          <w:p>
            <w:pPr>
              <w:jc w:val="center"/>
              <w:spacing w:after="0"/>
              <w:rPr>
                <w:sz w:val="20"/>
                <w:szCs w:val="20"/>
                <w:color w:val="auto"/>
              </w:rPr>
            </w:pPr>
            <w:r>
              <w:rPr>
                <w:rFonts w:ascii="Arial" w:cs="Arial" w:eastAsia="Arial" w:hAnsi="Arial"/>
                <w:sz w:val="13"/>
                <w:szCs w:val="13"/>
                <w:color w:val="auto"/>
                <w:w w:val="96"/>
              </w:rPr>
              <w:t>61</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4460" w:type="dxa"/>
            <w:vAlign w:val="bottom"/>
          </w:tcPr>
          <w:p>
            <w:pPr>
              <w:ind w:left="20"/>
              <w:spacing w:after="0"/>
              <w:rPr>
                <w:sz w:val="20"/>
                <w:szCs w:val="20"/>
                <w:color w:val="auto"/>
              </w:rPr>
            </w:pPr>
            <w:r>
              <w:rPr>
                <w:rFonts w:ascii="Arial" w:cs="Arial" w:eastAsia="Arial" w:hAnsi="Arial"/>
                <w:sz w:val="13"/>
                <w:szCs w:val="13"/>
                <w:color w:val="auto"/>
              </w:rPr>
              <w:t>2025 Non-Qualified Deferred Compensation Table</w:t>
            </w:r>
          </w:p>
        </w:tc>
        <w:tc>
          <w:tcPr>
            <w:tcW w:w="440" w:type="dxa"/>
            <w:vAlign w:val="bottom"/>
          </w:tcPr>
          <w:p>
            <w:pPr>
              <w:jc w:val="center"/>
              <w:spacing w:after="0"/>
              <w:rPr>
                <w:sz w:val="20"/>
                <w:szCs w:val="20"/>
                <w:color w:val="auto"/>
              </w:rPr>
            </w:pPr>
            <w:r>
              <w:rPr>
                <w:rFonts w:ascii="Arial" w:cs="Arial" w:eastAsia="Arial" w:hAnsi="Arial"/>
                <w:sz w:val="13"/>
                <w:szCs w:val="13"/>
                <w:color w:val="auto"/>
                <w:w w:val="96"/>
              </w:rPr>
              <w:t>63</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4460" w:type="dxa"/>
            <w:vAlign w:val="bottom"/>
          </w:tcPr>
          <w:p>
            <w:pPr>
              <w:ind w:left="20"/>
              <w:spacing w:after="0"/>
              <w:rPr>
                <w:sz w:val="20"/>
                <w:szCs w:val="20"/>
                <w:color w:val="auto"/>
              </w:rPr>
            </w:pPr>
            <w:r>
              <w:rPr>
                <w:rFonts w:ascii="Arial" w:cs="Arial" w:eastAsia="Arial" w:hAnsi="Arial"/>
                <w:sz w:val="13"/>
                <w:szCs w:val="13"/>
                <w:color w:val="auto"/>
              </w:rPr>
              <w:t>Potential Payments Upon Termination or Change in Control</w:t>
            </w:r>
          </w:p>
        </w:tc>
        <w:tc>
          <w:tcPr>
            <w:tcW w:w="440" w:type="dxa"/>
            <w:vAlign w:val="bottom"/>
          </w:tcPr>
          <w:p>
            <w:pPr>
              <w:jc w:val="center"/>
              <w:spacing w:after="0"/>
              <w:rPr>
                <w:sz w:val="20"/>
                <w:szCs w:val="20"/>
                <w:color w:val="auto"/>
              </w:rPr>
            </w:pPr>
            <w:r>
              <w:rPr>
                <w:rFonts w:ascii="Arial" w:cs="Arial" w:eastAsia="Arial" w:hAnsi="Arial"/>
                <w:sz w:val="13"/>
                <w:szCs w:val="13"/>
                <w:color w:val="auto"/>
                <w:w w:val="96"/>
              </w:rPr>
              <w:t>64</w:t>
            </w:r>
          </w:p>
        </w:tc>
        <w:tc>
          <w:tcPr>
            <w:tcW w:w="0" w:type="dxa"/>
            <w:vAlign w:val="bottom"/>
          </w:tcPr>
          <w:p>
            <w:pPr>
              <w:spacing w:after="0"/>
              <w:rPr>
                <w:sz w:val="1"/>
                <w:szCs w:val="1"/>
                <w:color w:val="auto"/>
              </w:rPr>
            </w:pPr>
          </w:p>
        </w:tc>
      </w:tr>
      <w:tr>
        <w:trPr>
          <w:trHeight w:val="316"/>
        </w:trPr>
        <w:tc>
          <w:tcPr>
            <w:tcW w:w="5000" w:type="dxa"/>
            <w:vAlign w:val="bottom"/>
            <w:gridSpan w:val="2"/>
          </w:tcPr>
          <w:p>
            <w:pPr>
              <w:ind w:left="20"/>
              <w:spacing w:after="0"/>
              <w:rPr>
                <w:sz w:val="20"/>
                <w:szCs w:val="20"/>
                <w:color w:val="auto"/>
              </w:rPr>
            </w:pPr>
            <w:r>
              <w:rPr>
                <w:rFonts w:ascii="Arial" w:cs="Arial" w:eastAsia="Arial" w:hAnsi="Arial"/>
                <w:sz w:val="13"/>
                <w:szCs w:val="13"/>
                <w:b w:val="1"/>
                <w:bCs w:val="1"/>
                <w:color w:val="0C3471"/>
              </w:rPr>
              <w:t>CEO Pay Ratio</w:t>
            </w:r>
          </w:p>
        </w:tc>
        <w:tc>
          <w:tcPr>
            <w:tcW w:w="440" w:type="dxa"/>
            <w:vAlign w:val="bottom"/>
          </w:tcPr>
          <w:p>
            <w:pPr>
              <w:jc w:val="center"/>
              <w:spacing w:after="0"/>
              <w:rPr>
                <w:sz w:val="20"/>
                <w:szCs w:val="20"/>
                <w:color w:val="auto"/>
              </w:rPr>
            </w:pPr>
            <w:r>
              <w:rPr>
                <w:rFonts w:ascii="Arial" w:cs="Arial" w:eastAsia="Arial" w:hAnsi="Arial"/>
                <w:sz w:val="13"/>
                <w:szCs w:val="13"/>
                <w:b w:val="1"/>
                <w:bCs w:val="1"/>
                <w:color w:val="0C3471"/>
                <w:w w:val="96"/>
              </w:rPr>
              <w:t>70</w:t>
            </w:r>
          </w:p>
        </w:tc>
        <w:tc>
          <w:tcPr>
            <w:tcW w:w="0" w:type="dxa"/>
            <w:vAlign w:val="bottom"/>
          </w:tcPr>
          <w:p>
            <w:pPr>
              <w:spacing w:after="0"/>
              <w:rPr>
                <w:sz w:val="1"/>
                <w:szCs w:val="1"/>
                <w:color w:val="auto"/>
              </w:rPr>
            </w:pPr>
          </w:p>
        </w:tc>
      </w:tr>
      <w:tr>
        <w:trPr>
          <w:trHeight w:val="311"/>
        </w:trPr>
        <w:tc>
          <w:tcPr>
            <w:tcW w:w="5000" w:type="dxa"/>
            <w:vAlign w:val="bottom"/>
            <w:gridSpan w:val="2"/>
          </w:tcPr>
          <w:p>
            <w:pPr>
              <w:ind w:left="20"/>
              <w:spacing w:after="0"/>
              <w:rPr>
                <w:sz w:val="20"/>
                <w:szCs w:val="20"/>
                <w:color w:val="auto"/>
              </w:rPr>
            </w:pPr>
            <w:r>
              <w:rPr>
                <w:rFonts w:ascii="Arial" w:cs="Arial" w:eastAsia="Arial" w:hAnsi="Arial"/>
                <w:sz w:val="13"/>
                <w:szCs w:val="13"/>
                <w:b w:val="1"/>
                <w:bCs w:val="1"/>
                <w:color w:val="0C3471"/>
              </w:rPr>
              <w:t>Pay Versus Performance</w:t>
            </w:r>
          </w:p>
        </w:tc>
        <w:tc>
          <w:tcPr>
            <w:tcW w:w="440" w:type="dxa"/>
            <w:vAlign w:val="bottom"/>
          </w:tcPr>
          <w:p>
            <w:pPr>
              <w:jc w:val="center"/>
              <w:spacing w:after="0"/>
              <w:rPr>
                <w:sz w:val="20"/>
                <w:szCs w:val="20"/>
                <w:color w:val="auto"/>
              </w:rPr>
            </w:pPr>
            <w:r>
              <w:rPr>
                <w:rFonts w:ascii="Arial" w:cs="Arial" w:eastAsia="Arial" w:hAnsi="Arial"/>
                <w:sz w:val="13"/>
                <w:szCs w:val="13"/>
                <w:b w:val="1"/>
                <w:bCs w:val="1"/>
                <w:color w:val="0C3471"/>
                <w:w w:val="96"/>
              </w:rPr>
              <w:t>71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-5120640</wp:posOffset>
            </wp:positionV>
            <wp:extent cx="93980" cy="7747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93980" cy="77470"/>
                    </a:xfrm>
                    <a:prstGeom prst="rect">
                      <a:avLst/>
                    </a:prstGeom>
                    <a:noFill/>
                  </pic:spPr>
                </pic:pic>
              </a:graphicData>
            </a:graphic>
          </wp:anchor>
        </w:drawing>
        <w:drawing>
          <wp:anchor simplePos="0" relativeHeight="251657728" behindDoc="1" locked="0" layoutInCell="0" allowOverlap="1">
            <wp:simplePos x="0" y="0"/>
            <wp:positionH relativeFrom="column">
              <wp:posOffset>125095</wp:posOffset>
            </wp:positionH>
            <wp:positionV relativeFrom="paragraph">
              <wp:posOffset>-3028950</wp:posOffset>
            </wp:positionV>
            <wp:extent cx="93980" cy="7747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93980" cy="774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600" w:hanging="574"/>
        <w:spacing w:after="0"/>
        <w:tabs>
          <w:tab w:leader="none" w:pos="600" w:val="left"/>
        </w:tabs>
        <w:numPr>
          <w:ilvl w:val="0"/>
          <w:numId w:val="8"/>
        </w:numPr>
        <w:rPr>
          <w:rFonts w:ascii="Arial" w:cs="Arial" w:eastAsia="Arial" w:hAnsi="Arial"/>
          <w:sz w:val="16"/>
          <w:szCs w:val="16"/>
          <w:b w:val="1"/>
          <w:bCs w:val="1"/>
          <w:color w:val="auto"/>
        </w:rPr>
      </w:pPr>
      <w:r>
        <w:rPr>
          <w:rFonts w:ascii="Arial" w:cs="Arial" w:eastAsia="Arial" w:hAnsi="Arial"/>
          <w:sz w:val="16"/>
          <w:szCs w:val="16"/>
          <w:color w:val="auto"/>
        </w:rPr>
        <w:t xml:space="preserve">Pentair </w:t>
      </w:r>
      <w:r>
        <w:rPr>
          <w:rFonts w:ascii="Arial" w:cs="Arial" w:eastAsia="Arial" w:hAnsi="Arial"/>
          <w:sz w:val="16"/>
          <w:szCs w:val="16"/>
          <w:b w:val="1"/>
          <w:bCs w:val="1"/>
          <w:color w:val="0C3471"/>
        </w:rPr>
        <w:t>|</w:t>
      </w:r>
      <w:r>
        <w:rPr>
          <w:rFonts w:ascii="Arial" w:cs="Arial" w:eastAsia="Arial" w:hAnsi="Arial"/>
          <w:sz w:val="16"/>
          <w:szCs w:val="16"/>
          <w:color w:val="auto"/>
        </w:rPr>
        <w:t xml:space="preserve"> </w:t>
      </w:r>
      <w:r>
        <w:rPr>
          <w:rFonts w:ascii="Arial" w:cs="Arial" w:eastAsia="Arial" w:hAnsi="Arial"/>
          <w:sz w:val="16"/>
          <w:szCs w:val="16"/>
          <w:b w:val="1"/>
          <w:bCs w:val="1"/>
          <w:color w:val="auto"/>
        </w:rPr>
        <w:t>2026 Proxy Statement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9"/>
        </w:trPr>
        <w:tc>
          <w:tcPr>
            <w:tcW w:w="520" w:type="dxa"/>
            <w:vAlign w:val="bottom"/>
            <w:shd w:val="clear" w:color="auto" w:fill="0C3471"/>
          </w:tcPr>
          <w:p>
            <w:pPr>
              <w:spacing w:after="0"/>
              <w:rPr>
                <w:sz w:val="20"/>
                <w:szCs w:val="20"/>
                <w:color w:val="auto"/>
              </w:rPr>
            </w:pPr>
          </w:p>
        </w:tc>
        <w:tc>
          <w:tcPr>
            <w:tcW w:w="4480" w:type="dxa"/>
            <w:vAlign w:val="bottom"/>
            <w:shd w:val="clear" w:color="auto" w:fill="0C3471"/>
          </w:tcPr>
          <w:p>
            <w:pPr>
              <w:ind w:left="20"/>
              <w:spacing w:after="0"/>
              <w:rPr>
                <w:sz w:val="20"/>
                <w:szCs w:val="20"/>
                <w:color w:val="auto"/>
              </w:rPr>
            </w:pPr>
            <w:r>
              <w:rPr>
                <w:rFonts w:ascii="Arial" w:cs="Arial" w:eastAsia="Arial" w:hAnsi="Arial"/>
                <w:sz w:val="13"/>
                <w:szCs w:val="13"/>
                <w:b w:val="1"/>
                <w:bCs w:val="1"/>
                <w:color w:val="FFFFFF"/>
                <w:w w:val="96"/>
              </w:rPr>
              <w:t>PROPOSAL 3 — Ratify, by Nonbinding, Advisory Vote, the Appointment of</w:t>
            </w:r>
          </w:p>
        </w:tc>
        <w:tc>
          <w:tcPr>
            <w:tcW w:w="440" w:type="dxa"/>
            <w:vAlign w:val="bottom"/>
            <w:shd w:val="clear" w:color="auto" w:fill="0C3471"/>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520" w:type="dxa"/>
            <w:vAlign w:val="bottom"/>
            <w:shd w:val="clear" w:color="auto" w:fill="0C3471"/>
          </w:tcPr>
          <w:p>
            <w:pPr>
              <w:spacing w:after="0"/>
              <w:rPr>
                <w:sz w:val="14"/>
                <w:szCs w:val="14"/>
                <w:color w:val="auto"/>
              </w:rPr>
            </w:pPr>
          </w:p>
        </w:tc>
        <w:tc>
          <w:tcPr>
            <w:tcW w:w="4480" w:type="dxa"/>
            <w:vAlign w:val="bottom"/>
            <w:shd w:val="clear" w:color="auto" w:fill="0C3471"/>
          </w:tcPr>
          <w:p>
            <w:pPr>
              <w:ind w:left="20"/>
              <w:spacing w:after="0"/>
              <w:rPr>
                <w:sz w:val="20"/>
                <w:szCs w:val="20"/>
                <w:color w:val="auto"/>
              </w:rPr>
            </w:pPr>
            <w:r>
              <w:rPr>
                <w:rFonts w:ascii="Arial" w:cs="Arial" w:eastAsia="Arial" w:hAnsi="Arial"/>
                <w:sz w:val="13"/>
                <w:szCs w:val="13"/>
                <w:b w:val="1"/>
                <w:bCs w:val="1"/>
                <w:color w:val="FFFFFF"/>
              </w:rPr>
              <w:t>Deloitte &amp; Touche LLP as the Independent Auditor of Pentair plc and to</w:t>
            </w:r>
          </w:p>
        </w:tc>
        <w:tc>
          <w:tcPr>
            <w:tcW w:w="440" w:type="dxa"/>
            <w:vAlign w:val="bottom"/>
            <w:vMerge w:val="restart"/>
            <w:shd w:val="clear" w:color="auto" w:fill="0C3471"/>
          </w:tcPr>
          <w:p>
            <w:pPr>
              <w:jc w:val="center"/>
              <w:spacing w:after="0"/>
              <w:rPr>
                <w:sz w:val="20"/>
                <w:szCs w:val="20"/>
                <w:color w:val="auto"/>
              </w:rPr>
            </w:pPr>
            <w:r>
              <w:rPr>
                <w:rFonts w:ascii="Arial" w:cs="Arial" w:eastAsia="Arial" w:hAnsi="Arial"/>
                <w:sz w:val="13"/>
                <w:szCs w:val="13"/>
                <w:b w:val="1"/>
                <w:bCs w:val="1"/>
                <w:color w:val="FFFFFF"/>
                <w:w w:val="96"/>
              </w:rPr>
              <w:t>75</w:t>
            </w:r>
          </w:p>
        </w:tc>
        <w:tc>
          <w:tcPr>
            <w:tcW w:w="0" w:type="dxa"/>
            <w:vAlign w:val="bottom"/>
          </w:tcPr>
          <w:p>
            <w:pPr>
              <w:spacing w:after="0"/>
              <w:rPr>
                <w:sz w:val="1"/>
                <w:szCs w:val="1"/>
                <w:color w:val="auto"/>
              </w:rPr>
            </w:pPr>
          </w:p>
        </w:tc>
      </w:tr>
      <w:tr>
        <w:trPr>
          <w:trHeight w:val="91"/>
        </w:trPr>
        <w:tc>
          <w:tcPr>
            <w:tcW w:w="520" w:type="dxa"/>
            <w:vAlign w:val="bottom"/>
            <w:shd w:val="clear" w:color="auto" w:fill="0C3471"/>
          </w:tcPr>
          <w:p>
            <w:pPr>
              <w:spacing w:after="0"/>
              <w:rPr>
                <w:sz w:val="7"/>
                <w:szCs w:val="7"/>
                <w:color w:val="auto"/>
              </w:rPr>
            </w:pPr>
          </w:p>
        </w:tc>
        <w:tc>
          <w:tcPr>
            <w:tcW w:w="4480" w:type="dxa"/>
            <w:vAlign w:val="bottom"/>
            <w:vMerge w:val="restart"/>
            <w:shd w:val="clear" w:color="auto" w:fill="0C3471"/>
          </w:tcPr>
          <w:p>
            <w:pPr>
              <w:ind w:left="20"/>
              <w:spacing w:after="0"/>
              <w:rPr>
                <w:sz w:val="20"/>
                <w:szCs w:val="20"/>
                <w:color w:val="auto"/>
              </w:rPr>
            </w:pPr>
            <w:r>
              <w:rPr>
                <w:rFonts w:ascii="Arial" w:cs="Arial" w:eastAsia="Arial" w:hAnsi="Arial"/>
                <w:sz w:val="13"/>
                <w:szCs w:val="13"/>
                <w:b w:val="1"/>
                <w:bCs w:val="1"/>
                <w:color w:val="FFFFFF"/>
              </w:rPr>
              <w:t>Authorize, by Binding Vote, the Audit and Finance Committee of the</w:t>
            </w:r>
          </w:p>
        </w:tc>
        <w:tc>
          <w:tcPr>
            <w:tcW w:w="440" w:type="dxa"/>
            <w:vAlign w:val="bottom"/>
            <w:vMerge w:val="continue"/>
            <w:shd w:val="clear" w:color="auto" w:fill="0C3471"/>
          </w:tcPr>
          <w:p>
            <w:pPr>
              <w:spacing w:after="0"/>
              <w:rPr>
                <w:sz w:val="7"/>
                <w:szCs w:val="7"/>
                <w:color w:val="auto"/>
              </w:rPr>
            </w:pPr>
          </w:p>
        </w:tc>
        <w:tc>
          <w:tcPr>
            <w:tcW w:w="0" w:type="dxa"/>
            <w:vAlign w:val="bottom"/>
          </w:tcPr>
          <w:p>
            <w:pPr>
              <w:spacing w:after="0"/>
              <w:rPr>
                <w:sz w:val="1"/>
                <w:szCs w:val="1"/>
                <w:color w:val="auto"/>
              </w:rPr>
            </w:pPr>
          </w:p>
        </w:tc>
      </w:tr>
      <w:tr>
        <w:trPr>
          <w:trHeight w:val="71"/>
        </w:trPr>
        <w:tc>
          <w:tcPr>
            <w:tcW w:w="520" w:type="dxa"/>
            <w:vAlign w:val="bottom"/>
            <w:shd w:val="clear" w:color="auto" w:fill="0C3471"/>
          </w:tcPr>
          <w:p>
            <w:pPr>
              <w:spacing w:after="0"/>
              <w:rPr>
                <w:sz w:val="6"/>
                <w:szCs w:val="6"/>
                <w:color w:val="auto"/>
              </w:rPr>
            </w:pPr>
          </w:p>
        </w:tc>
        <w:tc>
          <w:tcPr>
            <w:tcW w:w="4480" w:type="dxa"/>
            <w:vAlign w:val="bottom"/>
            <w:vMerge w:val="continue"/>
            <w:shd w:val="clear" w:color="auto" w:fill="0C3471"/>
          </w:tcPr>
          <w:p>
            <w:pPr>
              <w:spacing w:after="0"/>
              <w:rPr>
                <w:sz w:val="6"/>
                <w:szCs w:val="6"/>
                <w:color w:val="auto"/>
              </w:rPr>
            </w:pPr>
          </w:p>
        </w:tc>
        <w:tc>
          <w:tcPr>
            <w:tcW w:w="440" w:type="dxa"/>
            <w:vAlign w:val="bottom"/>
            <w:shd w:val="clear" w:color="auto" w:fill="0C3471"/>
          </w:tcPr>
          <w:p>
            <w:pPr>
              <w:spacing w:after="0"/>
              <w:rPr>
                <w:sz w:val="6"/>
                <w:szCs w:val="6"/>
                <w:color w:val="auto"/>
              </w:rPr>
            </w:pPr>
          </w:p>
        </w:tc>
        <w:tc>
          <w:tcPr>
            <w:tcW w:w="0" w:type="dxa"/>
            <w:vAlign w:val="bottom"/>
          </w:tcPr>
          <w:p>
            <w:pPr>
              <w:spacing w:after="0"/>
              <w:rPr>
                <w:sz w:val="1"/>
                <w:szCs w:val="1"/>
                <w:color w:val="auto"/>
              </w:rPr>
            </w:pPr>
          </w:p>
        </w:tc>
      </w:tr>
      <w:tr>
        <w:trPr>
          <w:trHeight w:val="172"/>
        </w:trPr>
        <w:tc>
          <w:tcPr>
            <w:tcW w:w="520" w:type="dxa"/>
            <w:vAlign w:val="bottom"/>
            <w:shd w:val="clear" w:color="auto" w:fill="0C3471"/>
          </w:tcPr>
          <w:p>
            <w:pPr>
              <w:spacing w:after="0"/>
              <w:rPr>
                <w:sz w:val="14"/>
                <w:szCs w:val="14"/>
                <w:color w:val="auto"/>
              </w:rPr>
            </w:pPr>
          </w:p>
        </w:tc>
        <w:tc>
          <w:tcPr>
            <w:tcW w:w="4480" w:type="dxa"/>
            <w:vAlign w:val="bottom"/>
            <w:shd w:val="clear" w:color="auto" w:fill="0C3471"/>
          </w:tcPr>
          <w:p>
            <w:pPr>
              <w:ind w:left="20"/>
              <w:spacing w:after="0"/>
              <w:rPr>
                <w:sz w:val="20"/>
                <w:szCs w:val="20"/>
                <w:color w:val="auto"/>
              </w:rPr>
            </w:pPr>
            <w:r>
              <w:rPr>
                <w:rFonts w:ascii="Arial" w:cs="Arial" w:eastAsia="Arial" w:hAnsi="Arial"/>
                <w:sz w:val="13"/>
                <w:szCs w:val="13"/>
                <w:b w:val="1"/>
                <w:bCs w:val="1"/>
                <w:color w:val="FFFFFF"/>
              </w:rPr>
              <w:t>Board of Directors to Set the Auditor’s Remuneration</w:t>
            </w:r>
          </w:p>
        </w:tc>
        <w:tc>
          <w:tcPr>
            <w:tcW w:w="440" w:type="dxa"/>
            <w:vAlign w:val="bottom"/>
            <w:shd w:val="clear" w:color="auto" w:fill="0C3471"/>
          </w:tcPr>
          <w:p>
            <w:pPr>
              <w:spacing w:after="0"/>
              <w:rPr>
                <w:sz w:val="14"/>
                <w:szCs w:val="14"/>
                <w:color w:val="auto"/>
              </w:rPr>
            </w:pPr>
          </w:p>
        </w:tc>
        <w:tc>
          <w:tcPr>
            <w:tcW w:w="0" w:type="dxa"/>
            <w:vAlign w:val="bottom"/>
          </w:tcPr>
          <w:p>
            <w:pPr>
              <w:spacing w:after="0"/>
              <w:rPr>
                <w:sz w:val="1"/>
                <w:szCs w:val="1"/>
                <w:color w:val="auto"/>
              </w:rPr>
            </w:pPr>
          </w:p>
        </w:tc>
      </w:tr>
      <w:tr>
        <w:trPr>
          <w:trHeight w:val="89"/>
        </w:trPr>
        <w:tc>
          <w:tcPr>
            <w:tcW w:w="520" w:type="dxa"/>
            <w:vAlign w:val="bottom"/>
            <w:shd w:val="clear" w:color="auto" w:fill="0C3471"/>
          </w:tcPr>
          <w:p>
            <w:pPr>
              <w:spacing w:after="0"/>
              <w:rPr>
                <w:sz w:val="7"/>
                <w:szCs w:val="7"/>
                <w:color w:val="auto"/>
              </w:rPr>
            </w:pPr>
          </w:p>
        </w:tc>
        <w:tc>
          <w:tcPr>
            <w:tcW w:w="4480" w:type="dxa"/>
            <w:vAlign w:val="bottom"/>
            <w:shd w:val="clear" w:color="auto" w:fill="0C3471"/>
          </w:tcPr>
          <w:p>
            <w:pPr>
              <w:spacing w:after="0"/>
              <w:rPr>
                <w:sz w:val="7"/>
                <w:szCs w:val="7"/>
                <w:color w:val="auto"/>
              </w:rPr>
            </w:pPr>
          </w:p>
        </w:tc>
        <w:tc>
          <w:tcPr>
            <w:tcW w:w="440" w:type="dxa"/>
            <w:vAlign w:val="bottom"/>
            <w:shd w:val="clear" w:color="auto" w:fill="0C3471"/>
          </w:tcPr>
          <w:p>
            <w:pPr>
              <w:spacing w:after="0"/>
              <w:rPr>
                <w:sz w:val="7"/>
                <w:szCs w:val="7"/>
                <w:color w:val="auto"/>
              </w:rPr>
            </w:pPr>
          </w:p>
        </w:tc>
        <w:tc>
          <w:tcPr>
            <w:tcW w:w="0" w:type="dxa"/>
            <w:vAlign w:val="bottom"/>
          </w:tcPr>
          <w:p>
            <w:pPr>
              <w:spacing w:after="0"/>
              <w:rPr>
                <w:sz w:val="1"/>
                <w:szCs w:val="1"/>
                <w:color w:val="auto"/>
              </w:rPr>
            </w:pPr>
          </w:p>
        </w:tc>
      </w:tr>
      <w:tr>
        <w:trPr>
          <w:trHeight w:val="289"/>
        </w:trPr>
        <w:tc>
          <w:tcPr>
            <w:tcW w:w="5000" w:type="dxa"/>
            <w:vAlign w:val="bottom"/>
            <w:gridSpan w:val="2"/>
          </w:tcPr>
          <w:p>
            <w:pPr>
              <w:ind w:left="20"/>
              <w:spacing w:after="0"/>
              <w:rPr>
                <w:sz w:val="20"/>
                <w:szCs w:val="20"/>
                <w:color w:val="auto"/>
              </w:rPr>
            </w:pPr>
            <w:r>
              <w:rPr>
                <w:rFonts w:ascii="Arial" w:cs="Arial" w:eastAsia="Arial" w:hAnsi="Arial"/>
                <w:sz w:val="13"/>
                <w:szCs w:val="13"/>
                <w:b w:val="1"/>
                <w:bCs w:val="1"/>
                <w:color w:val="0C3471"/>
              </w:rPr>
              <w:t>Audit Matters</w:t>
            </w:r>
          </w:p>
        </w:tc>
        <w:tc>
          <w:tcPr>
            <w:tcW w:w="440" w:type="dxa"/>
            <w:vAlign w:val="bottom"/>
          </w:tcPr>
          <w:p>
            <w:pPr>
              <w:jc w:val="center"/>
              <w:spacing w:after="0"/>
              <w:rPr>
                <w:sz w:val="20"/>
                <w:szCs w:val="20"/>
                <w:color w:val="auto"/>
              </w:rPr>
            </w:pPr>
            <w:r>
              <w:rPr>
                <w:rFonts w:ascii="Arial" w:cs="Arial" w:eastAsia="Arial" w:hAnsi="Arial"/>
                <w:sz w:val="13"/>
                <w:szCs w:val="13"/>
                <w:b w:val="1"/>
                <w:bCs w:val="1"/>
                <w:color w:val="0C3471"/>
                <w:w w:val="96"/>
              </w:rPr>
              <w:t>76</w:t>
            </w:r>
          </w:p>
        </w:tc>
        <w:tc>
          <w:tcPr>
            <w:tcW w:w="0" w:type="dxa"/>
            <w:vAlign w:val="bottom"/>
          </w:tcPr>
          <w:p>
            <w:pPr>
              <w:spacing w:after="0"/>
              <w:rPr>
                <w:sz w:val="1"/>
                <w:szCs w:val="1"/>
                <w:color w:val="auto"/>
              </w:rPr>
            </w:pPr>
          </w:p>
        </w:tc>
      </w:tr>
      <w:tr>
        <w:trPr>
          <w:trHeight w:val="210"/>
        </w:trPr>
        <w:tc>
          <w:tcPr>
            <w:tcW w:w="520" w:type="dxa"/>
            <w:vAlign w:val="bottom"/>
          </w:tcPr>
          <w:p>
            <w:pPr>
              <w:spacing w:after="0"/>
              <w:rPr>
                <w:sz w:val="18"/>
                <w:szCs w:val="18"/>
                <w:color w:val="auto"/>
              </w:rPr>
            </w:pPr>
          </w:p>
        </w:tc>
        <w:tc>
          <w:tcPr>
            <w:tcW w:w="4480" w:type="dxa"/>
            <w:vAlign w:val="bottom"/>
          </w:tcPr>
          <w:p>
            <w:pPr>
              <w:ind w:left="20"/>
              <w:spacing w:after="0"/>
              <w:rPr>
                <w:sz w:val="20"/>
                <w:szCs w:val="20"/>
                <w:color w:val="auto"/>
              </w:rPr>
            </w:pPr>
            <w:r>
              <w:rPr>
                <w:rFonts w:ascii="Arial" w:cs="Arial" w:eastAsia="Arial" w:hAnsi="Arial"/>
                <w:sz w:val="13"/>
                <w:szCs w:val="13"/>
                <w:color w:val="auto"/>
              </w:rPr>
              <w:t>Audit and Finance Committee Pre-approval Policy</w:t>
            </w:r>
          </w:p>
        </w:tc>
        <w:tc>
          <w:tcPr>
            <w:tcW w:w="440" w:type="dxa"/>
            <w:vAlign w:val="bottom"/>
          </w:tcPr>
          <w:p>
            <w:pPr>
              <w:jc w:val="center"/>
              <w:spacing w:after="0"/>
              <w:rPr>
                <w:sz w:val="20"/>
                <w:szCs w:val="20"/>
                <w:color w:val="auto"/>
              </w:rPr>
            </w:pPr>
            <w:r>
              <w:rPr>
                <w:rFonts w:ascii="Arial" w:cs="Arial" w:eastAsia="Arial" w:hAnsi="Arial"/>
                <w:sz w:val="13"/>
                <w:szCs w:val="13"/>
                <w:color w:val="auto"/>
                <w:w w:val="96"/>
              </w:rPr>
              <w:t>76</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4480" w:type="dxa"/>
            <w:vAlign w:val="bottom"/>
          </w:tcPr>
          <w:p>
            <w:pPr>
              <w:ind w:left="20"/>
              <w:spacing w:after="0"/>
              <w:rPr>
                <w:sz w:val="20"/>
                <w:szCs w:val="20"/>
                <w:color w:val="auto"/>
              </w:rPr>
            </w:pPr>
            <w:r>
              <w:rPr>
                <w:rFonts w:ascii="Arial" w:cs="Arial" w:eastAsia="Arial" w:hAnsi="Arial"/>
                <w:sz w:val="13"/>
                <w:szCs w:val="13"/>
                <w:color w:val="auto"/>
              </w:rPr>
              <w:t>Fees Paid to the Independent Auditors</w:t>
            </w:r>
          </w:p>
        </w:tc>
        <w:tc>
          <w:tcPr>
            <w:tcW w:w="440" w:type="dxa"/>
            <w:vAlign w:val="bottom"/>
          </w:tcPr>
          <w:p>
            <w:pPr>
              <w:jc w:val="center"/>
              <w:spacing w:after="0"/>
              <w:rPr>
                <w:sz w:val="20"/>
                <w:szCs w:val="20"/>
                <w:color w:val="auto"/>
              </w:rPr>
            </w:pPr>
            <w:r>
              <w:rPr>
                <w:rFonts w:ascii="Arial" w:cs="Arial" w:eastAsia="Arial" w:hAnsi="Arial"/>
                <w:sz w:val="13"/>
                <w:szCs w:val="13"/>
                <w:color w:val="auto"/>
                <w:w w:val="96"/>
              </w:rPr>
              <w:t>76</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4480" w:type="dxa"/>
            <w:vAlign w:val="bottom"/>
          </w:tcPr>
          <w:p>
            <w:pPr>
              <w:ind w:left="20"/>
              <w:spacing w:after="0"/>
              <w:rPr>
                <w:sz w:val="20"/>
                <w:szCs w:val="20"/>
                <w:color w:val="auto"/>
              </w:rPr>
            </w:pPr>
            <w:r>
              <w:rPr>
                <w:rFonts w:ascii="Arial" w:cs="Arial" w:eastAsia="Arial" w:hAnsi="Arial"/>
                <w:sz w:val="13"/>
                <w:szCs w:val="13"/>
                <w:color w:val="auto"/>
              </w:rPr>
              <w:t>Audit and Finance Committee Report</w:t>
            </w:r>
          </w:p>
        </w:tc>
        <w:tc>
          <w:tcPr>
            <w:tcW w:w="440" w:type="dxa"/>
            <w:vAlign w:val="bottom"/>
          </w:tcPr>
          <w:p>
            <w:pPr>
              <w:jc w:val="center"/>
              <w:spacing w:after="0"/>
              <w:rPr>
                <w:sz w:val="20"/>
                <w:szCs w:val="20"/>
                <w:color w:val="auto"/>
              </w:rPr>
            </w:pPr>
            <w:r>
              <w:rPr>
                <w:rFonts w:ascii="Arial" w:cs="Arial" w:eastAsia="Arial" w:hAnsi="Arial"/>
                <w:sz w:val="13"/>
                <w:szCs w:val="13"/>
                <w:color w:val="auto"/>
                <w:w w:val="96"/>
              </w:rPr>
              <w:t>77</w:t>
            </w:r>
          </w:p>
        </w:tc>
        <w:tc>
          <w:tcPr>
            <w:tcW w:w="0" w:type="dxa"/>
            <w:vAlign w:val="bottom"/>
          </w:tcPr>
          <w:p>
            <w:pPr>
              <w:spacing w:after="0"/>
              <w:rPr>
                <w:sz w:val="1"/>
                <w:szCs w:val="1"/>
                <w:color w:val="auto"/>
              </w:rPr>
            </w:pPr>
          </w:p>
        </w:tc>
      </w:tr>
      <w:tr>
        <w:trPr>
          <w:trHeight w:val="122"/>
        </w:trPr>
        <w:tc>
          <w:tcPr>
            <w:tcW w:w="520" w:type="dxa"/>
            <w:vAlign w:val="bottom"/>
          </w:tcPr>
          <w:p>
            <w:pPr>
              <w:spacing w:after="0"/>
              <w:rPr>
                <w:sz w:val="10"/>
                <w:szCs w:val="10"/>
                <w:color w:val="auto"/>
              </w:rPr>
            </w:pPr>
          </w:p>
        </w:tc>
        <w:tc>
          <w:tcPr>
            <w:tcW w:w="44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9"/>
        </w:trPr>
        <w:tc>
          <w:tcPr>
            <w:tcW w:w="520" w:type="dxa"/>
            <w:vAlign w:val="bottom"/>
            <w:shd w:val="clear" w:color="auto" w:fill="0C3471"/>
          </w:tcPr>
          <w:p>
            <w:pPr>
              <w:spacing w:after="0"/>
              <w:rPr>
                <w:sz w:val="20"/>
                <w:szCs w:val="20"/>
                <w:color w:val="auto"/>
              </w:rPr>
            </w:pPr>
          </w:p>
        </w:tc>
        <w:tc>
          <w:tcPr>
            <w:tcW w:w="4480" w:type="dxa"/>
            <w:vAlign w:val="bottom"/>
            <w:shd w:val="clear" w:color="auto" w:fill="0C3471"/>
          </w:tcPr>
          <w:p>
            <w:pPr>
              <w:ind w:left="20"/>
              <w:spacing w:after="0"/>
              <w:rPr>
                <w:sz w:val="20"/>
                <w:szCs w:val="20"/>
                <w:color w:val="auto"/>
              </w:rPr>
            </w:pPr>
            <w:r>
              <w:rPr>
                <w:rFonts w:ascii="Arial" w:cs="Arial" w:eastAsia="Arial" w:hAnsi="Arial"/>
                <w:sz w:val="13"/>
                <w:szCs w:val="13"/>
                <w:b w:val="1"/>
                <w:bCs w:val="1"/>
                <w:color w:val="FFFFFF"/>
              </w:rPr>
              <w:t>PROPOSAL 4 — Authorize the Board of Directors to Allot New Shares</w:t>
            </w:r>
          </w:p>
        </w:tc>
        <w:tc>
          <w:tcPr>
            <w:tcW w:w="440" w:type="dxa"/>
            <w:vAlign w:val="bottom"/>
            <w:vMerge w:val="restart"/>
            <w:shd w:val="clear" w:color="auto" w:fill="0C3471"/>
          </w:tcPr>
          <w:p>
            <w:pPr>
              <w:jc w:val="center"/>
              <w:spacing w:after="0"/>
              <w:rPr>
                <w:sz w:val="20"/>
                <w:szCs w:val="20"/>
                <w:color w:val="auto"/>
              </w:rPr>
            </w:pPr>
            <w:r>
              <w:rPr>
                <w:rFonts w:ascii="Arial" w:cs="Arial" w:eastAsia="Arial" w:hAnsi="Arial"/>
                <w:sz w:val="13"/>
                <w:szCs w:val="13"/>
                <w:b w:val="1"/>
                <w:bCs w:val="1"/>
                <w:color w:val="FFFFFF"/>
                <w:w w:val="96"/>
              </w:rPr>
              <w:t>78</w:t>
            </w:r>
          </w:p>
        </w:tc>
        <w:tc>
          <w:tcPr>
            <w:tcW w:w="0" w:type="dxa"/>
            <w:vAlign w:val="bottom"/>
          </w:tcPr>
          <w:p>
            <w:pPr>
              <w:spacing w:after="0"/>
              <w:rPr>
                <w:sz w:val="1"/>
                <w:szCs w:val="1"/>
                <w:color w:val="auto"/>
              </w:rPr>
            </w:pPr>
          </w:p>
        </w:tc>
      </w:tr>
      <w:tr>
        <w:trPr>
          <w:trHeight w:val="91"/>
        </w:trPr>
        <w:tc>
          <w:tcPr>
            <w:tcW w:w="520" w:type="dxa"/>
            <w:vAlign w:val="bottom"/>
            <w:shd w:val="clear" w:color="auto" w:fill="0C3471"/>
          </w:tcPr>
          <w:p>
            <w:pPr>
              <w:spacing w:after="0"/>
              <w:rPr>
                <w:sz w:val="7"/>
                <w:szCs w:val="7"/>
                <w:color w:val="auto"/>
              </w:rPr>
            </w:pPr>
          </w:p>
        </w:tc>
        <w:tc>
          <w:tcPr>
            <w:tcW w:w="4480" w:type="dxa"/>
            <w:vAlign w:val="bottom"/>
            <w:vMerge w:val="restart"/>
            <w:shd w:val="clear" w:color="auto" w:fill="0C3471"/>
          </w:tcPr>
          <w:p>
            <w:pPr>
              <w:ind w:left="20"/>
              <w:spacing w:after="0"/>
              <w:rPr>
                <w:sz w:val="20"/>
                <w:szCs w:val="20"/>
                <w:color w:val="auto"/>
              </w:rPr>
            </w:pPr>
            <w:r>
              <w:rPr>
                <w:rFonts w:ascii="Arial" w:cs="Arial" w:eastAsia="Arial" w:hAnsi="Arial"/>
                <w:sz w:val="13"/>
                <w:szCs w:val="13"/>
                <w:b w:val="1"/>
                <w:bCs w:val="1"/>
                <w:color w:val="FFFFFF"/>
              </w:rPr>
              <w:t>Under Irish Law</w:t>
            </w:r>
          </w:p>
        </w:tc>
        <w:tc>
          <w:tcPr>
            <w:tcW w:w="440" w:type="dxa"/>
            <w:vAlign w:val="bottom"/>
            <w:vMerge w:val="continue"/>
            <w:shd w:val="clear" w:color="auto" w:fill="0C3471"/>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520" w:type="dxa"/>
            <w:vAlign w:val="bottom"/>
            <w:shd w:val="clear" w:color="auto" w:fill="0C3471"/>
          </w:tcPr>
          <w:p>
            <w:pPr>
              <w:spacing w:after="0"/>
              <w:rPr>
                <w:sz w:val="7"/>
                <w:szCs w:val="7"/>
                <w:color w:val="auto"/>
              </w:rPr>
            </w:pPr>
          </w:p>
        </w:tc>
        <w:tc>
          <w:tcPr>
            <w:tcW w:w="4480" w:type="dxa"/>
            <w:vAlign w:val="bottom"/>
            <w:vMerge w:val="continue"/>
            <w:shd w:val="clear" w:color="auto" w:fill="0C3471"/>
          </w:tcPr>
          <w:p>
            <w:pPr>
              <w:spacing w:after="0"/>
              <w:rPr>
                <w:sz w:val="7"/>
                <w:szCs w:val="7"/>
                <w:color w:val="auto"/>
              </w:rPr>
            </w:pPr>
          </w:p>
        </w:tc>
        <w:tc>
          <w:tcPr>
            <w:tcW w:w="440" w:type="dxa"/>
            <w:vAlign w:val="bottom"/>
            <w:shd w:val="clear" w:color="auto" w:fill="0C3471"/>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520" w:type="dxa"/>
            <w:vAlign w:val="bottom"/>
            <w:shd w:val="clear" w:color="auto" w:fill="0C3471"/>
          </w:tcPr>
          <w:p>
            <w:pPr>
              <w:spacing w:after="0"/>
              <w:rPr>
                <w:sz w:val="6"/>
                <w:szCs w:val="6"/>
                <w:color w:val="auto"/>
              </w:rPr>
            </w:pPr>
          </w:p>
        </w:tc>
        <w:tc>
          <w:tcPr>
            <w:tcW w:w="4480" w:type="dxa"/>
            <w:vAlign w:val="bottom"/>
            <w:shd w:val="clear" w:color="auto" w:fill="0C3471"/>
          </w:tcPr>
          <w:p>
            <w:pPr>
              <w:spacing w:after="0"/>
              <w:rPr>
                <w:sz w:val="6"/>
                <w:szCs w:val="6"/>
                <w:color w:val="auto"/>
              </w:rPr>
            </w:pPr>
          </w:p>
        </w:tc>
        <w:tc>
          <w:tcPr>
            <w:tcW w:w="440" w:type="dxa"/>
            <w:vAlign w:val="bottom"/>
            <w:shd w:val="clear" w:color="auto" w:fill="0C3471"/>
          </w:tcPr>
          <w:p>
            <w:pPr>
              <w:spacing w:after="0"/>
              <w:rPr>
                <w:sz w:val="6"/>
                <w:szCs w:val="6"/>
                <w:color w:val="auto"/>
              </w:rPr>
            </w:pPr>
          </w:p>
        </w:tc>
        <w:tc>
          <w:tcPr>
            <w:tcW w:w="0" w:type="dxa"/>
            <w:vAlign w:val="bottom"/>
          </w:tcPr>
          <w:p>
            <w:pPr>
              <w:spacing w:after="0"/>
              <w:rPr>
                <w:sz w:val="1"/>
                <w:szCs w:val="1"/>
                <w:color w:val="auto"/>
              </w:rPr>
            </w:pPr>
          </w:p>
        </w:tc>
      </w:tr>
      <w:tr>
        <w:trPr>
          <w:trHeight w:val="95"/>
        </w:trPr>
        <w:tc>
          <w:tcPr>
            <w:tcW w:w="520" w:type="dxa"/>
            <w:vAlign w:val="bottom"/>
          </w:tcPr>
          <w:p>
            <w:pPr>
              <w:spacing w:after="0"/>
              <w:rPr>
                <w:sz w:val="8"/>
                <w:szCs w:val="8"/>
                <w:color w:val="auto"/>
              </w:rPr>
            </w:pPr>
          </w:p>
        </w:tc>
        <w:tc>
          <w:tcPr>
            <w:tcW w:w="4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9"/>
        </w:trPr>
        <w:tc>
          <w:tcPr>
            <w:tcW w:w="520" w:type="dxa"/>
            <w:vAlign w:val="bottom"/>
            <w:shd w:val="clear" w:color="auto" w:fill="0C3471"/>
          </w:tcPr>
          <w:p>
            <w:pPr>
              <w:spacing w:after="0"/>
              <w:rPr>
                <w:sz w:val="20"/>
                <w:szCs w:val="20"/>
                <w:color w:val="auto"/>
              </w:rPr>
            </w:pPr>
          </w:p>
        </w:tc>
        <w:tc>
          <w:tcPr>
            <w:tcW w:w="4480" w:type="dxa"/>
            <w:vAlign w:val="bottom"/>
            <w:shd w:val="clear" w:color="auto" w:fill="0C3471"/>
          </w:tcPr>
          <w:p>
            <w:pPr>
              <w:ind w:left="20"/>
              <w:spacing w:after="0"/>
              <w:rPr>
                <w:sz w:val="20"/>
                <w:szCs w:val="20"/>
                <w:color w:val="auto"/>
              </w:rPr>
            </w:pPr>
            <w:r>
              <w:rPr>
                <w:rFonts w:ascii="Arial" w:cs="Arial" w:eastAsia="Arial" w:hAnsi="Arial"/>
                <w:sz w:val="13"/>
                <w:szCs w:val="13"/>
                <w:b w:val="1"/>
                <w:bCs w:val="1"/>
                <w:color w:val="FFFFFF"/>
                <w:w w:val="98"/>
              </w:rPr>
              <w:t>PROPOSAL 5 — Authorize the Board of Directors to Opt-Out of Statutory</w:t>
            </w:r>
          </w:p>
        </w:tc>
        <w:tc>
          <w:tcPr>
            <w:tcW w:w="440" w:type="dxa"/>
            <w:vAlign w:val="bottom"/>
            <w:vMerge w:val="restart"/>
            <w:shd w:val="clear" w:color="auto" w:fill="0C3471"/>
          </w:tcPr>
          <w:p>
            <w:pPr>
              <w:jc w:val="center"/>
              <w:spacing w:after="0"/>
              <w:rPr>
                <w:sz w:val="20"/>
                <w:szCs w:val="20"/>
                <w:color w:val="auto"/>
              </w:rPr>
            </w:pPr>
            <w:r>
              <w:rPr>
                <w:rFonts w:ascii="Arial" w:cs="Arial" w:eastAsia="Arial" w:hAnsi="Arial"/>
                <w:sz w:val="13"/>
                <w:szCs w:val="13"/>
                <w:b w:val="1"/>
                <w:bCs w:val="1"/>
                <w:color w:val="FFFFFF"/>
                <w:w w:val="96"/>
              </w:rPr>
              <w:t>79</w:t>
            </w:r>
          </w:p>
        </w:tc>
        <w:tc>
          <w:tcPr>
            <w:tcW w:w="0" w:type="dxa"/>
            <w:vAlign w:val="bottom"/>
          </w:tcPr>
          <w:p>
            <w:pPr>
              <w:spacing w:after="0"/>
              <w:rPr>
                <w:sz w:val="1"/>
                <w:szCs w:val="1"/>
                <w:color w:val="auto"/>
              </w:rPr>
            </w:pPr>
          </w:p>
        </w:tc>
      </w:tr>
      <w:tr>
        <w:trPr>
          <w:trHeight w:val="91"/>
        </w:trPr>
        <w:tc>
          <w:tcPr>
            <w:tcW w:w="520" w:type="dxa"/>
            <w:vAlign w:val="bottom"/>
            <w:shd w:val="clear" w:color="auto" w:fill="0C3471"/>
          </w:tcPr>
          <w:p>
            <w:pPr>
              <w:spacing w:after="0"/>
              <w:rPr>
                <w:sz w:val="7"/>
                <w:szCs w:val="7"/>
                <w:color w:val="auto"/>
              </w:rPr>
            </w:pPr>
          </w:p>
        </w:tc>
        <w:tc>
          <w:tcPr>
            <w:tcW w:w="4480" w:type="dxa"/>
            <w:vAlign w:val="bottom"/>
            <w:vMerge w:val="restart"/>
            <w:shd w:val="clear" w:color="auto" w:fill="0C3471"/>
          </w:tcPr>
          <w:p>
            <w:pPr>
              <w:ind w:left="20"/>
              <w:spacing w:after="0"/>
              <w:rPr>
                <w:sz w:val="20"/>
                <w:szCs w:val="20"/>
                <w:color w:val="auto"/>
              </w:rPr>
            </w:pPr>
            <w:r>
              <w:rPr>
                <w:rFonts w:ascii="Arial" w:cs="Arial" w:eastAsia="Arial" w:hAnsi="Arial"/>
                <w:sz w:val="13"/>
                <w:szCs w:val="13"/>
                <w:b w:val="1"/>
                <w:bCs w:val="1"/>
                <w:color w:val="FFFFFF"/>
              </w:rPr>
              <w:t>Preemption Rights Under Irish Law</w:t>
            </w:r>
          </w:p>
        </w:tc>
        <w:tc>
          <w:tcPr>
            <w:tcW w:w="440" w:type="dxa"/>
            <w:vAlign w:val="bottom"/>
            <w:vMerge w:val="continue"/>
            <w:shd w:val="clear" w:color="auto" w:fill="0C3471"/>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520" w:type="dxa"/>
            <w:vAlign w:val="bottom"/>
            <w:shd w:val="clear" w:color="auto" w:fill="0C3471"/>
          </w:tcPr>
          <w:p>
            <w:pPr>
              <w:spacing w:after="0"/>
              <w:rPr>
                <w:sz w:val="7"/>
                <w:szCs w:val="7"/>
                <w:color w:val="auto"/>
              </w:rPr>
            </w:pPr>
          </w:p>
        </w:tc>
        <w:tc>
          <w:tcPr>
            <w:tcW w:w="4480" w:type="dxa"/>
            <w:vAlign w:val="bottom"/>
            <w:vMerge w:val="continue"/>
            <w:shd w:val="clear" w:color="auto" w:fill="0C3471"/>
          </w:tcPr>
          <w:p>
            <w:pPr>
              <w:spacing w:after="0"/>
              <w:rPr>
                <w:sz w:val="7"/>
                <w:szCs w:val="7"/>
                <w:color w:val="auto"/>
              </w:rPr>
            </w:pPr>
          </w:p>
        </w:tc>
        <w:tc>
          <w:tcPr>
            <w:tcW w:w="440" w:type="dxa"/>
            <w:vAlign w:val="bottom"/>
            <w:shd w:val="clear" w:color="auto" w:fill="0C3471"/>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520" w:type="dxa"/>
            <w:vAlign w:val="bottom"/>
            <w:shd w:val="clear" w:color="auto" w:fill="0C3471"/>
          </w:tcPr>
          <w:p>
            <w:pPr>
              <w:spacing w:after="0"/>
              <w:rPr>
                <w:sz w:val="6"/>
                <w:szCs w:val="6"/>
                <w:color w:val="auto"/>
              </w:rPr>
            </w:pPr>
          </w:p>
        </w:tc>
        <w:tc>
          <w:tcPr>
            <w:tcW w:w="4480" w:type="dxa"/>
            <w:vAlign w:val="bottom"/>
            <w:shd w:val="clear" w:color="auto" w:fill="0C3471"/>
          </w:tcPr>
          <w:p>
            <w:pPr>
              <w:spacing w:after="0"/>
              <w:rPr>
                <w:sz w:val="6"/>
                <w:szCs w:val="6"/>
                <w:color w:val="auto"/>
              </w:rPr>
            </w:pPr>
          </w:p>
        </w:tc>
        <w:tc>
          <w:tcPr>
            <w:tcW w:w="440" w:type="dxa"/>
            <w:vAlign w:val="bottom"/>
            <w:shd w:val="clear" w:color="auto" w:fill="0C3471"/>
          </w:tcPr>
          <w:p>
            <w:pPr>
              <w:spacing w:after="0"/>
              <w:rPr>
                <w:sz w:val="6"/>
                <w:szCs w:val="6"/>
                <w:color w:val="auto"/>
              </w:rPr>
            </w:pPr>
          </w:p>
        </w:tc>
        <w:tc>
          <w:tcPr>
            <w:tcW w:w="0" w:type="dxa"/>
            <w:vAlign w:val="bottom"/>
          </w:tcPr>
          <w:p>
            <w:pPr>
              <w:spacing w:after="0"/>
              <w:rPr>
                <w:sz w:val="1"/>
                <w:szCs w:val="1"/>
                <w:color w:val="auto"/>
              </w:rPr>
            </w:pPr>
          </w:p>
        </w:tc>
      </w:tr>
      <w:tr>
        <w:trPr>
          <w:trHeight w:val="94"/>
        </w:trPr>
        <w:tc>
          <w:tcPr>
            <w:tcW w:w="520" w:type="dxa"/>
            <w:vAlign w:val="bottom"/>
          </w:tcPr>
          <w:p>
            <w:pPr>
              <w:spacing w:after="0"/>
              <w:rPr>
                <w:sz w:val="8"/>
                <w:szCs w:val="8"/>
                <w:color w:val="auto"/>
              </w:rPr>
            </w:pPr>
          </w:p>
        </w:tc>
        <w:tc>
          <w:tcPr>
            <w:tcW w:w="4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9"/>
        </w:trPr>
        <w:tc>
          <w:tcPr>
            <w:tcW w:w="520" w:type="dxa"/>
            <w:vAlign w:val="bottom"/>
            <w:shd w:val="clear" w:color="auto" w:fill="0C3471"/>
          </w:tcPr>
          <w:p>
            <w:pPr>
              <w:spacing w:after="0"/>
              <w:rPr>
                <w:sz w:val="20"/>
                <w:szCs w:val="20"/>
                <w:color w:val="auto"/>
              </w:rPr>
            </w:pPr>
          </w:p>
        </w:tc>
        <w:tc>
          <w:tcPr>
            <w:tcW w:w="4480" w:type="dxa"/>
            <w:vAlign w:val="bottom"/>
            <w:shd w:val="clear" w:color="auto" w:fill="0C3471"/>
          </w:tcPr>
          <w:p>
            <w:pPr>
              <w:ind w:left="20"/>
              <w:spacing w:after="0"/>
              <w:rPr>
                <w:sz w:val="20"/>
                <w:szCs w:val="20"/>
                <w:color w:val="auto"/>
              </w:rPr>
            </w:pPr>
            <w:r>
              <w:rPr>
                <w:rFonts w:ascii="Arial" w:cs="Arial" w:eastAsia="Arial" w:hAnsi="Arial"/>
                <w:sz w:val="13"/>
                <w:szCs w:val="13"/>
                <w:b w:val="1"/>
                <w:bCs w:val="1"/>
                <w:color w:val="FFFFFF"/>
                <w:w w:val="99"/>
              </w:rPr>
              <w:t>PROPOSAL 6 — Authorize the Price Range at Which Pentair plc can Re-</w:t>
            </w:r>
          </w:p>
        </w:tc>
        <w:tc>
          <w:tcPr>
            <w:tcW w:w="440" w:type="dxa"/>
            <w:vAlign w:val="bottom"/>
            <w:vMerge w:val="restart"/>
            <w:shd w:val="clear" w:color="auto" w:fill="0C3471"/>
          </w:tcPr>
          <w:p>
            <w:pPr>
              <w:jc w:val="center"/>
              <w:spacing w:after="0"/>
              <w:rPr>
                <w:sz w:val="20"/>
                <w:szCs w:val="20"/>
                <w:color w:val="auto"/>
              </w:rPr>
            </w:pPr>
            <w:r>
              <w:rPr>
                <w:rFonts w:ascii="Arial" w:cs="Arial" w:eastAsia="Arial" w:hAnsi="Arial"/>
                <w:sz w:val="13"/>
                <w:szCs w:val="13"/>
                <w:b w:val="1"/>
                <w:bCs w:val="1"/>
                <w:color w:val="FFFFFF"/>
                <w:w w:val="96"/>
              </w:rPr>
              <w:t>80</w:t>
            </w:r>
          </w:p>
        </w:tc>
        <w:tc>
          <w:tcPr>
            <w:tcW w:w="0" w:type="dxa"/>
            <w:vAlign w:val="bottom"/>
          </w:tcPr>
          <w:p>
            <w:pPr>
              <w:spacing w:after="0"/>
              <w:rPr>
                <w:sz w:val="1"/>
                <w:szCs w:val="1"/>
                <w:color w:val="auto"/>
              </w:rPr>
            </w:pPr>
          </w:p>
        </w:tc>
      </w:tr>
      <w:tr>
        <w:trPr>
          <w:trHeight w:val="91"/>
        </w:trPr>
        <w:tc>
          <w:tcPr>
            <w:tcW w:w="520" w:type="dxa"/>
            <w:vAlign w:val="bottom"/>
            <w:shd w:val="clear" w:color="auto" w:fill="0C3471"/>
          </w:tcPr>
          <w:p>
            <w:pPr>
              <w:spacing w:after="0"/>
              <w:rPr>
                <w:sz w:val="7"/>
                <w:szCs w:val="7"/>
                <w:color w:val="auto"/>
              </w:rPr>
            </w:pPr>
          </w:p>
        </w:tc>
        <w:tc>
          <w:tcPr>
            <w:tcW w:w="4480" w:type="dxa"/>
            <w:vAlign w:val="bottom"/>
            <w:vMerge w:val="restart"/>
            <w:shd w:val="clear" w:color="auto" w:fill="0C3471"/>
          </w:tcPr>
          <w:p>
            <w:pPr>
              <w:ind w:left="20"/>
              <w:spacing w:after="0"/>
              <w:rPr>
                <w:sz w:val="20"/>
                <w:szCs w:val="20"/>
                <w:color w:val="auto"/>
              </w:rPr>
            </w:pPr>
            <w:r>
              <w:rPr>
                <w:rFonts w:ascii="Arial" w:cs="Arial" w:eastAsia="Arial" w:hAnsi="Arial"/>
                <w:sz w:val="13"/>
                <w:szCs w:val="13"/>
                <w:b w:val="1"/>
                <w:bCs w:val="1"/>
                <w:color w:val="FFFFFF"/>
              </w:rPr>
              <w:t>Allot Shares it Holds as Treasury Shares Under Irish Law</w:t>
            </w:r>
          </w:p>
        </w:tc>
        <w:tc>
          <w:tcPr>
            <w:tcW w:w="440" w:type="dxa"/>
            <w:vAlign w:val="bottom"/>
            <w:vMerge w:val="continue"/>
            <w:shd w:val="clear" w:color="auto" w:fill="0C3471"/>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520" w:type="dxa"/>
            <w:vAlign w:val="bottom"/>
            <w:shd w:val="clear" w:color="auto" w:fill="0C3471"/>
          </w:tcPr>
          <w:p>
            <w:pPr>
              <w:spacing w:after="0"/>
              <w:rPr>
                <w:sz w:val="7"/>
                <w:szCs w:val="7"/>
                <w:color w:val="auto"/>
              </w:rPr>
            </w:pPr>
          </w:p>
        </w:tc>
        <w:tc>
          <w:tcPr>
            <w:tcW w:w="4480" w:type="dxa"/>
            <w:vAlign w:val="bottom"/>
            <w:vMerge w:val="continue"/>
            <w:shd w:val="clear" w:color="auto" w:fill="0C3471"/>
          </w:tcPr>
          <w:p>
            <w:pPr>
              <w:spacing w:after="0"/>
              <w:rPr>
                <w:sz w:val="7"/>
                <w:szCs w:val="7"/>
                <w:color w:val="auto"/>
              </w:rPr>
            </w:pPr>
          </w:p>
        </w:tc>
        <w:tc>
          <w:tcPr>
            <w:tcW w:w="440" w:type="dxa"/>
            <w:vAlign w:val="bottom"/>
            <w:shd w:val="clear" w:color="auto" w:fill="0C3471"/>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520" w:type="dxa"/>
            <w:vAlign w:val="bottom"/>
            <w:shd w:val="clear" w:color="auto" w:fill="0C3471"/>
          </w:tcPr>
          <w:p>
            <w:pPr>
              <w:spacing w:after="0"/>
              <w:rPr>
                <w:sz w:val="6"/>
                <w:szCs w:val="6"/>
                <w:color w:val="auto"/>
              </w:rPr>
            </w:pPr>
          </w:p>
        </w:tc>
        <w:tc>
          <w:tcPr>
            <w:tcW w:w="4480" w:type="dxa"/>
            <w:vAlign w:val="bottom"/>
            <w:shd w:val="clear" w:color="auto" w:fill="0C3471"/>
          </w:tcPr>
          <w:p>
            <w:pPr>
              <w:spacing w:after="0"/>
              <w:rPr>
                <w:sz w:val="6"/>
                <w:szCs w:val="6"/>
                <w:color w:val="auto"/>
              </w:rPr>
            </w:pPr>
          </w:p>
        </w:tc>
        <w:tc>
          <w:tcPr>
            <w:tcW w:w="440" w:type="dxa"/>
            <w:vAlign w:val="bottom"/>
            <w:shd w:val="clear" w:color="auto" w:fill="0C3471"/>
          </w:tcPr>
          <w:p>
            <w:pPr>
              <w:spacing w:after="0"/>
              <w:rPr>
                <w:sz w:val="6"/>
                <w:szCs w:val="6"/>
                <w:color w:val="auto"/>
              </w:rPr>
            </w:pPr>
          </w:p>
        </w:tc>
        <w:tc>
          <w:tcPr>
            <w:tcW w:w="0" w:type="dxa"/>
            <w:vAlign w:val="bottom"/>
          </w:tcPr>
          <w:p>
            <w:pPr>
              <w:spacing w:after="0"/>
              <w:rPr>
                <w:sz w:val="1"/>
                <w:szCs w:val="1"/>
                <w:color w:val="auto"/>
              </w:rPr>
            </w:pPr>
          </w:p>
        </w:tc>
      </w:tr>
      <w:tr>
        <w:trPr>
          <w:trHeight w:val="303"/>
        </w:trPr>
        <w:tc>
          <w:tcPr>
            <w:tcW w:w="5000" w:type="dxa"/>
            <w:vAlign w:val="bottom"/>
            <w:gridSpan w:val="2"/>
          </w:tcPr>
          <w:p>
            <w:pPr>
              <w:ind w:left="20"/>
              <w:spacing w:after="0"/>
              <w:rPr>
                <w:sz w:val="20"/>
                <w:szCs w:val="20"/>
                <w:color w:val="auto"/>
              </w:rPr>
            </w:pPr>
            <w:r>
              <w:rPr>
                <w:rFonts w:ascii="Arial" w:cs="Arial" w:eastAsia="Arial" w:hAnsi="Arial"/>
                <w:sz w:val="13"/>
                <w:szCs w:val="13"/>
                <w:b w:val="1"/>
                <w:bCs w:val="1"/>
                <w:color w:val="0C3471"/>
              </w:rPr>
              <w:t>Ownership of Pentair Securities</w:t>
            </w:r>
          </w:p>
        </w:tc>
        <w:tc>
          <w:tcPr>
            <w:tcW w:w="440" w:type="dxa"/>
            <w:vAlign w:val="bottom"/>
          </w:tcPr>
          <w:p>
            <w:pPr>
              <w:jc w:val="center"/>
              <w:spacing w:after="0"/>
              <w:rPr>
                <w:sz w:val="20"/>
                <w:szCs w:val="20"/>
                <w:color w:val="auto"/>
              </w:rPr>
            </w:pPr>
            <w:r>
              <w:rPr>
                <w:rFonts w:ascii="Arial" w:cs="Arial" w:eastAsia="Arial" w:hAnsi="Arial"/>
                <w:sz w:val="13"/>
                <w:szCs w:val="13"/>
                <w:b w:val="1"/>
                <w:bCs w:val="1"/>
                <w:color w:val="0C3471"/>
                <w:w w:val="96"/>
              </w:rPr>
              <w:t>81</w:t>
            </w:r>
          </w:p>
        </w:tc>
        <w:tc>
          <w:tcPr>
            <w:tcW w:w="0" w:type="dxa"/>
            <w:vAlign w:val="bottom"/>
          </w:tcPr>
          <w:p>
            <w:pPr>
              <w:spacing w:after="0"/>
              <w:rPr>
                <w:sz w:val="1"/>
                <w:szCs w:val="1"/>
                <w:color w:val="auto"/>
              </w:rPr>
            </w:pPr>
          </w:p>
        </w:tc>
      </w:tr>
      <w:tr>
        <w:trPr>
          <w:trHeight w:val="210"/>
        </w:trPr>
        <w:tc>
          <w:tcPr>
            <w:tcW w:w="520" w:type="dxa"/>
            <w:vAlign w:val="bottom"/>
          </w:tcPr>
          <w:p>
            <w:pPr>
              <w:spacing w:after="0"/>
              <w:rPr>
                <w:sz w:val="18"/>
                <w:szCs w:val="18"/>
                <w:color w:val="auto"/>
              </w:rPr>
            </w:pPr>
          </w:p>
        </w:tc>
        <w:tc>
          <w:tcPr>
            <w:tcW w:w="4480" w:type="dxa"/>
            <w:vAlign w:val="bottom"/>
          </w:tcPr>
          <w:p>
            <w:pPr>
              <w:ind w:left="20"/>
              <w:spacing w:after="0"/>
              <w:rPr>
                <w:sz w:val="20"/>
                <w:szCs w:val="20"/>
                <w:color w:val="auto"/>
              </w:rPr>
            </w:pPr>
            <w:r>
              <w:rPr>
                <w:rFonts w:ascii="Arial" w:cs="Arial" w:eastAsia="Arial" w:hAnsi="Arial"/>
                <w:sz w:val="13"/>
                <w:szCs w:val="13"/>
                <w:color w:val="auto"/>
              </w:rPr>
              <w:t>Security Ownership</w:t>
            </w:r>
          </w:p>
        </w:tc>
        <w:tc>
          <w:tcPr>
            <w:tcW w:w="440" w:type="dxa"/>
            <w:vAlign w:val="bottom"/>
          </w:tcPr>
          <w:p>
            <w:pPr>
              <w:jc w:val="center"/>
              <w:spacing w:after="0"/>
              <w:rPr>
                <w:sz w:val="20"/>
                <w:szCs w:val="20"/>
                <w:color w:val="auto"/>
              </w:rPr>
            </w:pPr>
            <w:r>
              <w:rPr>
                <w:rFonts w:ascii="Arial" w:cs="Arial" w:eastAsia="Arial" w:hAnsi="Arial"/>
                <w:sz w:val="13"/>
                <w:szCs w:val="13"/>
                <w:color w:val="auto"/>
                <w:w w:val="96"/>
              </w:rPr>
              <w:t>81</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4480" w:type="dxa"/>
            <w:vAlign w:val="bottom"/>
          </w:tcPr>
          <w:p>
            <w:pPr>
              <w:ind w:left="20"/>
              <w:spacing w:after="0"/>
              <w:rPr>
                <w:sz w:val="20"/>
                <w:szCs w:val="20"/>
                <w:color w:val="auto"/>
              </w:rPr>
            </w:pPr>
            <w:r>
              <w:rPr>
                <w:rFonts w:ascii="Arial" w:cs="Arial" w:eastAsia="Arial" w:hAnsi="Arial"/>
                <w:sz w:val="13"/>
                <w:szCs w:val="13"/>
                <w:color w:val="auto"/>
              </w:rPr>
              <w:t>Delinquent Section 16(a) Report</w:t>
            </w:r>
          </w:p>
        </w:tc>
        <w:tc>
          <w:tcPr>
            <w:tcW w:w="440" w:type="dxa"/>
            <w:vAlign w:val="bottom"/>
          </w:tcPr>
          <w:p>
            <w:pPr>
              <w:jc w:val="center"/>
              <w:spacing w:after="0"/>
              <w:rPr>
                <w:sz w:val="20"/>
                <w:szCs w:val="20"/>
                <w:color w:val="auto"/>
              </w:rPr>
            </w:pPr>
            <w:r>
              <w:rPr>
                <w:rFonts w:ascii="Arial" w:cs="Arial" w:eastAsia="Arial" w:hAnsi="Arial"/>
                <w:sz w:val="13"/>
                <w:szCs w:val="13"/>
                <w:color w:val="auto"/>
                <w:w w:val="96"/>
              </w:rPr>
              <w:t>82</w:t>
            </w:r>
          </w:p>
        </w:tc>
        <w:tc>
          <w:tcPr>
            <w:tcW w:w="0" w:type="dxa"/>
            <w:vAlign w:val="bottom"/>
          </w:tcPr>
          <w:p>
            <w:pPr>
              <w:spacing w:after="0"/>
              <w:rPr>
                <w:sz w:val="1"/>
                <w:szCs w:val="1"/>
                <w:color w:val="auto"/>
              </w:rPr>
            </w:pPr>
          </w:p>
        </w:tc>
      </w:tr>
      <w:tr>
        <w:trPr>
          <w:trHeight w:val="316"/>
        </w:trPr>
        <w:tc>
          <w:tcPr>
            <w:tcW w:w="5000" w:type="dxa"/>
            <w:vAlign w:val="bottom"/>
            <w:gridSpan w:val="2"/>
          </w:tcPr>
          <w:p>
            <w:pPr>
              <w:ind w:left="20"/>
              <w:spacing w:after="0"/>
              <w:rPr>
                <w:sz w:val="20"/>
                <w:szCs w:val="20"/>
                <w:color w:val="auto"/>
              </w:rPr>
            </w:pPr>
            <w:r>
              <w:rPr>
                <w:rFonts w:ascii="Arial" w:cs="Arial" w:eastAsia="Arial" w:hAnsi="Arial"/>
                <w:sz w:val="13"/>
                <w:szCs w:val="13"/>
                <w:b w:val="1"/>
                <w:bCs w:val="1"/>
                <w:color w:val="0C3471"/>
              </w:rPr>
              <w:t>Questions and Answers about the Annual General Meeting and Voting</w:t>
            </w:r>
          </w:p>
        </w:tc>
        <w:tc>
          <w:tcPr>
            <w:tcW w:w="440" w:type="dxa"/>
            <w:vAlign w:val="bottom"/>
          </w:tcPr>
          <w:p>
            <w:pPr>
              <w:jc w:val="center"/>
              <w:spacing w:after="0"/>
              <w:rPr>
                <w:sz w:val="20"/>
                <w:szCs w:val="20"/>
                <w:color w:val="auto"/>
              </w:rPr>
            </w:pPr>
            <w:r>
              <w:rPr>
                <w:rFonts w:ascii="Arial" w:cs="Arial" w:eastAsia="Arial" w:hAnsi="Arial"/>
                <w:sz w:val="13"/>
                <w:szCs w:val="13"/>
                <w:b w:val="1"/>
                <w:bCs w:val="1"/>
                <w:color w:val="0C3471"/>
                <w:w w:val="96"/>
              </w:rPr>
              <w:t>83</w:t>
            </w:r>
          </w:p>
        </w:tc>
        <w:tc>
          <w:tcPr>
            <w:tcW w:w="0" w:type="dxa"/>
            <w:vAlign w:val="bottom"/>
          </w:tcPr>
          <w:p>
            <w:pPr>
              <w:spacing w:after="0"/>
              <w:rPr>
                <w:sz w:val="1"/>
                <w:szCs w:val="1"/>
                <w:color w:val="auto"/>
              </w:rPr>
            </w:pPr>
          </w:p>
        </w:tc>
      </w:tr>
      <w:tr>
        <w:trPr>
          <w:trHeight w:val="301"/>
        </w:trPr>
        <w:tc>
          <w:tcPr>
            <w:tcW w:w="5000" w:type="dxa"/>
            <w:vAlign w:val="bottom"/>
            <w:gridSpan w:val="2"/>
          </w:tcPr>
          <w:p>
            <w:pPr>
              <w:ind w:left="20"/>
              <w:spacing w:after="0"/>
              <w:rPr>
                <w:sz w:val="20"/>
                <w:szCs w:val="20"/>
                <w:color w:val="auto"/>
              </w:rPr>
            </w:pPr>
            <w:r>
              <w:rPr>
                <w:rFonts w:ascii="Arial" w:cs="Arial" w:eastAsia="Arial" w:hAnsi="Arial"/>
                <w:sz w:val="13"/>
                <w:szCs w:val="13"/>
                <w:b w:val="1"/>
                <w:bCs w:val="1"/>
                <w:color w:val="0C3471"/>
                <w:w w:val="99"/>
              </w:rPr>
              <w:t>Shareholder Proposals and Nominations for the 2027 Annual General Meeting of</w:t>
            </w:r>
          </w:p>
        </w:tc>
        <w:tc>
          <w:tcPr>
            <w:tcW w:w="440" w:type="dxa"/>
            <w:vAlign w:val="bottom"/>
            <w:vMerge w:val="restart"/>
          </w:tcPr>
          <w:p>
            <w:pPr>
              <w:jc w:val="center"/>
              <w:spacing w:after="0"/>
              <w:rPr>
                <w:sz w:val="20"/>
                <w:szCs w:val="20"/>
                <w:color w:val="auto"/>
              </w:rPr>
            </w:pPr>
            <w:r>
              <w:rPr>
                <w:rFonts w:ascii="Arial" w:cs="Arial" w:eastAsia="Arial" w:hAnsi="Arial"/>
                <w:sz w:val="13"/>
                <w:szCs w:val="13"/>
                <w:b w:val="1"/>
                <w:bCs w:val="1"/>
                <w:color w:val="0C3471"/>
                <w:w w:val="96"/>
              </w:rPr>
              <w:t>87</w:t>
            </w:r>
          </w:p>
        </w:tc>
        <w:tc>
          <w:tcPr>
            <w:tcW w:w="0" w:type="dxa"/>
            <w:vAlign w:val="bottom"/>
          </w:tcPr>
          <w:p>
            <w:pPr>
              <w:spacing w:after="0"/>
              <w:rPr>
                <w:sz w:val="1"/>
                <w:szCs w:val="1"/>
                <w:color w:val="auto"/>
              </w:rPr>
            </w:pPr>
          </w:p>
        </w:tc>
      </w:tr>
      <w:tr>
        <w:trPr>
          <w:trHeight w:val="91"/>
        </w:trPr>
        <w:tc>
          <w:tcPr>
            <w:tcW w:w="500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0C3471"/>
              </w:rPr>
              <w:t>Shareholders</w:t>
            </w:r>
          </w:p>
        </w:tc>
        <w:tc>
          <w:tcPr>
            <w:tcW w:w="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5000" w:type="dxa"/>
            <w:vAlign w:val="bottom"/>
            <w:gridSpan w:val="2"/>
            <w:vMerge w:val="continue"/>
          </w:tcPr>
          <w:p>
            <w:pPr>
              <w:spacing w:after="0"/>
              <w:rPr>
                <w:sz w:val="7"/>
                <w:szCs w:val="7"/>
                <w:color w:val="auto"/>
              </w:rPr>
            </w:pPr>
          </w:p>
        </w:tc>
        <w:tc>
          <w:tcPr>
            <w:tcW w:w="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10"/>
        </w:trPr>
        <w:tc>
          <w:tcPr>
            <w:tcW w:w="5000" w:type="dxa"/>
            <w:vAlign w:val="bottom"/>
            <w:gridSpan w:val="2"/>
          </w:tcPr>
          <w:p>
            <w:pPr>
              <w:ind w:left="20"/>
              <w:spacing w:after="0"/>
              <w:rPr>
                <w:sz w:val="20"/>
                <w:szCs w:val="20"/>
                <w:color w:val="auto"/>
              </w:rPr>
            </w:pPr>
            <w:r>
              <w:rPr>
                <w:rFonts w:ascii="Arial" w:cs="Arial" w:eastAsia="Arial" w:hAnsi="Arial"/>
                <w:sz w:val="13"/>
                <w:szCs w:val="13"/>
                <w:b w:val="1"/>
                <w:bCs w:val="1"/>
                <w:color w:val="0C3471"/>
              </w:rPr>
              <w:t>Irish Disclosure of Shareholder Interests</w:t>
            </w:r>
          </w:p>
        </w:tc>
        <w:tc>
          <w:tcPr>
            <w:tcW w:w="440" w:type="dxa"/>
            <w:vAlign w:val="bottom"/>
          </w:tcPr>
          <w:p>
            <w:pPr>
              <w:jc w:val="center"/>
              <w:spacing w:after="0"/>
              <w:rPr>
                <w:sz w:val="20"/>
                <w:szCs w:val="20"/>
                <w:color w:val="auto"/>
              </w:rPr>
            </w:pPr>
            <w:r>
              <w:rPr>
                <w:rFonts w:ascii="Arial" w:cs="Arial" w:eastAsia="Arial" w:hAnsi="Arial"/>
                <w:sz w:val="13"/>
                <w:szCs w:val="13"/>
                <w:b w:val="1"/>
                <w:bCs w:val="1"/>
                <w:color w:val="0C3471"/>
                <w:w w:val="96"/>
              </w:rPr>
              <w:t>88</w:t>
            </w:r>
          </w:p>
        </w:tc>
        <w:tc>
          <w:tcPr>
            <w:tcW w:w="0" w:type="dxa"/>
            <w:vAlign w:val="bottom"/>
          </w:tcPr>
          <w:p>
            <w:pPr>
              <w:spacing w:after="0"/>
              <w:rPr>
                <w:sz w:val="1"/>
                <w:szCs w:val="1"/>
                <w:color w:val="auto"/>
              </w:rPr>
            </w:pPr>
          </w:p>
        </w:tc>
      </w:tr>
      <w:tr>
        <w:trPr>
          <w:trHeight w:val="311"/>
        </w:trPr>
        <w:tc>
          <w:tcPr>
            <w:tcW w:w="5000" w:type="dxa"/>
            <w:vAlign w:val="bottom"/>
            <w:gridSpan w:val="2"/>
          </w:tcPr>
          <w:p>
            <w:pPr>
              <w:ind w:left="20"/>
              <w:spacing w:after="0"/>
              <w:rPr>
                <w:sz w:val="20"/>
                <w:szCs w:val="20"/>
                <w:color w:val="auto"/>
              </w:rPr>
            </w:pPr>
            <w:r>
              <w:rPr>
                <w:rFonts w:ascii="Arial" w:cs="Arial" w:eastAsia="Arial" w:hAnsi="Arial"/>
                <w:sz w:val="13"/>
                <w:szCs w:val="13"/>
                <w:b w:val="1"/>
                <w:bCs w:val="1"/>
                <w:color w:val="0C3471"/>
              </w:rPr>
              <w:t>2025 Annual Report on Form 10-K</w:t>
            </w:r>
          </w:p>
        </w:tc>
        <w:tc>
          <w:tcPr>
            <w:tcW w:w="440" w:type="dxa"/>
            <w:vAlign w:val="bottom"/>
          </w:tcPr>
          <w:p>
            <w:pPr>
              <w:jc w:val="center"/>
              <w:spacing w:after="0"/>
              <w:rPr>
                <w:sz w:val="20"/>
                <w:szCs w:val="20"/>
                <w:color w:val="auto"/>
              </w:rPr>
            </w:pPr>
            <w:r>
              <w:rPr>
                <w:rFonts w:ascii="Arial" w:cs="Arial" w:eastAsia="Arial" w:hAnsi="Arial"/>
                <w:sz w:val="13"/>
                <w:szCs w:val="13"/>
                <w:b w:val="1"/>
                <w:bCs w:val="1"/>
                <w:color w:val="0C3471"/>
                <w:w w:val="96"/>
              </w:rPr>
              <w:t>88</w:t>
            </w:r>
          </w:p>
        </w:tc>
        <w:tc>
          <w:tcPr>
            <w:tcW w:w="0" w:type="dxa"/>
            <w:vAlign w:val="bottom"/>
          </w:tcPr>
          <w:p>
            <w:pPr>
              <w:spacing w:after="0"/>
              <w:rPr>
                <w:sz w:val="1"/>
                <w:szCs w:val="1"/>
                <w:color w:val="auto"/>
              </w:rPr>
            </w:pPr>
          </w:p>
        </w:tc>
      </w:tr>
      <w:tr>
        <w:trPr>
          <w:trHeight w:val="310"/>
        </w:trPr>
        <w:tc>
          <w:tcPr>
            <w:tcW w:w="5000" w:type="dxa"/>
            <w:vAlign w:val="bottom"/>
            <w:gridSpan w:val="2"/>
          </w:tcPr>
          <w:p>
            <w:pPr>
              <w:ind w:left="20"/>
              <w:spacing w:after="0"/>
              <w:rPr>
                <w:sz w:val="20"/>
                <w:szCs w:val="20"/>
                <w:color w:val="auto"/>
              </w:rPr>
            </w:pPr>
            <w:r>
              <w:rPr>
                <w:rFonts w:ascii="Arial" w:cs="Arial" w:eastAsia="Arial" w:hAnsi="Arial"/>
                <w:sz w:val="13"/>
                <w:szCs w:val="13"/>
                <w:b w:val="1"/>
                <w:bCs w:val="1"/>
                <w:color w:val="0C3471"/>
              </w:rPr>
              <w:t>Reduce Duplicate Mailings</w:t>
            </w:r>
          </w:p>
        </w:tc>
        <w:tc>
          <w:tcPr>
            <w:tcW w:w="440" w:type="dxa"/>
            <w:vAlign w:val="bottom"/>
          </w:tcPr>
          <w:p>
            <w:pPr>
              <w:jc w:val="center"/>
              <w:spacing w:after="0"/>
              <w:rPr>
                <w:sz w:val="20"/>
                <w:szCs w:val="20"/>
                <w:color w:val="auto"/>
              </w:rPr>
            </w:pPr>
            <w:r>
              <w:rPr>
                <w:rFonts w:ascii="Arial" w:cs="Arial" w:eastAsia="Arial" w:hAnsi="Arial"/>
                <w:sz w:val="13"/>
                <w:szCs w:val="13"/>
                <w:b w:val="1"/>
                <w:bCs w:val="1"/>
                <w:color w:val="0C3471"/>
                <w:w w:val="96"/>
              </w:rPr>
              <w:t>88</w:t>
            </w:r>
          </w:p>
        </w:tc>
        <w:tc>
          <w:tcPr>
            <w:tcW w:w="0" w:type="dxa"/>
            <w:vAlign w:val="bottom"/>
          </w:tcPr>
          <w:p>
            <w:pPr>
              <w:spacing w:after="0"/>
              <w:rPr>
                <w:sz w:val="1"/>
                <w:szCs w:val="1"/>
                <w:color w:val="auto"/>
              </w:rPr>
            </w:pPr>
          </w:p>
        </w:tc>
      </w:tr>
      <w:tr>
        <w:trPr>
          <w:trHeight w:val="310"/>
        </w:trPr>
        <w:tc>
          <w:tcPr>
            <w:tcW w:w="5000" w:type="dxa"/>
            <w:vAlign w:val="bottom"/>
            <w:gridSpan w:val="2"/>
          </w:tcPr>
          <w:p>
            <w:pPr>
              <w:ind w:left="20"/>
              <w:spacing w:after="0"/>
              <w:rPr>
                <w:sz w:val="20"/>
                <w:szCs w:val="20"/>
                <w:color w:val="auto"/>
              </w:rPr>
            </w:pPr>
            <w:r>
              <w:rPr>
                <w:rFonts w:ascii="Arial" w:cs="Arial" w:eastAsia="Arial" w:hAnsi="Arial"/>
                <w:sz w:val="13"/>
                <w:szCs w:val="13"/>
                <w:b w:val="1"/>
                <w:bCs w:val="1"/>
                <w:color w:val="0C3471"/>
              </w:rPr>
              <w:t>Appendix A — Reconciliation of GAAP to Non-GAAP Financial Measures</w:t>
            </w:r>
          </w:p>
        </w:tc>
        <w:tc>
          <w:tcPr>
            <w:tcW w:w="440" w:type="dxa"/>
            <w:vAlign w:val="bottom"/>
          </w:tcPr>
          <w:p>
            <w:pPr>
              <w:ind w:left="120"/>
              <w:spacing w:after="0"/>
              <w:rPr>
                <w:sz w:val="20"/>
                <w:szCs w:val="20"/>
                <w:color w:val="auto"/>
              </w:rPr>
            </w:pPr>
            <w:r>
              <w:rPr>
                <w:rFonts w:ascii="Arial" w:cs="Arial" w:eastAsia="Arial" w:hAnsi="Arial"/>
                <w:sz w:val="13"/>
                <w:szCs w:val="13"/>
                <w:b w:val="1"/>
                <w:bCs w:val="1"/>
                <w:color w:val="0C3471"/>
              </w:rPr>
              <w:t>A-1</w:t>
            </w:r>
          </w:p>
        </w:tc>
        <w:tc>
          <w:tcPr>
            <w:tcW w:w="0" w:type="dxa"/>
            <w:vAlign w:val="bottom"/>
          </w:tcPr>
          <w:p>
            <w:pPr>
              <w:spacing w:after="0"/>
              <w:rPr>
                <w:sz w:val="1"/>
                <w:szCs w:val="1"/>
                <w:color w:val="auto"/>
              </w:rPr>
            </w:pPr>
          </w:p>
        </w:tc>
      </w:tr>
      <w:tr>
        <w:trPr>
          <w:trHeight w:val="251"/>
        </w:trPr>
        <w:tc>
          <w:tcPr>
            <w:tcW w:w="5000" w:type="dxa"/>
            <w:vAlign w:val="bottom"/>
            <w:tcBorders>
              <w:bottom w:val="single" w:sz="8" w:color="0C3471"/>
            </w:tcBorders>
            <w:gridSpan w:val="2"/>
          </w:tcPr>
          <w:p>
            <w:pPr>
              <w:spacing w:after="0"/>
              <w:rPr>
                <w:sz w:val="21"/>
                <w:szCs w:val="21"/>
                <w:color w:val="auto"/>
              </w:rPr>
            </w:pPr>
          </w:p>
        </w:tc>
        <w:tc>
          <w:tcPr>
            <w:tcW w:w="440" w:type="dxa"/>
            <w:vAlign w:val="bottom"/>
            <w:tcBorders>
              <w:bottom w:val="single" w:sz="8" w:color="0C3471"/>
            </w:tcBorders>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5000" w:type="dxa"/>
            <w:vAlign w:val="bottom"/>
            <w:gridSpan w:val="2"/>
            <w:shd w:val="clear" w:color="auto" w:fill="CED6E3"/>
          </w:tcPr>
          <w:p>
            <w:pPr>
              <w:ind w:left="20"/>
              <w:spacing w:after="0"/>
              <w:rPr>
                <w:sz w:val="20"/>
                <w:szCs w:val="20"/>
                <w:color w:val="auto"/>
              </w:rPr>
            </w:pPr>
            <w:r>
              <w:rPr>
                <w:rFonts w:ascii="Arial" w:cs="Arial" w:eastAsia="Arial" w:hAnsi="Arial"/>
                <w:sz w:val="13"/>
                <w:szCs w:val="13"/>
                <w:b w:val="1"/>
                <w:bCs w:val="1"/>
                <w:color w:val="0C3471"/>
              </w:rPr>
              <w:t>Frequently Requested Information</w:t>
            </w:r>
          </w:p>
        </w:tc>
        <w:tc>
          <w:tcPr>
            <w:tcW w:w="440" w:type="dxa"/>
            <w:vAlign w:val="bottom"/>
            <w:shd w:val="clear" w:color="auto" w:fill="CED6E3"/>
          </w:tcPr>
          <w:p>
            <w:pPr>
              <w:spacing w:after="0"/>
              <w:rPr>
                <w:sz w:val="22"/>
                <w:szCs w:val="22"/>
                <w:color w:val="auto"/>
              </w:rPr>
            </w:pPr>
          </w:p>
        </w:tc>
        <w:tc>
          <w:tcPr>
            <w:tcW w:w="0" w:type="dxa"/>
            <w:vAlign w:val="bottom"/>
          </w:tcPr>
          <w:p>
            <w:pPr>
              <w:spacing w:after="0"/>
              <w:rPr>
                <w:sz w:val="1"/>
                <w:szCs w:val="1"/>
                <w:color w:val="auto"/>
              </w:rPr>
            </w:pPr>
          </w:p>
        </w:tc>
      </w:tr>
      <w:tr>
        <w:trPr>
          <w:trHeight w:val="305"/>
        </w:trPr>
        <w:tc>
          <w:tcPr>
            <w:tcW w:w="520" w:type="dxa"/>
            <w:vAlign w:val="bottom"/>
            <w:shd w:val="clear" w:color="auto" w:fill="CED6E3"/>
          </w:tcPr>
          <w:p>
            <w:pPr>
              <w:spacing w:after="0"/>
              <w:rPr>
                <w:sz w:val="24"/>
                <w:szCs w:val="24"/>
                <w:color w:val="auto"/>
              </w:rPr>
            </w:pPr>
          </w:p>
        </w:tc>
        <w:tc>
          <w:tcPr>
            <w:tcW w:w="4480" w:type="dxa"/>
            <w:vAlign w:val="bottom"/>
            <w:shd w:val="clear" w:color="auto" w:fill="CED6E3"/>
          </w:tcPr>
          <w:p>
            <w:pPr>
              <w:ind w:left="20"/>
              <w:spacing w:after="0"/>
              <w:rPr>
                <w:sz w:val="20"/>
                <w:szCs w:val="20"/>
                <w:color w:val="auto"/>
              </w:rPr>
            </w:pPr>
            <w:r>
              <w:rPr>
                <w:rFonts w:ascii="Arial" w:cs="Arial" w:eastAsia="Arial" w:hAnsi="Arial"/>
                <w:sz w:val="13"/>
                <w:szCs w:val="13"/>
                <w:color w:val="auto"/>
              </w:rPr>
              <w:t>Shareholder Engagement</w:t>
            </w:r>
          </w:p>
        </w:tc>
        <w:tc>
          <w:tcPr>
            <w:tcW w:w="440" w:type="dxa"/>
            <w:vAlign w:val="bottom"/>
            <w:shd w:val="clear" w:color="auto" w:fill="CED6E3"/>
          </w:tcPr>
          <w:p>
            <w:pPr>
              <w:jc w:val="center"/>
              <w:spacing w:after="0"/>
              <w:rPr>
                <w:sz w:val="20"/>
                <w:szCs w:val="20"/>
                <w:color w:val="auto"/>
              </w:rPr>
            </w:pPr>
            <w:r>
              <w:rPr>
                <w:rFonts w:ascii="Arial" w:cs="Arial" w:eastAsia="Arial" w:hAnsi="Arial"/>
                <w:sz w:val="13"/>
                <w:szCs w:val="13"/>
                <w:color w:val="auto"/>
              </w:rPr>
              <w:t>8</w:t>
            </w:r>
          </w:p>
        </w:tc>
        <w:tc>
          <w:tcPr>
            <w:tcW w:w="0" w:type="dxa"/>
            <w:vAlign w:val="bottom"/>
          </w:tcPr>
          <w:p>
            <w:pPr>
              <w:spacing w:after="0"/>
              <w:rPr>
                <w:sz w:val="1"/>
                <w:szCs w:val="1"/>
                <w:color w:val="auto"/>
              </w:rPr>
            </w:pPr>
          </w:p>
        </w:tc>
      </w:tr>
      <w:tr>
        <w:trPr>
          <w:trHeight w:val="216"/>
        </w:trPr>
        <w:tc>
          <w:tcPr>
            <w:tcW w:w="520" w:type="dxa"/>
            <w:vAlign w:val="bottom"/>
            <w:shd w:val="clear" w:color="auto" w:fill="CED6E3"/>
          </w:tcPr>
          <w:p>
            <w:pPr>
              <w:spacing w:after="0"/>
              <w:rPr>
                <w:sz w:val="18"/>
                <w:szCs w:val="18"/>
                <w:color w:val="auto"/>
              </w:rPr>
            </w:pPr>
          </w:p>
        </w:tc>
        <w:tc>
          <w:tcPr>
            <w:tcW w:w="4480" w:type="dxa"/>
            <w:vAlign w:val="bottom"/>
            <w:shd w:val="clear" w:color="auto" w:fill="CED6E3"/>
          </w:tcPr>
          <w:p>
            <w:pPr>
              <w:ind w:left="20"/>
              <w:spacing w:after="0"/>
              <w:rPr>
                <w:sz w:val="20"/>
                <w:szCs w:val="20"/>
                <w:color w:val="auto"/>
              </w:rPr>
            </w:pPr>
            <w:r>
              <w:rPr>
                <w:rFonts w:ascii="Arial" w:cs="Arial" w:eastAsia="Arial" w:hAnsi="Arial"/>
                <w:sz w:val="13"/>
                <w:szCs w:val="13"/>
                <w:color w:val="auto"/>
              </w:rPr>
              <w:t>Board Leadership Structure</w:t>
            </w:r>
          </w:p>
        </w:tc>
        <w:tc>
          <w:tcPr>
            <w:tcW w:w="440" w:type="dxa"/>
            <w:vAlign w:val="bottom"/>
            <w:shd w:val="clear" w:color="auto" w:fill="CED6E3"/>
          </w:tcPr>
          <w:p>
            <w:pPr>
              <w:jc w:val="center"/>
              <w:spacing w:after="0"/>
              <w:rPr>
                <w:sz w:val="20"/>
                <w:szCs w:val="20"/>
                <w:color w:val="auto"/>
              </w:rPr>
            </w:pPr>
            <w:r>
              <w:rPr>
                <w:rFonts w:ascii="Arial" w:cs="Arial" w:eastAsia="Arial" w:hAnsi="Arial"/>
                <w:sz w:val="13"/>
                <w:szCs w:val="13"/>
                <w:color w:val="auto"/>
                <w:w w:val="96"/>
              </w:rPr>
              <w:t>19</w:t>
            </w:r>
          </w:p>
        </w:tc>
        <w:tc>
          <w:tcPr>
            <w:tcW w:w="0" w:type="dxa"/>
            <w:vAlign w:val="bottom"/>
          </w:tcPr>
          <w:p>
            <w:pPr>
              <w:spacing w:after="0"/>
              <w:rPr>
                <w:sz w:val="1"/>
                <w:szCs w:val="1"/>
                <w:color w:val="auto"/>
              </w:rPr>
            </w:pPr>
          </w:p>
        </w:tc>
      </w:tr>
      <w:tr>
        <w:trPr>
          <w:trHeight w:val="216"/>
        </w:trPr>
        <w:tc>
          <w:tcPr>
            <w:tcW w:w="520" w:type="dxa"/>
            <w:vAlign w:val="bottom"/>
            <w:shd w:val="clear" w:color="auto" w:fill="CED6E3"/>
          </w:tcPr>
          <w:p>
            <w:pPr>
              <w:spacing w:after="0"/>
              <w:rPr>
                <w:sz w:val="18"/>
                <w:szCs w:val="18"/>
                <w:color w:val="auto"/>
              </w:rPr>
            </w:pPr>
          </w:p>
        </w:tc>
        <w:tc>
          <w:tcPr>
            <w:tcW w:w="4480" w:type="dxa"/>
            <w:vAlign w:val="bottom"/>
            <w:shd w:val="clear" w:color="auto" w:fill="CED6E3"/>
          </w:tcPr>
          <w:p>
            <w:pPr>
              <w:ind w:left="20"/>
              <w:spacing w:after="0"/>
              <w:rPr>
                <w:sz w:val="20"/>
                <w:szCs w:val="20"/>
                <w:color w:val="auto"/>
              </w:rPr>
            </w:pPr>
            <w:r>
              <w:rPr>
                <w:rFonts w:ascii="Arial" w:cs="Arial" w:eastAsia="Arial" w:hAnsi="Arial"/>
                <w:sz w:val="13"/>
                <w:szCs w:val="13"/>
                <w:color w:val="auto"/>
              </w:rPr>
              <w:t>Summary of 2025 Financial Results</w:t>
            </w:r>
          </w:p>
        </w:tc>
        <w:tc>
          <w:tcPr>
            <w:tcW w:w="440" w:type="dxa"/>
            <w:vAlign w:val="bottom"/>
            <w:shd w:val="clear" w:color="auto" w:fill="CED6E3"/>
          </w:tcPr>
          <w:p>
            <w:pPr>
              <w:jc w:val="center"/>
              <w:spacing w:after="0"/>
              <w:rPr>
                <w:sz w:val="20"/>
                <w:szCs w:val="20"/>
                <w:color w:val="auto"/>
              </w:rPr>
            </w:pPr>
            <w:r>
              <w:rPr>
                <w:rFonts w:ascii="Arial" w:cs="Arial" w:eastAsia="Arial" w:hAnsi="Arial"/>
                <w:sz w:val="13"/>
                <w:szCs w:val="13"/>
                <w:color w:val="auto"/>
                <w:w w:val="96"/>
              </w:rPr>
              <w:t>33</w:t>
            </w:r>
          </w:p>
        </w:tc>
        <w:tc>
          <w:tcPr>
            <w:tcW w:w="0" w:type="dxa"/>
            <w:vAlign w:val="bottom"/>
          </w:tcPr>
          <w:p>
            <w:pPr>
              <w:spacing w:after="0"/>
              <w:rPr>
                <w:sz w:val="1"/>
                <w:szCs w:val="1"/>
                <w:color w:val="auto"/>
              </w:rPr>
            </w:pPr>
          </w:p>
        </w:tc>
      </w:tr>
      <w:tr>
        <w:trPr>
          <w:trHeight w:val="216"/>
        </w:trPr>
        <w:tc>
          <w:tcPr>
            <w:tcW w:w="520" w:type="dxa"/>
            <w:vAlign w:val="bottom"/>
            <w:shd w:val="clear" w:color="auto" w:fill="CED6E3"/>
          </w:tcPr>
          <w:p>
            <w:pPr>
              <w:spacing w:after="0"/>
              <w:rPr>
                <w:sz w:val="18"/>
                <w:szCs w:val="18"/>
                <w:color w:val="auto"/>
              </w:rPr>
            </w:pPr>
          </w:p>
        </w:tc>
        <w:tc>
          <w:tcPr>
            <w:tcW w:w="4480" w:type="dxa"/>
            <w:vAlign w:val="bottom"/>
            <w:shd w:val="clear" w:color="auto" w:fill="CED6E3"/>
          </w:tcPr>
          <w:p>
            <w:pPr>
              <w:ind w:left="20"/>
              <w:spacing w:after="0"/>
              <w:rPr>
                <w:sz w:val="20"/>
                <w:szCs w:val="20"/>
                <w:color w:val="auto"/>
              </w:rPr>
            </w:pPr>
            <w:r>
              <w:rPr>
                <w:rFonts w:ascii="Arial" w:cs="Arial" w:eastAsia="Arial" w:hAnsi="Arial"/>
                <w:sz w:val="13"/>
                <w:szCs w:val="13"/>
                <w:color w:val="auto"/>
              </w:rPr>
              <w:t>Compensation Best Practices</w:t>
            </w:r>
          </w:p>
        </w:tc>
        <w:tc>
          <w:tcPr>
            <w:tcW w:w="440" w:type="dxa"/>
            <w:vAlign w:val="bottom"/>
            <w:shd w:val="clear" w:color="auto" w:fill="CED6E3"/>
          </w:tcPr>
          <w:p>
            <w:pPr>
              <w:jc w:val="center"/>
              <w:spacing w:after="0"/>
              <w:rPr>
                <w:sz w:val="20"/>
                <w:szCs w:val="20"/>
                <w:color w:val="auto"/>
              </w:rPr>
            </w:pPr>
            <w:r>
              <w:rPr>
                <w:rFonts w:ascii="Arial" w:cs="Arial" w:eastAsia="Arial" w:hAnsi="Arial"/>
                <w:sz w:val="13"/>
                <w:szCs w:val="13"/>
                <w:color w:val="auto"/>
                <w:w w:val="96"/>
              </w:rPr>
              <w:t>37</w:t>
            </w:r>
          </w:p>
        </w:tc>
        <w:tc>
          <w:tcPr>
            <w:tcW w:w="0" w:type="dxa"/>
            <w:vAlign w:val="bottom"/>
          </w:tcPr>
          <w:p>
            <w:pPr>
              <w:spacing w:after="0"/>
              <w:rPr>
                <w:sz w:val="1"/>
                <w:szCs w:val="1"/>
                <w:color w:val="auto"/>
              </w:rPr>
            </w:pPr>
          </w:p>
        </w:tc>
      </w:tr>
      <w:tr>
        <w:trPr>
          <w:trHeight w:val="122"/>
        </w:trPr>
        <w:tc>
          <w:tcPr>
            <w:tcW w:w="520" w:type="dxa"/>
            <w:vAlign w:val="bottom"/>
            <w:shd w:val="clear" w:color="auto" w:fill="CED6E3"/>
          </w:tcPr>
          <w:p>
            <w:pPr>
              <w:spacing w:after="0"/>
              <w:rPr>
                <w:sz w:val="10"/>
                <w:szCs w:val="10"/>
                <w:color w:val="auto"/>
              </w:rPr>
            </w:pPr>
          </w:p>
        </w:tc>
        <w:tc>
          <w:tcPr>
            <w:tcW w:w="4480" w:type="dxa"/>
            <w:vAlign w:val="bottom"/>
            <w:shd w:val="clear" w:color="auto" w:fill="CED6E3"/>
          </w:tcPr>
          <w:p>
            <w:pPr>
              <w:spacing w:after="0"/>
              <w:rPr>
                <w:sz w:val="10"/>
                <w:szCs w:val="10"/>
                <w:color w:val="auto"/>
              </w:rPr>
            </w:pPr>
          </w:p>
        </w:tc>
        <w:tc>
          <w:tcPr>
            <w:tcW w:w="440" w:type="dxa"/>
            <w:vAlign w:val="bottom"/>
            <w:shd w:val="clear" w:color="auto" w:fill="CED6E3"/>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1504315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118745</wp:posOffset>
            </wp:positionH>
            <wp:positionV relativeFrom="paragraph">
              <wp:posOffset>-4971415</wp:posOffset>
            </wp:positionV>
            <wp:extent cx="93980" cy="768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93980" cy="76835"/>
                    </a:xfrm>
                    <a:prstGeom prst="rect">
                      <a:avLst/>
                    </a:prstGeom>
                    <a:noFill/>
                  </pic:spPr>
                </pic:pic>
              </a:graphicData>
            </a:graphic>
          </wp:anchor>
        </w:drawing>
        <w:drawing>
          <wp:anchor simplePos="0" relativeHeight="251657728" behindDoc="1" locked="0" layoutInCell="0" allowOverlap="1">
            <wp:simplePos x="0" y="0"/>
            <wp:positionH relativeFrom="column">
              <wp:posOffset>118745</wp:posOffset>
            </wp:positionH>
            <wp:positionV relativeFrom="paragraph">
              <wp:posOffset>-3780155</wp:posOffset>
            </wp:positionV>
            <wp:extent cx="93980" cy="7747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93980" cy="77470"/>
                    </a:xfrm>
                    <a:prstGeom prst="rect">
                      <a:avLst/>
                    </a:prstGeom>
                    <a:noFill/>
                  </pic:spPr>
                </pic:pic>
              </a:graphicData>
            </a:graphic>
          </wp:anchor>
        </w:drawing>
        <w:drawing>
          <wp:anchor simplePos="0" relativeHeight="251657728" behindDoc="1" locked="0" layoutInCell="0" allowOverlap="1">
            <wp:simplePos x="0" y="0"/>
            <wp:positionH relativeFrom="column">
              <wp:posOffset>118745</wp:posOffset>
            </wp:positionH>
            <wp:positionV relativeFrom="paragraph">
              <wp:posOffset>-3411220</wp:posOffset>
            </wp:positionV>
            <wp:extent cx="93980" cy="7747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93980" cy="77470"/>
                    </a:xfrm>
                    <a:prstGeom prst="rect">
                      <a:avLst/>
                    </a:prstGeom>
                    <a:noFill/>
                  </pic:spPr>
                </pic:pic>
              </a:graphicData>
            </a:graphic>
          </wp:anchor>
        </w:drawing>
        <w:drawing>
          <wp:anchor simplePos="0" relativeHeight="251657728" behindDoc="1" locked="0" layoutInCell="0" allowOverlap="1">
            <wp:simplePos x="0" y="0"/>
            <wp:positionH relativeFrom="column">
              <wp:posOffset>118745</wp:posOffset>
            </wp:positionH>
            <wp:positionV relativeFrom="paragraph">
              <wp:posOffset>-3042920</wp:posOffset>
            </wp:positionV>
            <wp:extent cx="93980" cy="768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93980" cy="76835"/>
                    </a:xfrm>
                    <a:prstGeom prst="rect">
                      <a:avLst/>
                    </a:prstGeom>
                    <a:noFill/>
                  </pic:spPr>
                </pic:pic>
              </a:graphicData>
            </a:graphic>
          </wp:anchor>
        </w:drawing>
      </w:r>
    </w:p>
    <w:p>
      <w:pPr>
        <w:sectPr>
          <w:pgSz w:w="11900" w:h="16838" w:orient="portrait"/>
          <w:cols w:equalWidth="0" w:num="2">
            <w:col w:w="5440" w:space="240"/>
            <w:col w:w="5440"/>
          </w:cols>
          <w:pgMar w:left="320" w:top="1440" w:right="459" w:bottom="1440" w:gutter="0" w:footer="0" w:header="0"/>
          <w:type w:val="continuous"/>
        </w:sectPr>
      </w:pPr>
    </w:p>
    <w:bookmarkStart w:id="6" w:name="page7"/>
    <w:bookmarkEnd w:id="6"/>
    <w:p>
      <w:pPr>
        <w:spacing w:after="0" w:line="7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216535</wp:posOffset>
            </wp:positionH>
            <wp:positionV relativeFrom="page">
              <wp:posOffset>877570</wp:posOffset>
            </wp:positionV>
            <wp:extent cx="445770" cy="4718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clrChange>
                        <a:clrFrom>
                          <a:srgbClr val="FFFFFF"/>
                        </a:clrFrom>
                        <a:clrTo>
                          <a:srgbClr val="FFFFFF">
                            <a:alpha val="0"/>
                          </a:srgbClr>
                        </a:clrTo>
                      </a:clrChange>
                      <a:extLst>
                        <a:ext uri="{28A0092B-C50C-407E-A947-70E740481C1C}"/>
                      </a:extLst>
                    </a:blip>
                    <a:srcRect/>
                    <a:stretch>
                      <a:fillRect/>
                    </a:stretch>
                  </pic:blipFill>
                  <pic:spPr bwMode="auto">
                    <a:xfrm>
                      <a:off x="0" y="0"/>
                      <a:ext cx="445770" cy="471805"/>
                    </a:xfrm>
                    <a:prstGeom prst="rect">
                      <a:avLst/>
                    </a:prstGeom>
                    <a:noFill/>
                  </pic:spPr>
                </pic:pic>
              </a:graphicData>
            </a:graphic>
          </wp:anchor>
        </w:drawing>
      </w:r>
    </w:p>
    <w:p>
      <w:pPr>
        <w:ind w:left="1080"/>
        <w:spacing w:after="0"/>
        <w:rPr>
          <w:sz w:val="20"/>
          <w:szCs w:val="20"/>
          <w:color w:val="auto"/>
        </w:rPr>
      </w:pPr>
      <w:r>
        <w:rPr>
          <w:rFonts w:ascii="Arial" w:cs="Arial" w:eastAsia="Arial" w:hAnsi="Arial"/>
          <w:sz w:val="43"/>
          <w:szCs w:val="43"/>
          <w:b w:val="1"/>
          <w:bCs w:val="1"/>
          <w:color w:val="0C3471"/>
        </w:rPr>
        <w:t>Business and Financial Results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32"/>
          <w:szCs w:val="32"/>
          <w:color w:val="0C3471"/>
        </w:rPr>
        <w:t>Business Overview</w:t>
      </w:r>
    </w:p>
    <w:p>
      <w:pPr>
        <w:spacing w:after="0" w:line="132"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At Pentair, we help the world sustainably move, improve and enjoy water, life’s most essential resource. From our residential and commercial water solutions to industrial water management and everything in between, Pentair is an S&amp;P 500 company focused on smart, sustainable water solutions that help people and the planet thrive.</w:t>
      </w:r>
    </w:p>
    <w:p>
      <w:pPr>
        <w:spacing w:after="0" w:line="252" w:lineRule="exact"/>
        <w:rPr>
          <w:sz w:val="20"/>
          <w:szCs w:val="20"/>
          <w:color w:val="auto"/>
        </w:rPr>
      </w:pPr>
    </w:p>
    <w:p>
      <w:pPr>
        <w:spacing w:after="0"/>
        <w:rPr>
          <w:sz w:val="20"/>
          <w:szCs w:val="20"/>
          <w:color w:val="auto"/>
        </w:rPr>
      </w:pPr>
      <w:r>
        <w:rPr>
          <w:rFonts w:ascii="Arial" w:cs="Arial" w:eastAsia="Arial" w:hAnsi="Arial"/>
          <w:sz w:val="32"/>
          <w:szCs w:val="32"/>
          <w:color w:val="0C3471"/>
        </w:rPr>
        <w:t>Strategy</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color w:val="auto"/>
        </w:rPr>
        <w:t>Our vision is to be the world’s most valued sustainable water solutions company for our employees, customers and shareholders. As a company, we:</w:t>
      </w:r>
    </w:p>
    <w:p>
      <w:pPr>
        <w:spacing w:after="0" w:line="140" w:lineRule="exact"/>
        <w:rPr>
          <w:sz w:val="20"/>
          <w:szCs w:val="20"/>
          <w:color w:val="auto"/>
        </w:rPr>
      </w:pPr>
    </w:p>
    <w:p>
      <w:pPr>
        <w:ind w:left="160" w:hanging="152"/>
        <w:spacing w:after="0"/>
        <w:tabs>
          <w:tab w:leader="none" w:pos="160" w:val="left"/>
        </w:tabs>
        <w:numPr>
          <w:ilvl w:val="0"/>
          <w:numId w:val="9"/>
        </w:numPr>
        <w:rPr>
          <w:rFonts w:ascii="Arial" w:cs="Arial" w:eastAsia="Arial" w:hAnsi="Arial"/>
          <w:sz w:val="13"/>
          <w:szCs w:val="13"/>
          <w:color w:val="64A70B"/>
        </w:rPr>
      </w:pPr>
      <w:r>
        <w:rPr>
          <w:rFonts w:ascii="Arial" w:cs="Arial" w:eastAsia="Arial" w:hAnsi="Arial"/>
          <w:sz w:val="16"/>
          <w:szCs w:val="16"/>
          <w:color w:val="auto"/>
        </w:rPr>
        <w:t>Focus on growth in our core businesses and strategic initiatives;</w:t>
      </w:r>
    </w:p>
    <w:p>
      <w:pPr>
        <w:spacing w:after="0" w:line="99" w:lineRule="exact"/>
        <w:rPr>
          <w:rFonts w:ascii="Arial" w:cs="Arial" w:eastAsia="Arial" w:hAnsi="Arial"/>
          <w:sz w:val="13"/>
          <w:szCs w:val="13"/>
          <w:color w:val="64A70B"/>
        </w:rPr>
      </w:pPr>
    </w:p>
    <w:p>
      <w:pPr>
        <w:ind w:left="160" w:hanging="152"/>
        <w:spacing w:after="0"/>
        <w:tabs>
          <w:tab w:leader="none" w:pos="160" w:val="left"/>
        </w:tabs>
        <w:numPr>
          <w:ilvl w:val="0"/>
          <w:numId w:val="9"/>
        </w:numPr>
        <w:rPr>
          <w:rFonts w:ascii="Arial" w:cs="Arial" w:eastAsia="Arial" w:hAnsi="Arial"/>
          <w:sz w:val="13"/>
          <w:szCs w:val="13"/>
          <w:color w:val="64A70B"/>
        </w:rPr>
      </w:pPr>
      <w:r>
        <w:rPr>
          <w:rFonts w:ascii="Arial" w:cs="Arial" w:eastAsia="Arial" w:hAnsi="Arial"/>
          <w:sz w:val="16"/>
          <w:szCs w:val="16"/>
          <w:color w:val="auto"/>
        </w:rPr>
        <w:t>Accelerate digital innovation and technology as well as sustainability investments;</w:t>
      </w:r>
    </w:p>
    <w:p>
      <w:pPr>
        <w:spacing w:after="0" w:line="86" w:lineRule="exact"/>
        <w:rPr>
          <w:rFonts w:ascii="Arial" w:cs="Arial" w:eastAsia="Arial" w:hAnsi="Arial"/>
          <w:sz w:val="13"/>
          <w:szCs w:val="13"/>
          <w:color w:val="64A70B"/>
        </w:rPr>
      </w:pPr>
    </w:p>
    <w:p>
      <w:pPr>
        <w:ind w:left="160" w:hanging="152"/>
        <w:spacing w:after="0"/>
        <w:tabs>
          <w:tab w:leader="none" w:pos="160" w:val="left"/>
        </w:tabs>
        <w:numPr>
          <w:ilvl w:val="0"/>
          <w:numId w:val="9"/>
        </w:numPr>
        <w:rPr>
          <w:rFonts w:ascii="Arial" w:cs="Arial" w:eastAsia="Arial" w:hAnsi="Arial"/>
          <w:sz w:val="13"/>
          <w:szCs w:val="13"/>
          <w:color w:val="64A70B"/>
        </w:rPr>
      </w:pPr>
      <w:r>
        <w:rPr>
          <w:rFonts w:ascii="Arial" w:cs="Arial" w:eastAsia="Arial" w:hAnsi="Arial"/>
          <w:sz w:val="16"/>
          <w:szCs w:val="16"/>
          <w:color w:val="auto"/>
        </w:rPr>
        <w:t>Expedite growth and drive margin expansion through our Transformation Program; and</w:t>
      </w:r>
    </w:p>
    <w:p>
      <w:pPr>
        <w:spacing w:after="0" w:line="99" w:lineRule="exact"/>
        <w:rPr>
          <w:rFonts w:ascii="Arial" w:cs="Arial" w:eastAsia="Arial" w:hAnsi="Arial"/>
          <w:sz w:val="13"/>
          <w:szCs w:val="13"/>
          <w:color w:val="64A70B"/>
        </w:rPr>
      </w:pPr>
    </w:p>
    <w:p>
      <w:pPr>
        <w:ind w:left="160" w:hanging="152"/>
        <w:spacing w:after="0"/>
        <w:tabs>
          <w:tab w:leader="none" w:pos="160" w:val="left"/>
        </w:tabs>
        <w:numPr>
          <w:ilvl w:val="0"/>
          <w:numId w:val="9"/>
        </w:numPr>
        <w:rPr>
          <w:rFonts w:ascii="Arial" w:cs="Arial" w:eastAsia="Arial" w:hAnsi="Arial"/>
          <w:sz w:val="13"/>
          <w:szCs w:val="13"/>
          <w:color w:val="64A70B"/>
        </w:rPr>
      </w:pPr>
      <w:r>
        <w:rPr>
          <w:rFonts w:ascii="Arial" w:cs="Arial" w:eastAsia="Arial" w:hAnsi="Arial"/>
          <w:sz w:val="16"/>
          <w:szCs w:val="16"/>
          <w:color w:val="auto"/>
        </w:rPr>
        <w:t>Build a high performance growth culture and deliver on our commitments while living our Win Right values.</w:t>
      </w:r>
    </w:p>
    <w:p>
      <w:pPr>
        <w:spacing w:after="0" w:line="342" w:lineRule="exact"/>
        <w:rPr>
          <w:sz w:val="20"/>
          <w:szCs w:val="20"/>
          <w:color w:val="auto"/>
        </w:rPr>
      </w:pPr>
    </w:p>
    <w:p>
      <w:pPr>
        <w:spacing w:after="0"/>
        <w:rPr>
          <w:sz w:val="20"/>
          <w:szCs w:val="20"/>
          <w:color w:val="auto"/>
        </w:rPr>
      </w:pPr>
      <w:r>
        <w:rPr>
          <w:rFonts w:ascii="Arial" w:cs="Arial" w:eastAsia="Arial" w:hAnsi="Arial"/>
          <w:sz w:val="32"/>
          <w:szCs w:val="32"/>
          <w:color w:val="0C3471"/>
        </w:rPr>
        <w:t>2025 Business Results Highlights*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68"/>
        </w:trPr>
        <w:tc>
          <w:tcPr>
            <w:tcW w:w="260" w:type="dxa"/>
            <w:vAlign w:val="bottom"/>
            <w:shd w:val="clear" w:color="auto" w:fill="0C3471"/>
          </w:tcPr>
          <w:p>
            <w:pPr>
              <w:spacing w:after="0"/>
              <w:rPr>
                <w:sz w:val="5"/>
                <w:szCs w:val="5"/>
                <w:color w:val="auto"/>
              </w:rPr>
            </w:pPr>
          </w:p>
        </w:tc>
        <w:tc>
          <w:tcPr>
            <w:tcW w:w="5360" w:type="dxa"/>
            <w:vAlign w:val="bottom"/>
            <w:shd w:val="clear" w:color="auto" w:fill="0C3471"/>
          </w:tcPr>
          <w:p>
            <w:pPr>
              <w:spacing w:after="0"/>
              <w:rPr>
                <w:sz w:val="5"/>
                <w:szCs w:val="5"/>
                <w:color w:val="auto"/>
              </w:rPr>
            </w:pPr>
          </w:p>
        </w:tc>
        <w:tc>
          <w:tcPr>
            <w:tcW w:w="1320" w:type="dxa"/>
            <w:vAlign w:val="bottom"/>
            <w:shd w:val="clear" w:color="auto" w:fill="0C3471"/>
          </w:tcPr>
          <w:p>
            <w:pPr>
              <w:spacing w:after="0"/>
              <w:rPr>
                <w:sz w:val="5"/>
                <w:szCs w:val="5"/>
                <w:color w:val="auto"/>
              </w:rPr>
            </w:pPr>
          </w:p>
        </w:tc>
        <w:tc>
          <w:tcPr>
            <w:tcW w:w="4040" w:type="dxa"/>
            <w:vAlign w:val="bottom"/>
            <w:shd w:val="clear" w:color="auto" w:fill="0C3471"/>
          </w:tcPr>
          <w:p>
            <w:pPr>
              <w:spacing w:after="0"/>
              <w:rPr>
                <w:sz w:val="5"/>
                <w:szCs w:val="5"/>
                <w:color w:val="auto"/>
              </w:rPr>
            </w:pPr>
          </w:p>
        </w:tc>
        <w:tc>
          <w:tcPr>
            <w:tcW w:w="260" w:type="dxa"/>
            <w:vAlign w:val="bottom"/>
            <w:shd w:val="clear" w:color="auto" w:fill="0C3471"/>
          </w:tcPr>
          <w:p>
            <w:pPr>
              <w:spacing w:after="0"/>
              <w:rPr>
                <w:sz w:val="5"/>
                <w:szCs w:val="5"/>
                <w:color w:val="auto"/>
              </w:rPr>
            </w:pPr>
          </w:p>
        </w:tc>
        <w:tc>
          <w:tcPr>
            <w:tcW w:w="0" w:type="dxa"/>
            <w:vAlign w:val="bottom"/>
          </w:tcPr>
          <w:p>
            <w:pPr>
              <w:spacing w:after="0"/>
              <w:rPr>
                <w:sz w:val="1"/>
                <w:szCs w:val="1"/>
                <w:color w:val="auto"/>
              </w:rPr>
            </w:pPr>
          </w:p>
        </w:tc>
      </w:tr>
      <w:tr>
        <w:trPr>
          <w:trHeight w:val="494"/>
        </w:trPr>
        <w:tc>
          <w:tcPr>
            <w:tcW w:w="260" w:type="dxa"/>
            <w:vAlign w:val="bottom"/>
          </w:tcPr>
          <w:p>
            <w:pPr>
              <w:spacing w:after="0"/>
              <w:rPr>
                <w:sz w:val="24"/>
                <w:szCs w:val="24"/>
                <w:color w:val="auto"/>
              </w:rPr>
            </w:pPr>
          </w:p>
        </w:tc>
        <w:tc>
          <w:tcPr>
            <w:tcW w:w="5360" w:type="dxa"/>
            <w:vAlign w:val="bottom"/>
            <w:shd w:val="clear" w:color="auto" w:fill="CED6E3"/>
          </w:tcPr>
          <w:p>
            <w:pPr>
              <w:spacing w:after="0"/>
              <w:rPr>
                <w:sz w:val="20"/>
                <w:szCs w:val="20"/>
                <w:color w:val="auto"/>
              </w:rPr>
            </w:pPr>
            <w:r>
              <w:rPr>
                <w:rFonts w:ascii="Arial" w:cs="Arial" w:eastAsia="Arial" w:hAnsi="Arial"/>
                <w:sz w:val="36"/>
                <w:szCs w:val="36"/>
                <w:b w:val="1"/>
                <w:bCs w:val="1"/>
                <w:color w:val="0C3471"/>
              </w:rPr>
              <w:t>$4.2 billion</w:t>
            </w:r>
          </w:p>
        </w:tc>
        <w:tc>
          <w:tcPr>
            <w:tcW w:w="5620" w:type="dxa"/>
            <w:vAlign w:val="bottom"/>
            <w:gridSpan w:val="3"/>
            <w:shd w:val="clear" w:color="auto" w:fill="CED6E3"/>
          </w:tcPr>
          <w:p>
            <w:pPr>
              <w:ind w:left="160"/>
              <w:spacing w:after="0"/>
              <w:rPr>
                <w:sz w:val="20"/>
                <w:szCs w:val="20"/>
                <w:color w:val="auto"/>
              </w:rPr>
            </w:pPr>
            <w:r>
              <w:rPr>
                <w:rFonts w:ascii="Arial" w:cs="Arial" w:eastAsia="Arial" w:hAnsi="Arial"/>
                <w:sz w:val="36"/>
                <w:szCs w:val="36"/>
                <w:b w:val="1"/>
                <w:bCs w:val="1"/>
                <w:color w:val="0C3471"/>
              </w:rPr>
              <w:t>$1,053.5 million</w:t>
            </w:r>
          </w:p>
        </w:tc>
        <w:tc>
          <w:tcPr>
            <w:tcW w:w="0" w:type="dxa"/>
            <w:vAlign w:val="bottom"/>
          </w:tcPr>
          <w:p>
            <w:pPr>
              <w:spacing w:after="0"/>
              <w:rPr>
                <w:sz w:val="1"/>
                <w:szCs w:val="1"/>
                <w:color w:val="auto"/>
              </w:rPr>
            </w:pPr>
          </w:p>
        </w:tc>
      </w:tr>
      <w:tr>
        <w:trPr>
          <w:trHeight w:val="221"/>
        </w:trPr>
        <w:tc>
          <w:tcPr>
            <w:tcW w:w="260" w:type="dxa"/>
            <w:vAlign w:val="bottom"/>
          </w:tcPr>
          <w:p>
            <w:pPr>
              <w:spacing w:after="0"/>
              <w:rPr>
                <w:sz w:val="19"/>
                <w:szCs w:val="19"/>
                <w:color w:val="auto"/>
              </w:rPr>
            </w:pPr>
          </w:p>
        </w:tc>
        <w:tc>
          <w:tcPr>
            <w:tcW w:w="5360" w:type="dxa"/>
            <w:vAlign w:val="bottom"/>
            <w:shd w:val="clear" w:color="auto" w:fill="CED6E3"/>
          </w:tcPr>
          <w:p>
            <w:pPr>
              <w:spacing w:after="0"/>
              <w:rPr>
                <w:sz w:val="20"/>
                <w:szCs w:val="20"/>
                <w:color w:val="auto"/>
              </w:rPr>
            </w:pPr>
            <w:r>
              <w:rPr>
                <w:rFonts w:ascii="Arial" w:cs="Arial" w:eastAsia="Arial" w:hAnsi="Arial"/>
                <w:sz w:val="18"/>
                <w:szCs w:val="18"/>
                <w:b w:val="1"/>
                <w:bCs w:val="1"/>
                <w:color w:val="0C3471"/>
              </w:rPr>
              <w:t>OF SALES</w:t>
            </w:r>
          </w:p>
        </w:tc>
        <w:tc>
          <w:tcPr>
            <w:tcW w:w="5620" w:type="dxa"/>
            <w:vAlign w:val="bottom"/>
            <w:gridSpan w:val="3"/>
            <w:shd w:val="clear" w:color="auto" w:fill="CED6E3"/>
          </w:tcPr>
          <w:p>
            <w:pPr>
              <w:ind w:left="160"/>
              <w:spacing w:after="0"/>
              <w:rPr>
                <w:sz w:val="20"/>
                <w:szCs w:val="20"/>
                <w:color w:val="auto"/>
              </w:rPr>
            </w:pPr>
            <w:r>
              <w:rPr>
                <w:rFonts w:ascii="Arial" w:cs="Arial" w:eastAsia="Arial" w:hAnsi="Arial"/>
                <w:sz w:val="18"/>
                <w:szCs w:val="18"/>
                <w:b w:val="1"/>
                <w:bCs w:val="1"/>
                <w:color w:val="0C3471"/>
              </w:rPr>
              <w:t>OF ADJUSTED OPERATING INCOME*</w:t>
            </w:r>
          </w:p>
        </w:tc>
        <w:tc>
          <w:tcPr>
            <w:tcW w:w="0" w:type="dxa"/>
            <w:vAlign w:val="bottom"/>
          </w:tcPr>
          <w:p>
            <w:pPr>
              <w:spacing w:after="0"/>
              <w:rPr>
                <w:sz w:val="1"/>
                <w:szCs w:val="1"/>
                <w:color w:val="auto"/>
              </w:rPr>
            </w:pPr>
          </w:p>
        </w:tc>
      </w:tr>
      <w:tr>
        <w:trPr>
          <w:trHeight w:val="223"/>
        </w:trPr>
        <w:tc>
          <w:tcPr>
            <w:tcW w:w="260" w:type="dxa"/>
            <w:vAlign w:val="bottom"/>
          </w:tcPr>
          <w:p>
            <w:pPr>
              <w:spacing w:after="0"/>
              <w:rPr>
                <w:sz w:val="19"/>
                <w:szCs w:val="19"/>
                <w:color w:val="auto"/>
              </w:rPr>
            </w:pPr>
          </w:p>
        </w:tc>
        <w:tc>
          <w:tcPr>
            <w:tcW w:w="5360" w:type="dxa"/>
            <w:vAlign w:val="bottom"/>
            <w:shd w:val="clear" w:color="auto" w:fill="CED6E3"/>
          </w:tcPr>
          <w:p>
            <w:pPr>
              <w:ind w:left="260"/>
              <w:spacing w:after="0"/>
              <w:rPr>
                <w:sz w:val="20"/>
                <w:szCs w:val="20"/>
                <w:color w:val="auto"/>
              </w:rPr>
            </w:pPr>
            <w:r>
              <w:rPr>
                <w:rFonts w:ascii="Arial" w:cs="Arial" w:eastAsia="Arial" w:hAnsi="Arial"/>
                <w:sz w:val="16"/>
                <w:szCs w:val="16"/>
                <w:b w:val="1"/>
                <w:bCs w:val="1"/>
                <w:color w:val="auto"/>
              </w:rPr>
              <w:t xml:space="preserve">2% </w:t>
            </w:r>
            <w:r>
              <w:rPr>
                <w:rFonts w:ascii="Arial" w:cs="Arial" w:eastAsia="Arial" w:hAnsi="Arial"/>
                <w:sz w:val="16"/>
                <w:szCs w:val="16"/>
                <w:color w:val="auto"/>
              </w:rPr>
              <w:t>compared to FY2024</w:t>
            </w:r>
          </w:p>
        </w:tc>
        <w:tc>
          <w:tcPr>
            <w:tcW w:w="5620" w:type="dxa"/>
            <w:vAlign w:val="bottom"/>
            <w:gridSpan w:val="3"/>
            <w:shd w:val="clear" w:color="auto" w:fill="CED6E3"/>
          </w:tcPr>
          <w:p>
            <w:pPr>
              <w:ind w:left="420"/>
              <w:spacing w:after="0"/>
              <w:rPr>
                <w:sz w:val="20"/>
                <w:szCs w:val="20"/>
                <w:color w:val="auto"/>
              </w:rPr>
            </w:pPr>
            <w:r>
              <w:rPr>
                <w:rFonts w:ascii="Arial" w:cs="Arial" w:eastAsia="Arial" w:hAnsi="Arial"/>
                <w:sz w:val="16"/>
                <w:szCs w:val="16"/>
                <w:b w:val="1"/>
                <w:bCs w:val="1"/>
                <w:color w:val="auto"/>
              </w:rPr>
              <w:t xml:space="preserve">10% </w:t>
            </w:r>
            <w:r>
              <w:rPr>
                <w:rFonts w:ascii="Arial" w:cs="Arial" w:eastAsia="Arial" w:hAnsi="Arial"/>
                <w:sz w:val="16"/>
                <w:szCs w:val="16"/>
                <w:color w:val="auto"/>
              </w:rPr>
              <w:t>from FY2024</w:t>
            </w:r>
          </w:p>
        </w:tc>
        <w:tc>
          <w:tcPr>
            <w:tcW w:w="0" w:type="dxa"/>
            <w:vAlign w:val="bottom"/>
          </w:tcPr>
          <w:p>
            <w:pPr>
              <w:spacing w:after="0"/>
              <w:rPr>
                <w:sz w:val="1"/>
                <w:szCs w:val="1"/>
                <w:color w:val="auto"/>
              </w:rPr>
            </w:pPr>
          </w:p>
        </w:tc>
      </w:tr>
      <w:tr>
        <w:trPr>
          <w:trHeight w:val="223"/>
        </w:trPr>
        <w:tc>
          <w:tcPr>
            <w:tcW w:w="260" w:type="dxa"/>
            <w:vAlign w:val="bottom"/>
          </w:tcPr>
          <w:p>
            <w:pPr>
              <w:spacing w:after="0"/>
              <w:rPr>
                <w:sz w:val="19"/>
                <w:szCs w:val="19"/>
                <w:color w:val="auto"/>
              </w:rPr>
            </w:pPr>
          </w:p>
        </w:tc>
        <w:tc>
          <w:tcPr>
            <w:tcW w:w="5360" w:type="dxa"/>
            <w:vAlign w:val="bottom"/>
            <w:vMerge w:val="restart"/>
            <w:shd w:val="clear" w:color="auto" w:fill="CED6E3"/>
          </w:tcPr>
          <w:p>
            <w:pPr>
              <w:spacing w:after="0"/>
              <w:rPr>
                <w:sz w:val="20"/>
                <w:szCs w:val="20"/>
                <w:color w:val="auto"/>
              </w:rPr>
            </w:pPr>
            <w:r>
              <w:rPr>
                <w:rFonts w:ascii="Arial" w:cs="Arial" w:eastAsia="Arial" w:hAnsi="Arial"/>
                <w:sz w:val="36"/>
                <w:szCs w:val="36"/>
                <w:b w:val="1"/>
                <w:bCs w:val="1"/>
                <w:color w:val="0C3471"/>
              </w:rPr>
              <w:t>$4.92</w:t>
            </w:r>
          </w:p>
        </w:tc>
        <w:tc>
          <w:tcPr>
            <w:tcW w:w="5360" w:type="dxa"/>
            <w:vAlign w:val="bottom"/>
            <w:gridSpan w:val="2"/>
            <w:vMerge w:val="restart"/>
            <w:shd w:val="clear" w:color="auto" w:fill="CED6E3"/>
          </w:tcPr>
          <w:p>
            <w:pPr>
              <w:ind w:left="160"/>
              <w:spacing w:after="0"/>
              <w:rPr>
                <w:sz w:val="20"/>
                <w:szCs w:val="20"/>
                <w:color w:val="auto"/>
              </w:rPr>
            </w:pPr>
            <w:r>
              <w:rPr>
                <w:rFonts w:ascii="Arial" w:cs="Arial" w:eastAsia="Arial" w:hAnsi="Arial"/>
                <w:sz w:val="18"/>
                <w:szCs w:val="18"/>
                <w:b w:val="1"/>
                <w:bCs w:val="1"/>
                <w:color w:val="0C3471"/>
              </w:rPr>
              <w:t>INCREASED QUARTERLY CASH DIVIDEND from</w:t>
            </w:r>
          </w:p>
        </w:tc>
        <w:tc>
          <w:tcPr>
            <w:tcW w:w="260" w:type="dxa"/>
            <w:vAlign w:val="bottom"/>
            <w:shd w:val="clear" w:color="auto" w:fill="CED6E3"/>
          </w:tcPr>
          <w:p>
            <w:pPr>
              <w:spacing w:after="0"/>
              <w:rPr>
                <w:sz w:val="19"/>
                <w:szCs w:val="19"/>
                <w:color w:val="auto"/>
              </w:rPr>
            </w:pPr>
          </w:p>
        </w:tc>
        <w:tc>
          <w:tcPr>
            <w:tcW w:w="0" w:type="dxa"/>
            <w:vAlign w:val="bottom"/>
          </w:tcPr>
          <w:p>
            <w:pPr>
              <w:spacing w:after="0"/>
              <w:rPr>
                <w:sz w:val="1"/>
                <w:szCs w:val="1"/>
                <w:color w:val="auto"/>
              </w:rPr>
            </w:pPr>
          </w:p>
        </w:tc>
      </w:tr>
      <w:tr>
        <w:trPr>
          <w:trHeight w:val="313"/>
        </w:trPr>
        <w:tc>
          <w:tcPr>
            <w:tcW w:w="260" w:type="dxa"/>
            <w:vAlign w:val="bottom"/>
          </w:tcPr>
          <w:p>
            <w:pPr>
              <w:spacing w:after="0"/>
              <w:rPr>
                <w:sz w:val="24"/>
                <w:szCs w:val="24"/>
                <w:color w:val="auto"/>
              </w:rPr>
            </w:pPr>
          </w:p>
        </w:tc>
        <w:tc>
          <w:tcPr>
            <w:tcW w:w="5360" w:type="dxa"/>
            <w:vAlign w:val="bottom"/>
            <w:vMerge w:val="continue"/>
            <w:shd w:val="clear" w:color="auto" w:fill="CED6E3"/>
          </w:tcPr>
          <w:p>
            <w:pPr>
              <w:spacing w:after="0"/>
              <w:rPr>
                <w:sz w:val="24"/>
                <w:szCs w:val="24"/>
                <w:color w:val="auto"/>
              </w:rPr>
            </w:pPr>
          </w:p>
        </w:tc>
        <w:tc>
          <w:tcPr>
            <w:tcW w:w="5360" w:type="dxa"/>
            <w:vAlign w:val="bottom"/>
            <w:gridSpan w:val="2"/>
            <w:vMerge w:val="continue"/>
            <w:shd w:val="clear" w:color="auto" w:fill="CED6E3"/>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60" w:type="dxa"/>
            <w:vAlign w:val="bottom"/>
          </w:tcPr>
          <w:p>
            <w:pPr>
              <w:spacing w:after="0"/>
              <w:rPr>
                <w:sz w:val="19"/>
                <w:szCs w:val="19"/>
                <w:color w:val="auto"/>
              </w:rPr>
            </w:pPr>
          </w:p>
        </w:tc>
        <w:tc>
          <w:tcPr>
            <w:tcW w:w="5360" w:type="dxa"/>
            <w:vAlign w:val="bottom"/>
            <w:vMerge w:val="continue"/>
            <w:shd w:val="clear" w:color="auto" w:fill="CED6E3"/>
          </w:tcPr>
          <w:p>
            <w:pPr>
              <w:spacing w:after="0"/>
              <w:rPr>
                <w:sz w:val="19"/>
                <w:szCs w:val="19"/>
                <w:color w:val="auto"/>
              </w:rPr>
            </w:pPr>
          </w:p>
        </w:tc>
        <w:tc>
          <w:tcPr>
            <w:tcW w:w="1320" w:type="dxa"/>
            <w:vAlign w:val="bottom"/>
            <w:vMerge w:val="restart"/>
            <w:shd w:val="clear" w:color="auto" w:fill="CED6E3"/>
          </w:tcPr>
          <w:p>
            <w:pPr>
              <w:ind w:left="160"/>
              <w:spacing w:after="0"/>
              <w:rPr>
                <w:sz w:val="20"/>
                <w:szCs w:val="20"/>
                <w:color w:val="auto"/>
              </w:rPr>
            </w:pPr>
            <w:r>
              <w:rPr>
                <w:rFonts w:ascii="Arial" w:cs="Arial" w:eastAsia="Arial" w:hAnsi="Arial"/>
                <w:sz w:val="36"/>
                <w:szCs w:val="36"/>
                <w:b w:val="1"/>
                <w:bCs w:val="1"/>
                <w:color w:val="0C3471"/>
              </w:rPr>
              <w:t>$0.23</w:t>
            </w:r>
          </w:p>
        </w:tc>
        <w:tc>
          <w:tcPr>
            <w:tcW w:w="4040" w:type="dxa"/>
            <w:vAlign w:val="bottom"/>
            <w:vMerge w:val="restart"/>
            <w:shd w:val="clear" w:color="auto" w:fill="CED6E3"/>
          </w:tcPr>
          <w:p>
            <w:pPr>
              <w:jc w:val="right"/>
              <w:ind w:right="2700"/>
              <w:spacing w:after="0"/>
              <w:rPr>
                <w:sz w:val="20"/>
                <w:szCs w:val="20"/>
                <w:color w:val="auto"/>
              </w:rPr>
            </w:pPr>
            <w:r>
              <w:rPr>
                <w:rFonts w:ascii="Arial" w:cs="Arial" w:eastAsia="Arial" w:hAnsi="Arial"/>
                <w:sz w:val="36"/>
                <w:szCs w:val="36"/>
                <w:b w:val="1"/>
                <w:bCs w:val="1"/>
                <w:color w:val="0C3471"/>
              </w:rPr>
              <w:t>$0.25</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60" w:type="dxa"/>
            <w:vAlign w:val="bottom"/>
          </w:tcPr>
          <w:p>
            <w:pPr>
              <w:spacing w:after="0"/>
              <w:rPr>
                <w:sz w:val="19"/>
                <w:szCs w:val="19"/>
                <w:color w:val="auto"/>
              </w:rPr>
            </w:pPr>
          </w:p>
        </w:tc>
        <w:tc>
          <w:tcPr>
            <w:tcW w:w="5360" w:type="dxa"/>
            <w:vAlign w:val="bottom"/>
            <w:shd w:val="clear" w:color="auto" w:fill="CED6E3"/>
          </w:tcPr>
          <w:p>
            <w:pPr>
              <w:spacing w:after="0"/>
              <w:rPr>
                <w:sz w:val="20"/>
                <w:szCs w:val="20"/>
                <w:color w:val="auto"/>
              </w:rPr>
            </w:pPr>
            <w:r>
              <w:rPr>
                <w:rFonts w:ascii="Arial" w:cs="Arial" w:eastAsia="Arial" w:hAnsi="Arial"/>
                <w:sz w:val="18"/>
                <w:szCs w:val="18"/>
                <w:b w:val="1"/>
                <w:bCs w:val="1"/>
                <w:color w:val="0C3471"/>
              </w:rPr>
              <w:t>ADJUSTED EARNINGS PER SHARE*</w:t>
            </w:r>
          </w:p>
        </w:tc>
        <w:tc>
          <w:tcPr>
            <w:tcW w:w="1320" w:type="dxa"/>
            <w:vAlign w:val="bottom"/>
            <w:vMerge w:val="continue"/>
            <w:shd w:val="clear" w:color="auto" w:fill="CED6E3"/>
          </w:tcPr>
          <w:p>
            <w:pPr>
              <w:spacing w:after="0"/>
              <w:rPr>
                <w:sz w:val="19"/>
                <w:szCs w:val="19"/>
                <w:color w:val="auto"/>
              </w:rPr>
            </w:pPr>
          </w:p>
        </w:tc>
        <w:tc>
          <w:tcPr>
            <w:tcW w:w="4040" w:type="dxa"/>
            <w:vAlign w:val="bottom"/>
            <w:vMerge w:val="continue"/>
            <w:shd w:val="clear" w:color="auto" w:fill="CED6E3"/>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60" w:type="dxa"/>
            <w:vAlign w:val="bottom"/>
          </w:tcPr>
          <w:p>
            <w:pPr>
              <w:spacing w:after="0"/>
              <w:rPr>
                <w:sz w:val="19"/>
                <w:szCs w:val="19"/>
                <w:color w:val="auto"/>
              </w:rPr>
            </w:pPr>
          </w:p>
        </w:tc>
        <w:tc>
          <w:tcPr>
            <w:tcW w:w="5360" w:type="dxa"/>
            <w:vAlign w:val="bottom"/>
            <w:shd w:val="clear" w:color="auto" w:fill="CED6E3"/>
          </w:tcPr>
          <w:p>
            <w:pPr>
              <w:ind w:left="280"/>
              <w:spacing w:after="0"/>
              <w:rPr>
                <w:sz w:val="20"/>
                <w:szCs w:val="20"/>
                <w:color w:val="auto"/>
              </w:rPr>
            </w:pPr>
            <w:r>
              <w:rPr>
                <w:rFonts w:ascii="Arial" w:cs="Arial" w:eastAsia="Arial" w:hAnsi="Arial"/>
                <w:sz w:val="16"/>
                <w:szCs w:val="16"/>
                <w:b w:val="1"/>
                <w:bCs w:val="1"/>
                <w:color w:val="auto"/>
              </w:rPr>
              <w:t xml:space="preserve">14% </w:t>
            </w:r>
            <w:r>
              <w:rPr>
                <w:rFonts w:ascii="Arial" w:cs="Arial" w:eastAsia="Arial" w:hAnsi="Arial"/>
                <w:sz w:val="16"/>
                <w:szCs w:val="16"/>
                <w:color w:val="auto"/>
              </w:rPr>
              <w:t>from FY2024</w:t>
            </w:r>
          </w:p>
        </w:tc>
        <w:tc>
          <w:tcPr>
            <w:tcW w:w="1320" w:type="dxa"/>
            <w:vAlign w:val="bottom"/>
            <w:shd w:val="clear" w:color="auto" w:fill="CED6E3"/>
          </w:tcPr>
          <w:p>
            <w:pPr>
              <w:ind w:left="160"/>
              <w:spacing w:after="0"/>
              <w:rPr>
                <w:sz w:val="20"/>
                <w:szCs w:val="20"/>
                <w:color w:val="auto"/>
              </w:rPr>
            </w:pPr>
            <w:r>
              <w:rPr>
                <w:rFonts w:ascii="Arial" w:cs="Arial" w:eastAsia="Arial" w:hAnsi="Arial"/>
                <w:sz w:val="16"/>
                <w:szCs w:val="16"/>
                <w:color w:val="auto"/>
              </w:rPr>
              <w:t>per share</w:t>
            </w:r>
          </w:p>
        </w:tc>
        <w:tc>
          <w:tcPr>
            <w:tcW w:w="4040" w:type="dxa"/>
            <w:vAlign w:val="bottom"/>
            <w:shd w:val="clear" w:color="auto" w:fill="CED6E3"/>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9"/>
        </w:trPr>
        <w:tc>
          <w:tcPr>
            <w:tcW w:w="260" w:type="dxa"/>
            <w:vAlign w:val="bottom"/>
          </w:tcPr>
          <w:p>
            <w:pPr>
              <w:spacing w:after="0"/>
              <w:rPr>
                <w:sz w:val="24"/>
                <w:szCs w:val="24"/>
                <w:color w:val="auto"/>
              </w:rPr>
            </w:pPr>
          </w:p>
        </w:tc>
        <w:tc>
          <w:tcPr>
            <w:tcW w:w="5360" w:type="dxa"/>
            <w:vAlign w:val="bottom"/>
            <w:shd w:val="clear" w:color="auto" w:fill="CED6E3"/>
          </w:tcPr>
          <w:p>
            <w:pPr>
              <w:spacing w:after="0"/>
              <w:rPr>
                <w:sz w:val="20"/>
                <w:szCs w:val="20"/>
                <w:color w:val="auto"/>
              </w:rPr>
            </w:pPr>
            <w:r>
              <w:rPr>
                <w:rFonts w:ascii="Arial" w:cs="Arial" w:eastAsia="Arial" w:hAnsi="Arial"/>
                <w:sz w:val="18"/>
                <w:szCs w:val="18"/>
                <w:b w:val="1"/>
                <w:bCs w:val="1"/>
                <w:color w:val="0C3471"/>
              </w:rPr>
              <w:t>ADJUSTED RETURN ON SALES* of</w:t>
            </w:r>
          </w:p>
        </w:tc>
        <w:tc>
          <w:tcPr>
            <w:tcW w:w="5360" w:type="dxa"/>
            <w:vAlign w:val="bottom"/>
            <w:gridSpan w:val="2"/>
            <w:vMerge w:val="restart"/>
            <w:shd w:val="clear" w:color="auto" w:fill="CED6E3"/>
          </w:tcPr>
          <w:p>
            <w:pPr>
              <w:ind w:left="160"/>
              <w:spacing w:after="0"/>
              <w:rPr>
                <w:sz w:val="20"/>
                <w:szCs w:val="20"/>
                <w:color w:val="auto"/>
              </w:rPr>
            </w:pPr>
            <w:r>
              <w:rPr>
                <w:rFonts w:ascii="Arial" w:cs="Arial" w:eastAsia="Arial" w:hAnsi="Arial"/>
                <w:sz w:val="36"/>
                <w:szCs w:val="36"/>
                <w:b w:val="1"/>
                <w:bCs w:val="1"/>
                <w:color w:val="0C3471"/>
              </w:rPr>
              <w:t>$389.3 million</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60" w:type="dxa"/>
            <w:vAlign w:val="bottom"/>
          </w:tcPr>
          <w:p>
            <w:pPr>
              <w:spacing w:after="0"/>
              <w:rPr>
                <w:sz w:val="19"/>
                <w:szCs w:val="19"/>
                <w:color w:val="auto"/>
              </w:rPr>
            </w:pPr>
          </w:p>
        </w:tc>
        <w:tc>
          <w:tcPr>
            <w:tcW w:w="5360" w:type="dxa"/>
            <w:vAlign w:val="bottom"/>
            <w:vMerge w:val="restart"/>
            <w:shd w:val="clear" w:color="auto" w:fill="CED6E3"/>
          </w:tcPr>
          <w:p>
            <w:pPr>
              <w:spacing w:after="0"/>
              <w:rPr>
                <w:sz w:val="20"/>
                <w:szCs w:val="20"/>
                <w:color w:val="auto"/>
              </w:rPr>
            </w:pPr>
            <w:r>
              <w:rPr>
                <w:rFonts w:ascii="Arial" w:cs="Arial" w:eastAsia="Arial" w:hAnsi="Arial"/>
                <w:sz w:val="36"/>
                <w:szCs w:val="36"/>
                <w:b w:val="1"/>
                <w:bCs w:val="1"/>
                <w:color w:val="0C3471"/>
              </w:rPr>
              <w:t>25.2%</w:t>
            </w:r>
          </w:p>
        </w:tc>
        <w:tc>
          <w:tcPr>
            <w:tcW w:w="5360" w:type="dxa"/>
            <w:vAlign w:val="bottom"/>
            <w:gridSpan w:val="2"/>
            <w:vMerge w:val="continue"/>
            <w:shd w:val="clear" w:color="auto" w:fill="CED6E3"/>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60" w:type="dxa"/>
            <w:vAlign w:val="bottom"/>
          </w:tcPr>
          <w:p>
            <w:pPr>
              <w:spacing w:after="0"/>
              <w:rPr>
                <w:sz w:val="19"/>
                <w:szCs w:val="19"/>
                <w:color w:val="auto"/>
              </w:rPr>
            </w:pPr>
          </w:p>
        </w:tc>
        <w:tc>
          <w:tcPr>
            <w:tcW w:w="5360" w:type="dxa"/>
            <w:vAlign w:val="bottom"/>
            <w:vMerge w:val="continue"/>
            <w:shd w:val="clear" w:color="auto" w:fill="CED6E3"/>
          </w:tcPr>
          <w:p>
            <w:pPr>
              <w:spacing w:after="0"/>
              <w:rPr>
                <w:sz w:val="19"/>
                <w:szCs w:val="19"/>
                <w:color w:val="auto"/>
              </w:rPr>
            </w:pPr>
          </w:p>
        </w:tc>
        <w:tc>
          <w:tcPr>
            <w:tcW w:w="5360" w:type="dxa"/>
            <w:vAlign w:val="bottom"/>
            <w:gridSpan w:val="2"/>
            <w:shd w:val="clear" w:color="auto" w:fill="CED6E3"/>
          </w:tcPr>
          <w:p>
            <w:pPr>
              <w:ind w:left="160"/>
              <w:spacing w:after="0"/>
              <w:rPr>
                <w:sz w:val="20"/>
                <w:szCs w:val="20"/>
                <w:color w:val="auto"/>
              </w:rPr>
            </w:pPr>
            <w:r>
              <w:rPr>
                <w:rFonts w:ascii="Arial" w:cs="Arial" w:eastAsia="Arial" w:hAnsi="Arial"/>
                <w:sz w:val="18"/>
                <w:szCs w:val="18"/>
                <w:b w:val="1"/>
                <w:bCs w:val="1"/>
                <w:color w:val="0C3471"/>
              </w:rPr>
              <w:t>CASH RETURNED TO SHAREHOLDERS</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60" w:type="dxa"/>
            <w:vAlign w:val="bottom"/>
          </w:tcPr>
          <w:p>
            <w:pPr>
              <w:spacing w:after="0"/>
              <w:rPr>
                <w:sz w:val="19"/>
                <w:szCs w:val="19"/>
                <w:color w:val="auto"/>
              </w:rPr>
            </w:pPr>
          </w:p>
        </w:tc>
        <w:tc>
          <w:tcPr>
            <w:tcW w:w="5360" w:type="dxa"/>
            <w:vAlign w:val="bottom"/>
            <w:shd w:val="clear" w:color="auto" w:fill="CED6E3"/>
          </w:tcPr>
          <w:p>
            <w:pPr>
              <w:ind w:left="280"/>
              <w:spacing w:after="0"/>
              <w:rPr>
                <w:sz w:val="20"/>
                <w:szCs w:val="20"/>
                <w:color w:val="auto"/>
              </w:rPr>
            </w:pPr>
            <w:r>
              <w:rPr>
                <w:rFonts w:ascii="Arial" w:cs="Arial" w:eastAsia="Arial" w:hAnsi="Arial"/>
                <w:sz w:val="16"/>
                <w:szCs w:val="16"/>
                <w:b w:val="1"/>
                <w:bCs w:val="1"/>
                <w:color w:val="auto"/>
              </w:rPr>
              <w:t xml:space="preserve">170bps </w:t>
            </w:r>
            <w:r>
              <w:rPr>
                <w:rFonts w:ascii="Arial" w:cs="Arial" w:eastAsia="Arial" w:hAnsi="Arial"/>
                <w:sz w:val="16"/>
                <w:szCs w:val="16"/>
                <w:color w:val="auto"/>
              </w:rPr>
              <w:t>from FY2024</w:t>
            </w:r>
          </w:p>
        </w:tc>
        <w:tc>
          <w:tcPr>
            <w:tcW w:w="5360" w:type="dxa"/>
            <w:vAlign w:val="bottom"/>
            <w:gridSpan w:val="2"/>
            <w:shd w:val="clear" w:color="auto" w:fill="CED6E3"/>
          </w:tcPr>
          <w:p>
            <w:pPr>
              <w:ind w:left="160"/>
              <w:spacing w:after="0"/>
              <w:rPr>
                <w:sz w:val="20"/>
                <w:szCs w:val="20"/>
                <w:color w:val="auto"/>
              </w:rPr>
            </w:pPr>
            <w:r>
              <w:rPr>
                <w:rFonts w:ascii="Arial" w:cs="Arial" w:eastAsia="Arial" w:hAnsi="Arial"/>
                <w:sz w:val="16"/>
                <w:szCs w:val="16"/>
                <w:color w:val="auto"/>
              </w:rPr>
              <w:t>in cash dividends and share repurchases in FY2025</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60" w:type="dxa"/>
            <w:vAlign w:val="bottom"/>
          </w:tcPr>
          <w:p>
            <w:pPr>
              <w:spacing w:after="0"/>
              <w:rPr>
                <w:sz w:val="18"/>
                <w:szCs w:val="18"/>
                <w:color w:val="auto"/>
              </w:rPr>
            </w:pPr>
          </w:p>
        </w:tc>
        <w:tc>
          <w:tcPr>
            <w:tcW w:w="5360" w:type="dxa"/>
            <w:vAlign w:val="bottom"/>
            <w:shd w:val="clear" w:color="auto" w:fill="CED6E3"/>
          </w:tcPr>
          <w:p>
            <w:pPr>
              <w:spacing w:after="0"/>
              <w:rPr>
                <w:sz w:val="18"/>
                <w:szCs w:val="18"/>
                <w:color w:val="auto"/>
              </w:rPr>
            </w:pPr>
          </w:p>
        </w:tc>
        <w:tc>
          <w:tcPr>
            <w:tcW w:w="1320" w:type="dxa"/>
            <w:vAlign w:val="bottom"/>
            <w:shd w:val="clear" w:color="auto" w:fill="CED6E3"/>
          </w:tcPr>
          <w:p>
            <w:pPr>
              <w:spacing w:after="0"/>
              <w:rPr>
                <w:sz w:val="18"/>
                <w:szCs w:val="18"/>
                <w:color w:val="auto"/>
              </w:rPr>
            </w:pPr>
          </w:p>
        </w:tc>
        <w:tc>
          <w:tcPr>
            <w:tcW w:w="4040" w:type="dxa"/>
            <w:vAlign w:val="bottom"/>
            <w:shd w:val="clear" w:color="auto" w:fill="CED6E3"/>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-2211070</wp:posOffset>
            </wp:positionV>
            <wp:extent cx="7132320" cy="34804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3480435"/>
                    </a:xfrm>
                    <a:prstGeom prst="rect">
                      <a:avLst/>
                    </a:prstGeom>
                    <a:noFill/>
                  </pic:spPr>
                </pic:pic>
              </a:graphicData>
            </a:graphic>
          </wp:anchor>
        </w:drawing>
      </w:r>
    </w:p>
    <w:p>
      <w:pPr>
        <w:ind w:left="260"/>
        <w:spacing w:after="0"/>
        <w:rPr>
          <w:sz w:val="20"/>
          <w:szCs w:val="20"/>
          <w:color w:val="auto"/>
        </w:rPr>
      </w:pPr>
      <w:r>
        <w:rPr>
          <w:rFonts w:ascii="Arial" w:cs="Arial" w:eastAsia="Arial" w:hAnsi="Arial"/>
          <w:sz w:val="18"/>
          <w:szCs w:val="18"/>
          <w:b w:val="1"/>
          <w:bCs w:val="1"/>
          <w:color w:val="0C3471"/>
        </w:rPr>
        <w:t>FREE CASH FLOW* from continuing operations of</w:t>
      </w:r>
    </w:p>
    <w:p>
      <w:pPr>
        <w:spacing w:after="0" w:line="40" w:lineRule="exact"/>
        <w:rPr>
          <w:sz w:val="20"/>
          <w:szCs w:val="20"/>
          <w:color w:val="auto"/>
        </w:rPr>
      </w:pPr>
    </w:p>
    <w:p>
      <w:pPr>
        <w:ind w:left="260"/>
        <w:spacing w:after="0"/>
        <w:rPr>
          <w:sz w:val="20"/>
          <w:szCs w:val="20"/>
          <w:color w:val="auto"/>
        </w:rPr>
      </w:pPr>
      <w:r>
        <w:rPr>
          <w:rFonts w:ascii="Arial" w:cs="Arial" w:eastAsia="Arial" w:hAnsi="Arial"/>
          <w:sz w:val="36"/>
          <w:szCs w:val="36"/>
          <w:b w:val="1"/>
          <w:bCs w:val="1"/>
          <w:color w:val="0C3471"/>
        </w:rPr>
        <w:t>$748.4 million</w:t>
      </w:r>
    </w:p>
    <w:p>
      <w:pPr>
        <w:spacing w:after="0" w:line="6" w:lineRule="exact"/>
        <w:rPr>
          <w:sz w:val="20"/>
          <w:szCs w:val="20"/>
          <w:color w:val="auto"/>
        </w:rPr>
      </w:pPr>
    </w:p>
    <w:p>
      <w:pPr>
        <w:ind w:left="260"/>
        <w:spacing w:after="0"/>
        <w:rPr>
          <w:sz w:val="20"/>
          <w:szCs w:val="20"/>
          <w:color w:val="auto"/>
        </w:rPr>
      </w:pPr>
      <w:r>
        <w:rPr>
          <w:sz w:val="1"/>
          <w:szCs w:val="1"/>
          <w:color w:val="auto"/>
        </w:rPr>
        <w:drawing>
          <wp:inline distT="0" distB="0" distL="0" distR="0">
            <wp:extent cx="137160" cy="68580"/>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37160" cy="68580"/>
                    </a:xfrm>
                    <a:prstGeom prst="rect">
                      <a:avLst/>
                    </a:prstGeom>
                    <a:noFill/>
                    <a:ln>
                      <a:noFill/>
                    </a:ln>
                  </pic:spPr>
                </pic:pic>
              </a:graphicData>
            </a:graphic>
          </wp:inline>
        </w:drawing>
      </w:r>
      <w:r>
        <w:rPr>
          <w:rFonts w:ascii="Arial" w:cs="Arial" w:eastAsia="Arial" w:hAnsi="Arial"/>
          <w:sz w:val="16"/>
          <w:szCs w:val="16"/>
          <w:b w:val="1"/>
          <w:bCs w:val="1"/>
          <w:color w:val="auto"/>
        </w:rPr>
        <w:t xml:space="preserve"> 8% </w:t>
      </w:r>
      <w:r>
        <w:rPr>
          <w:rFonts w:ascii="Arial" w:cs="Arial" w:eastAsia="Arial" w:hAnsi="Arial"/>
          <w:sz w:val="16"/>
          <w:szCs w:val="16"/>
          <w:color w:val="auto"/>
        </w:rPr>
        <w:t>from FY2024</w:t>
      </w:r>
    </w:p>
    <w:p>
      <w:pPr>
        <w:spacing w:after="0" w:line="243"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0C3471"/>
        </w:rPr>
        <w:t>ROIC* of</w:t>
      </w:r>
    </w:p>
    <w:p>
      <w:pPr>
        <w:spacing w:after="0" w:line="40" w:lineRule="exact"/>
        <w:rPr>
          <w:sz w:val="20"/>
          <w:szCs w:val="20"/>
          <w:color w:val="auto"/>
        </w:rPr>
      </w:pPr>
    </w:p>
    <w:p>
      <w:pPr>
        <w:ind w:left="260"/>
        <w:spacing w:after="0"/>
        <w:rPr>
          <w:sz w:val="20"/>
          <w:szCs w:val="20"/>
          <w:color w:val="auto"/>
        </w:rPr>
      </w:pPr>
      <w:r>
        <w:rPr>
          <w:rFonts w:ascii="Arial" w:cs="Arial" w:eastAsia="Arial" w:hAnsi="Arial"/>
          <w:sz w:val="36"/>
          <w:szCs w:val="36"/>
          <w:b w:val="1"/>
          <w:bCs w:val="1"/>
          <w:color w:val="0C3471"/>
        </w:rPr>
        <w:t>16.7%</w:t>
      </w:r>
    </w:p>
    <w:p>
      <w:pPr>
        <w:spacing w:after="0" w:line="200" w:lineRule="exact"/>
        <w:rPr>
          <w:sz w:val="20"/>
          <w:szCs w:val="20"/>
          <w:color w:val="auto"/>
        </w:rPr>
      </w:pPr>
    </w:p>
    <w:p>
      <w:pPr>
        <w:spacing w:after="0" w:line="216" w:lineRule="exact"/>
        <w:rPr>
          <w:sz w:val="20"/>
          <w:szCs w:val="20"/>
          <w:color w:val="auto"/>
        </w:rPr>
      </w:pPr>
    </w:p>
    <w:p>
      <w:pPr>
        <w:ind w:left="220" w:hanging="212"/>
        <w:spacing w:after="0"/>
        <w:tabs>
          <w:tab w:leader="none" w:pos="2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Please see Appendix A for reconciliation of GAAP to non-GAAP financial measures included in this section.</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10840" w:type="dxa"/>
            <w:vAlign w:val="bottom"/>
          </w:tcPr>
          <w:p>
            <w:pPr>
              <w:ind w:left="8260"/>
              <w:spacing w:after="0"/>
              <w:rPr>
                <w:sz w:val="20"/>
                <w:szCs w:val="20"/>
                <w:color w:val="auto"/>
              </w:rPr>
            </w:pPr>
            <w:r>
              <w:rPr>
                <w:rFonts w:ascii="Arial" w:cs="Arial" w:eastAsia="Arial" w:hAnsi="Arial"/>
                <w:sz w:val="16"/>
                <w:szCs w:val="16"/>
                <w:b w:val="1"/>
                <w:bCs w:val="1"/>
                <w:color w:val="auto"/>
              </w:rPr>
              <w:t xml:space="preserve">2026 Proxy Statement </w:t>
            </w:r>
            <w:r>
              <w:rPr>
                <w:rFonts w:ascii="Arial" w:cs="Arial" w:eastAsia="Arial" w:hAnsi="Arial"/>
                <w:sz w:val="16"/>
                <w:szCs w:val="16"/>
                <w:b w:val="1"/>
                <w:bCs w:val="1"/>
                <w:color w:val="0C3471"/>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Pentair</w:t>
            </w:r>
          </w:p>
        </w:tc>
        <w:tc>
          <w:tcPr>
            <w:tcW w:w="400" w:type="dxa"/>
            <w:vAlign w:val="bottom"/>
          </w:tcPr>
          <w:p>
            <w:pPr>
              <w:jc w:val="right"/>
              <w:spacing w:after="0"/>
              <w:rPr>
                <w:sz w:val="20"/>
                <w:szCs w:val="20"/>
                <w:color w:val="auto"/>
              </w:rPr>
            </w:pPr>
            <w:r>
              <w:rPr>
                <w:rFonts w:ascii="Arial" w:cs="Arial" w:eastAsia="Arial" w:hAnsi="Arial"/>
                <w:sz w:val="16"/>
                <w:szCs w:val="16"/>
                <w:b w:val="1"/>
                <w:bCs w:val="1"/>
                <w:color w:val="auto"/>
              </w:rPr>
              <w:t>5</w:t>
            </w:r>
          </w:p>
        </w:tc>
      </w:tr>
      <w:tr>
        <w:trPr>
          <w:trHeight w:val="325"/>
        </w:trPr>
        <w:tc>
          <w:tcPr>
            <w:tcW w:w="108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 w:name="page8"/>
    <w:bookmarkEnd w:id="7"/>
    <w:p>
      <w:pPr>
        <w:spacing w:after="0" w:line="7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216535</wp:posOffset>
            </wp:positionH>
            <wp:positionV relativeFrom="page">
              <wp:posOffset>877570</wp:posOffset>
            </wp:positionV>
            <wp:extent cx="445770" cy="4718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clrChange>
                        <a:clrFrom>
                          <a:srgbClr val="FFFFFF"/>
                        </a:clrFrom>
                        <a:clrTo>
                          <a:srgbClr val="FFFFFF">
                            <a:alpha val="0"/>
                          </a:srgbClr>
                        </a:clrTo>
                      </a:clrChange>
                      <a:extLst>
                        <a:ext uri="{28A0092B-C50C-407E-A947-70E740481C1C}"/>
                      </a:extLst>
                    </a:blip>
                    <a:srcRect/>
                    <a:stretch>
                      <a:fillRect/>
                    </a:stretch>
                  </pic:blipFill>
                  <pic:spPr bwMode="auto">
                    <a:xfrm>
                      <a:off x="0" y="0"/>
                      <a:ext cx="445770" cy="471805"/>
                    </a:xfrm>
                    <a:prstGeom prst="rect">
                      <a:avLst/>
                    </a:prstGeom>
                    <a:noFill/>
                  </pic:spPr>
                </pic:pic>
              </a:graphicData>
            </a:graphic>
          </wp:anchor>
        </w:drawing>
      </w:r>
    </w:p>
    <w:p>
      <w:pPr>
        <w:ind w:left="1080"/>
        <w:spacing w:after="0"/>
        <w:rPr>
          <w:sz w:val="20"/>
          <w:szCs w:val="20"/>
          <w:color w:val="auto"/>
        </w:rPr>
      </w:pPr>
      <w:r>
        <w:rPr>
          <w:rFonts w:ascii="Arial" w:cs="Arial" w:eastAsia="Arial" w:hAnsi="Arial"/>
          <w:sz w:val="43"/>
          <w:szCs w:val="43"/>
          <w:b w:val="1"/>
          <w:bCs w:val="1"/>
          <w:color w:val="0C3471"/>
        </w:rPr>
        <w:t>Proxy Statement Summary</w:t>
      </w:r>
    </w:p>
    <w:p>
      <w:pPr>
        <w:spacing w:after="0" w:line="200" w:lineRule="exact"/>
        <w:rPr>
          <w:sz w:val="20"/>
          <w:szCs w:val="20"/>
          <w:color w:val="auto"/>
        </w:rPr>
      </w:pPr>
    </w:p>
    <w:p>
      <w:pPr>
        <w:spacing w:after="0" w:line="293" w:lineRule="exact"/>
        <w:rPr>
          <w:sz w:val="20"/>
          <w:szCs w:val="20"/>
          <w:color w:val="auto"/>
        </w:rPr>
      </w:pPr>
    </w:p>
    <w:p>
      <w:pPr>
        <w:ind w:right="40"/>
        <w:spacing w:after="0" w:line="321" w:lineRule="auto"/>
        <w:rPr>
          <w:sz w:val="20"/>
          <w:szCs w:val="20"/>
          <w:color w:val="auto"/>
        </w:rPr>
      </w:pPr>
      <w:r>
        <w:rPr>
          <w:rFonts w:ascii="Arial" w:cs="Arial" w:eastAsia="Arial" w:hAnsi="Arial"/>
          <w:sz w:val="16"/>
          <w:szCs w:val="16"/>
          <w:color w:val="auto"/>
        </w:rPr>
        <w:t>This summary highlights information contained elsewhere in this Proxy Statement. This summary does not contain all of the information you should consider, and you should read the entire Proxy Statement before voting.</w:t>
      </w:r>
    </w:p>
    <w:p>
      <w:pPr>
        <w:spacing w:after="0" w:line="61" w:lineRule="exact"/>
        <w:rPr>
          <w:sz w:val="20"/>
          <w:szCs w:val="20"/>
          <w:color w:val="auto"/>
        </w:rPr>
      </w:pPr>
    </w:p>
    <w:p>
      <w:pPr>
        <w:spacing w:after="0"/>
        <w:rPr>
          <w:sz w:val="20"/>
          <w:szCs w:val="20"/>
          <w:color w:val="auto"/>
        </w:rPr>
      </w:pPr>
      <w:r>
        <w:rPr>
          <w:rFonts w:ascii="Arial" w:cs="Arial" w:eastAsia="Arial" w:hAnsi="Arial"/>
          <w:sz w:val="32"/>
          <w:szCs w:val="32"/>
          <w:color w:val="0C3471"/>
        </w:rPr>
        <w:t>Voting Matters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20" w:type="dxa"/>
            <w:vAlign w:val="bottom"/>
            <w:gridSpan w:val="2"/>
            <w:vMerge w:val="restart"/>
            <w:shd w:val="clear" w:color="auto" w:fill="0C3471"/>
          </w:tcPr>
          <w:p>
            <w:pPr>
              <w:ind w:left="20"/>
              <w:spacing w:after="0"/>
              <w:rPr>
                <w:sz w:val="20"/>
                <w:szCs w:val="20"/>
                <w:color w:val="auto"/>
              </w:rPr>
            </w:pPr>
            <w:r>
              <w:rPr>
                <w:rFonts w:ascii="Arial" w:cs="Arial" w:eastAsia="Arial" w:hAnsi="Arial"/>
                <w:sz w:val="14"/>
                <w:szCs w:val="14"/>
                <w:b w:val="1"/>
                <w:bCs w:val="1"/>
                <w:color w:val="FFFFFF"/>
              </w:rPr>
              <w:t>Proposal</w:t>
            </w:r>
          </w:p>
        </w:tc>
        <w:tc>
          <w:tcPr>
            <w:tcW w:w="1640" w:type="dxa"/>
            <w:vAlign w:val="bottom"/>
            <w:shd w:val="clear" w:color="auto" w:fill="0C3471"/>
          </w:tcPr>
          <w:p>
            <w:pPr>
              <w:jc w:val="center"/>
              <w:spacing w:after="0"/>
              <w:rPr>
                <w:sz w:val="20"/>
                <w:szCs w:val="20"/>
                <w:color w:val="auto"/>
              </w:rPr>
            </w:pPr>
            <w:r>
              <w:rPr>
                <w:rFonts w:ascii="Arial" w:cs="Arial" w:eastAsia="Arial" w:hAnsi="Arial"/>
                <w:sz w:val="14"/>
                <w:szCs w:val="14"/>
                <w:b w:val="1"/>
                <w:bCs w:val="1"/>
                <w:color w:val="FFFFFF"/>
              </w:rPr>
              <w:t>Board Vote</w:t>
            </w:r>
          </w:p>
        </w:tc>
        <w:tc>
          <w:tcPr>
            <w:tcW w:w="1880" w:type="dxa"/>
            <w:vAlign w:val="bottom"/>
            <w:vMerge w:val="restart"/>
            <w:shd w:val="clear" w:color="auto" w:fill="0C3471"/>
          </w:tcPr>
          <w:p>
            <w:pPr>
              <w:jc w:val="center"/>
              <w:spacing w:after="0"/>
              <w:rPr>
                <w:sz w:val="20"/>
                <w:szCs w:val="20"/>
                <w:color w:val="auto"/>
              </w:rPr>
            </w:pPr>
            <w:r>
              <w:rPr>
                <w:rFonts w:ascii="Arial" w:cs="Arial" w:eastAsia="Arial" w:hAnsi="Arial"/>
                <w:sz w:val="14"/>
                <w:szCs w:val="14"/>
                <w:b w:val="1"/>
                <w:bCs w:val="1"/>
                <w:color w:val="FFFFFF"/>
              </w:rPr>
              <w:t>Vote Required</w:t>
            </w:r>
          </w:p>
        </w:tc>
        <w:tc>
          <w:tcPr>
            <w:tcW w:w="1200" w:type="dxa"/>
            <w:vAlign w:val="bottom"/>
            <w:shd w:val="clear" w:color="auto" w:fill="0C3471"/>
          </w:tcPr>
          <w:p>
            <w:pPr>
              <w:jc w:val="center"/>
              <w:spacing w:after="0"/>
              <w:rPr>
                <w:sz w:val="20"/>
                <w:szCs w:val="20"/>
                <w:color w:val="auto"/>
              </w:rPr>
            </w:pPr>
            <w:r>
              <w:rPr>
                <w:rFonts w:ascii="Arial" w:cs="Arial" w:eastAsia="Arial" w:hAnsi="Arial"/>
                <w:sz w:val="14"/>
                <w:szCs w:val="14"/>
                <w:b w:val="1"/>
                <w:bCs w:val="1"/>
                <w:color w:val="FFFFFF"/>
              </w:rPr>
              <w:t>Page</w:t>
            </w:r>
          </w:p>
        </w:tc>
        <w:tc>
          <w:tcPr>
            <w:tcW w:w="0" w:type="dxa"/>
            <w:vAlign w:val="bottom"/>
          </w:tcPr>
          <w:p>
            <w:pPr>
              <w:spacing w:after="0"/>
              <w:rPr>
                <w:sz w:val="1"/>
                <w:szCs w:val="1"/>
                <w:color w:val="auto"/>
              </w:rPr>
            </w:pPr>
          </w:p>
        </w:tc>
      </w:tr>
      <w:tr>
        <w:trPr>
          <w:trHeight w:val="203"/>
        </w:trPr>
        <w:tc>
          <w:tcPr>
            <w:tcW w:w="6520" w:type="dxa"/>
            <w:vAlign w:val="bottom"/>
            <w:gridSpan w:val="2"/>
            <w:vMerge w:val="continue"/>
            <w:shd w:val="clear" w:color="auto" w:fill="0C3471"/>
          </w:tcPr>
          <w:p>
            <w:pPr>
              <w:spacing w:after="0"/>
              <w:rPr>
                <w:sz w:val="17"/>
                <w:szCs w:val="17"/>
                <w:color w:val="auto"/>
              </w:rPr>
            </w:pPr>
          </w:p>
        </w:tc>
        <w:tc>
          <w:tcPr>
            <w:tcW w:w="1640" w:type="dxa"/>
            <w:vAlign w:val="bottom"/>
            <w:shd w:val="clear" w:color="auto" w:fill="0C3471"/>
          </w:tcPr>
          <w:p>
            <w:pPr>
              <w:jc w:val="center"/>
              <w:spacing w:after="0"/>
              <w:rPr>
                <w:sz w:val="20"/>
                <w:szCs w:val="20"/>
                <w:color w:val="auto"/>
              </w:rPr>
            </w:pPr>
            <w:r>
              <w:rPr>
                <w:rFonts w:ascii="Arial" w:cs="Arial" w:eastAsia="Arial" w:hAnsi="Arial"/>
                <w:sz w:val="14"/>
                <w:szCs w:val="14"/>
                <w:b w:val="1"/>
                <w:bCs w:val="1"/>
                <w:color w:val="FFFFFF"/>
              </w:rPr>
              <w:t>Recommendation</w:t>
            </w:r>
          </w:p>
        </w:tc>
        <w:tc>
          <w:tcPr>
            <w:tcW w:w="1880" w:type="dxa"/>
            <w:vAlign w:val="bottom"/>
            <w:vMerge w:val="continue"/>
            <w:shd w:val="clear" w:color="auto" w:fill="0C3471"/>
          </w:tcPr>
          <w:p>
            <w:pPr>
              <w:spacing w:after="0"/>
              <w:rPr>
                <w:sz w:val="17"/>
                <w:szCs w:val="17"/>
                <w:color w:val="auto"/>
              </w:rPr>
            </w:pPr>
          </w:p>
        </w:tc>
        <w:tc>
          <w:tcPr>
            <w:tcW w:w="1200" w:type="dxa"/>
            <w:vAlign w:val="bottom"/>
            <w:shd w:val="clear" w:color="auto" w:fill="0C3471"/>
          </w:tcPr>
          <w:p>
            <w:pPr>
              <w:jc w:val="center"/>
              <w:spacing w:after="0"/>
              <w:rPr>
                <w:sz w:val="20"/>
                <w:szCs w:val="20"/>
                <w:color w:val="auto"/>
              </w:rPr>
            </w:pPr>
            <w:r>
              <w:rPr>
                <w:rFonts w:ascii="Arial" w:cs="Arial" w:eastAsia="Arial" w:hAnsi="Arial"/>
                <w:sz w:val="14"/>
                <w:szCs w:val="14"/>
                <w:b w:val="1"/>
                <w:bCs w:val="1"/>
                <w:color w:val="FFFFFF"/>
              </w:rPr>
              <w:t>Reference</w:t>
            </w:r>
          </w:p>
        </w:tc>
        <w:tc>
          <w:tcPr>
            <w:tcW w:w="0" w:type="dxa"/>
            <w:vAlign w:val="bottom"/>
          </w:tcPr>
          <w:p>
            <w:pPr>
              <w:spacing w:after="0"/>
              <w:rPr>
                <w:sz w:val="1"/>
                <w:szCs w:val="1"/>
                <w:color w:val="auto"/>
              </w:rPr>
            </w:pPr>
          </w:p>
        </w:tc>
      </w:tr>
      <w:tr>
        <w:trPr>
          <w:trHeight w:val="216"/>
        </w:trPr>
        <w:tc>
          <w:tcPr>
            <w:tcW w:w="180" w:type="dxa"/>
            <w:vAlign w:val="bottom"/>
          </w:tcPr>
          <w:p>
            <w:pPr>
              <w:ind w:left="20"/>
              <w:spacing w:after="0"/>
              <w:rPr>
                <w:sz w:val="20"/>
                <w:szCs w:val="20"/>
                <w:color w:val="auto"/>
              </w:rPr>
            </w:pPr>
            <w:r>
              <w:rPr>
                <w:rFonts w:ascii="Arial" w:cs="Arial" w:eastAsia="Arial" w:hAnsi="Arial"/>
                <w:sz w:val="14"/>
                <w:szCs w:val="14"/>
                <w:color w:val="auto"/>
              </w:rPr>
              <w:t>1.</w:t>
            </w:r>
          </w:p>
        </w:tc>
        <w:tc>
          <w:tcPr>
            <w:tcW w:w="6340" w:type="dxa"/>
            <w:vAlign w:val="bottom"/>
          </w:tcPr>
          <w:p>
            <w:pPr>
              <w:ind w:left="60"/>
              <w:spacing w:after="0"/>
              <w:rPr>
                <w:sz w:val="20"/>
                <w:szCs w:val="20"/>
                <w:color w:val="auto"/>
              </w:rPr>
            </w:pPr>
            <w:r>
              <w:rPr>
                <w:rFonts w:ascii="Arial" w:cs="Arial" w:eastAsia="Arial" w:hAnsi="Arial"/>
                <w:sz w:val="14"/>
                <w:szCs w:val="14"/>
                <w:color w:val="auto"/>
              </w:rPr>
              <w:t>Re-Elect Director Nominees</w:t>
            </w:r>
          </w:p>
        </w:tc>
        <w:tc>
          <w:tcPr>
            <w:tcW w:w="1640" w:type="dxa"/>
            <w:vAlign w:val="bottom"/>
            <w:shd w:val="clear" w:color="auto" w:fill="ECEFF4"/>
          </w:tcPr>
          <w:p>
            <w:pPr>
              <w:jc w:val="center"/>
              <w:spacing w:after="0"/>
              <w:rPr>
                <w:sz w:val="20"/>
                <w:szCs w:val="20"/>
                <w:color w:val="auto"/>
              </w:rPr>
            </w:pPr>
            <w:r>
              <w:rPr>
                <w:rFonts w:ascii="Arial" w:cs="Arial" w:eastAsia="Arial" w:hAnsi="Arial"/>
                <w:sz w:val="14"/>
                <w:szCs w:val="14"/>
                <w:b w:val="1"/>
                <w:bCs w:val="1"/>
                <w:color w:val="64A70B"/>
              </w:rPr>
              <w:t>FOR</w:t>
            </w:r>
          </w:p>
        </w:tc>
        <w:tc>
          <w:tcPr>
            <w:tcW w:w="1880" w:type="dxa"/>
            <w:vAlign w:val="bottom"/>
          </w:tcPr>
          <w:p>
            <w:pPr>
              <w:jc w:val="center"/>
              <w:spacing w:after="0"/>
              <w:rPr>
                <w:sz w:val="20"/>
                <w:szCs w:val="20"/>
                <w:color w:val="auto"/>
              </w:rPr>
            </w:pPr>
            <w:r>
              <w:rPr>
                <w:rFonts w:ascii="Arial" w:cs="Arial" w:eastAsia="Arial" w:hAnsi="Arial"/>
                <w:sz w:val="14"/>
                <w:szCs w:val="14"/>
                <w:color w:val="auto"/>
              </w:rPr>
              <w:t>Majority of votes cast</w:t>
            </w:r>
          </w:p>
        </w:tc>
        <w:tc>
          <w:tcPr>
            <w:tcW w:w="1200" w:type="dxa"/>
            <w:vAlign w:val="bottom"/>
          </w:tcPr>
          <w:p>
            <w:pPr>
              <w:jc w:val="center"/>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6340" w:type="dxa"/>
            <w:vAlign w:val="bottom"/>
          </w:tcPr>
          <w:p>
            <w:pPr>
              <w:spacing w:after="0"/>
              <w:rPr>
                <w:sz w:val="18"/>
                <w:szCs w:val="18"/>
                <w:color w:val="auto"/>
              </w:rPr>
            </w:pPr>
          </w:p>
        </w:tc>
        <w:tc>
          <w:tcPr>
            <w:tcW w:w="1640" w:type="dxa"/>
            <w:vAlign w:val="bottom"/>
            <w:tcBorders>
              <w:bottom w:val="single" w:sz="8" w:color="ECEFF4"/>
            </w:tcBorders>
            <w:shd w:val="clear" w:color="auto" w:fill="ECEFF4"/>
          </w:tcPr>
          <w:p>
            <w:pPr>
              <w:jc w:val="center"/>
              <w:spacing w:after="0"/>
              <w:rPr>
                <w:sz w:val="20"/>
                <w:szCs w:val="20"/>
                <w:color w:val="auto"/>
              </w:rPr>
            </w:pPr>
            <w:r>
              <w:rPr>
                <w:rFonts w:ascii="Arial" w:cs="Arial" w:eastAsia="Arial" w:hAnsi="Arial"/>
                <w:sz w:val="14"/>
                <w:szCs w:val="14"/>
                <w:color w:val="auto"/>
              </w:rPr>
              <w:t>each nominee</w:t>
            </w:r>
          </w:p>
        </w:tc>
        <w:tc>
          <w:tcPr>
            <w:tcW w:w="18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80" w:type="dxa"/>
            <w:vAlign w:val="bottom"/>
            <w:tcBorders>
              <w:top w:val="single" w:sz="8" w:color="BCBEC0"/>
            </w:tcBorders>
            <w:vMerge w:val="restart"/>
          </w:tcPr>
          <w:p>
            <w:pPr>
              <w:ind w:left="20"/>
              <w:spacing w:after="0"/>
              <w:rPr>
                <w:sz w:val="20"/>
                <w:szCs w:val="20"/>
                <w:color w:val="auto"/>
              </w:rPr>
            </w:pPr>
            <w:r>
              <w:rPr>
                <w:rFonts w:ascii="Arial" w:cs="Arial" w:eastAsia="Arial" w:hAnsi="Arial"/>
                <w:sz w:val="14"/>
                <w:szCs w:val="14"/>
                <w:color w:val="auto"/>
              </w:rPr>
              <w:t>2.</w:t>
            </w:r>
          </w:p>
        </w:tc>
        <w:tc>
          <w:tcPr>
            <w:tcW w:w="6340" w:type="dxa"/>
            <w:vAlign w:val="bottom"/>
            <w:tcBorders>
              <w:top w:val="single" w:sz="8" w:color="BCBEC0"/>
            </w:tcBorders>
            <w:vMerge w:val="restart"/>
          </w:tcPr>
          <w:p>
            <w:pPr>
              <w:ind w:left="40"/>
              <w:spacing w:after="0"/>
              <w:rPr>
                <w:sz w:val="20"/>
                <w:szCs w:val="20"/>
                <w:color w:val="auto"/>
              </w:rPr>
            </w:pPr>
            <w:r>
              <w:rPr>
                <w:rFonts w:ascii="Arial" w:cs="Arial" w:eastAsia="Arial" w:hAnsi="Arial"/>
                <w:sz w:val="14"/>
                <w:szCs w:val="14"/>
                <w:color w:val="auto"/>
              </w:rPr>
              <w:t>Approve, by Nonbinding, Advisory Vote, the Compensation of the Named Executive Officers</w:t>
            </w:r>
          </w:p>
        </w:tc>
        <w:tc>
          <w:tcPr>
            <w:tcW w:w="1640" w:type="dxa"/>
            <w:vAlign w:val="bottom"/>
            <w:tcBorders>
              <w:top w:val="single" w:sz="8" w:color="BCBEC0"/>
            </w:tcBorders>
            <w:shd w:val="clear" w:color="auto" w:fill="ECEFF4"/>
          </w:tcPr>
          <w:p>
            <w:pPr>
              <w:jc w:val="center"/>
              <w:spacing w:after="0"/>
              <w:rPr>
                <w:sz w:val="20"/>
                <w:szCs w:val="20"/>
                <w:color w:val="auto"/>
              </w:rPr>
            </w:pPr>
            <w:r>
              <w:rPr>
                <w:rFonts w:ascii="Arial" w:cs="Arial" w:eastAsia="Arial" w:hAnsi="Arial"/>
                <w:sz w:val="14"/>
                <w:szCs w:val="14"/>
                <w:b w:val="1"/>
                <w:bCs w:val="1"/>
                <w:color w:val="64A70B"/>
              </w:rPr>
              <w:t>FOR</w:t>
            </w:r>
          </w:p>
        </w:tc>
        <w:tc>
          <w:tcPr>
            <w:tcW w:w="1880" w:type="dxa"/>
            <w:vAlign w:val="bottom"/>
            <w:tcBorders>
              <w:top w:val="single" w:sz="8" w:color="BCBEC0"/>
            </w:tcBorders>
          </w:tcPr>
          <w:p>
            <w:pPr>
              <w:jc w:val="center"/>
              <w:spacing w:after="0"/>
              <w:rPr>
                <w:sz w:val="20"/>
                <w:szCs w:val="20"/>
                <w:color w:val="auto"/>
              </w:rPr>
            </w:pPr>
            <w:r>
              <w:rPr>
                <w:rFonts w:ascii="Arial" w:cs="Arial" w:eastAsia="Arial" w:hAnsi="Arial"/>
                <w:sz w:val="14"/>
                <w:szCs w:val="14"/>
                <w:color w:val="auto"/>
              </w:rPr>
              <w:t>Majority of votes cast</w:t>
            </w:r>
          </w:p>
        </w:tc>
        <w:tc>
          <w:tcPr>
            <w:tcW w:w="1200" w:type="dxa"/>
            <w:vAlign w:val="bottom"/>
            <w:tcBorders>
              <w:top w:val="single" w:sz="8" w:color="BCBEC0"/>
            </w:tcBorders>
          </w:tcPr>
          <w:p>
            <w:pPr>
              <w:jc w:val="center"/>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48"/>
        </w:trPr>
        <w:tc>
          <w:tcPr>
            <w:tcW w:w="180" w:type="dxa"/>
            <w:vAlign w:val="bottom"/>
            <w:vMerge w:val="continue"/>
          </w:tcPr>
          <w:p>
            <w:pPr>
              <w:spacing w:after="0"/>
              <w:rPr>
                <w:sz w:val="4"/>
                <w:szCs w:val="4"/>
                <w:color w:val="auto"/>
              </w:rPr>
            </w:pPr>
          </w:p>
        </w:tc>
        <w:tc>
          <w:tcPr>
            <w:tcW w:w="6340" w:type="dxa"/>
            <w:vAlign w:val="bottom"/>
            <w:vMerge w:val="continue"/>
          </w:tcPr>
          <w:p>
            <w:pPr>
              <w:spacing w:after="0"/>
              <w:rPr>
                <w:sz w:val="4"/>
                <w:szCs w:val="4"/>
                <w:color w:val="auto"/>
              </w:rPr>
            </w:pPr>
          </w:p>
        </w:tc>
        <w:tc>
          <w:tcPr>
            <w:tcW w:w="1640" w:type="dxa"/>
            <w:vAlign w:val="bottom"/>
            <w:shd w:val="clear" w:color="auto" w:fill="ECEFF4"/>
          </w:tcPr>
          <w:p>
            <w:pPr>
              <w:spacing w:after="0"/>
              <w:rPr>
                <w:sz w:val="4"/>
                <w:szCs w:val="4"/>
                <w:color w:val="auto"/>
              </w:rPr>
            </w:pPr>
          </w:p>
        </w:tc>
        <w:tc>
          <w:tcPr>
            <w:tcW w:w="18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6"/>
        </w:trPr>
        <w:tc>
          <w:tcPr>
            <w:tcW w:w="180" w:type="dxa"/>
            <w:vAlign w:val="bottom"/>
            <w:tcBorders>
              <w:bottom w:val="single" w:sz="8" w:color="BCBEC0"/>
            </w:tcBorders>
          </w:tcPr>
          <w:p>
            <w:pPr>
              <w:spacing w:after="0"/>
              <w:rPr>
                <w:sz w:val="10"/>
                <w:szCs w:val="10"/>
                <w:color w:val="auto"/>
              </w:rPr>
            </w:pPr>
          </w:p>
        </w:tc>
        <w:tc>
          <w:tcPr>
            <w:tcW w:w="6340" w:type="dxa"/>
            <w:vAlign w:val="bottom"/>
            <w:tcBorders>
              <w:bottom w:val="single" w:sz="8" w:color="BCBEC0"/>
            </w:tcBorders>
          </w:tcPr>
          <w:p>
            <w:pPr>
              <w:spacing w:after="0"/>
              <w:rPr>
                <w:sz w:val="10"/>
                <w:szCs w:val="10"/>
                <w:color w:val="auto"/>
              </w:rPr>
            </w:pPr>
          </w:p>
        </w:tc>
        <w:tc>
          <w:tcPr>
            <w:tcW w:w="1640" w:type="dxa"/>
            <w:vAlign w:val="bottom"/>
            <w:tcBorders>
              <w:bottom w:val="single" w:sz="8" w:color="BCBEC0"/>
            </w:tcBorders>
            <w:shd w:val="clear" w:color="auto" w:fill="ECEFF4"/>
          </w:tcPr>
          <w:p>
            <w:pPr>
              <w:spacing w:after="0"/>
              <w:rPr>
                <w:sz w:val="10"/>
                <w:szCs w:val="10"/>
                <w:color w:val="auto"/>
              </w:rPr>
            </w:pPr>
          </w:p>
        </w:tc>
        <w:tc>
          <w:tcPr>
            <w:tcW w:w="1880" w:type="dxa"/>
            <w:vAlign w:val="bottom"/>
            <w:tcBorders>
              <w:bottom w:val="single" w:sz="8" w:color="BCBEC0"/>
            </w:tcBorders>
          </w:tcPr>
          <w:p>
            <w:pPr>
              <w:spacing w:after="0"/>
              <w:rPr>
                <w:sz w:val="10"/>
                <w:szCs w:val="10"/>
                <w:color w:val="auto"/>
              </w:rPr>
            </w:pPr>
          </w:p>
        </w:tc>
        <w:tc>
          <w:tcPr>
            <w:tcW w:w="1200" w:type="dxa"/>
            <w:vAlign w:val="bottom"/>
            <w:tcBorders>
              <w:bottom w:val="single" w:sz="8" w:color="BCBEC0"/>
            </w:tcBorders>
          </w:tcPr>
          <w:p>
            <w:pPr>
              <w:spacing w:after="0"/>
              <w:rPr>
                <w:sz w:val="10"/>
                <w:szCs w:val="10"/>
                <w:color w:val="auto"/>
              </w:rPr>
            </w:pPr>
          </w:p>
        </w:tc>
        <w:tc>
          <w:tcPr>
            <w:tcW w:w="0" w:type="dxa"/>
            <w:vAlign w:val="bottom"/>
          </w:tcPr>
          <w:p>
            <w:pPr>
              <w:spacing w:after="0"/>
              <w:rPr>
                <w:sz w:val="1"/>
                <w:szCs w:val="1"/>
                <w:color w:val="auto"/>
              </w:rPr>
            </w:pPr>
          </w:p>
        </w:tc>
      </w:tr>
      <w:tr>
        <w:trPr>
          <w:trHeight w:val="268"/>
        </w:trPr>
        <w:tc>
          <w:tcPr>
            <w:tcW w:w="180" w:type="dxa"/>
            <w:vAlign w:val="bottom"/>
          </w:tcPr>
          <w:p>
            <w:pPr>
              <w:ind w:left="20"/>
              <w:spacing w:after="0"/>
              <w:rPr>
                <w:sz w:val="20"/>
                <w:szCs w:val="20"/>
                <w:color w:val="auto"/>
              </w:rPr>
            </w:pPr>
            <w:r>
              <w:rPr>
                <w:rFonts w:ascii="Arial" w:cs="Arial" w:eastAsia="Arial" w:hAnsi="Arial"/>
                <w:sz w:val="14"/>
                <w:szCs w:val="14"/>
                <w:color w:val="auto"/>
              </w:rPr>
              <w:t>3.</w:t>
            </w:r>
          </w:p>
        </w:tc>
        <w:tc>
          <w:tcPr>
            <w:tcW w:w="6340" w:type="dxa"/>
            <w:vAlign w:val="bottom"/>
          </w:tcPr>
          <w:p>
            <w:pPr>
              <w:ind w:left="40"/>
              <w:spacing w:after="0"/>
              <w:rPr>
                <w:sz w:val="20"/>
                <w:szCs w:val="20"/>
                <w:color w:val="auto"/>
              </w:rPr>
            </w:pPr>
            <w:r>
              <w:rPr>
                <w:rFonts w:ascii="Arial" w:cs="Arial" w:eastAsia="Arial" w:hAnsi="Arial"/>
                <w:sz w:val="14"/>
                <w:szCs w:val="14"/>
                <w:color w:val="auto"/>
              </w:rPr>
              <w:t>Ratify, by Nonbinding, Advisory Vote, the Appointment of the Independent Auditor and Authorize,</w:t>
            </w:r>
          </w:p>
        </w:tc>
        <w:tc>
          <w:tcPr>
            <w:tcW w:w="1640" w:type="dxa"/>
            <w:vAlign w:val="bottom"/>
            <w:shd w:val="clear" w:color="auto" w:fill="ECEFF4"/>
          </w:tcPr>
          <w:p>
            <w:pPr>
              <w:jc w:val="center"/>
              <w:spacing w:after="0"/>
              <w:rPr>
                <w:sz w:val="20"/>
                <w:szCs w:val="20"/>
                <w:color w:val="auto"/>
              </w:rPr>
            </w:pPr>
            <w:r>
              <w:rPr>
                <w:rFonts w:ascii="Arial" w:cs="Arial" w:eastAsia="Arial" w:hAnsi="Arial"/>
                <w:sz w:val="14"/>
                <w:szCs w:val="14"/>
                <w:b w:val="1"/>
                <w:bCs w:val="1"/>
                <w:color w:val="64A70B"/>
              </w:rPr>
              <w:t>FOR</w:t>
            </w:r>
          </w:p>
        </w:tc>
        <w:tc>
          <w:tcPr>
            <w:tcW w:w="1880" w:type="dxa"/>
            <w:vAlign w:val="bottom"/>
          </w:tcPr>
          <w:p>
            <w:pPr>
              <w:jc w:val="center"/>
              <w:spacing w:after="0"/>
              <w:rPr>
                <w:sz w:val="20"/>
                <w:szCs w:val="20"/>
                <w:color w:val="auto"/>
              </w:rPr>
            </w:pPr>
            <w:r>
              <w:rPr>
                <w:rFonts w:ascii="Arial" w:cs="Arial" w:eastAsia="Arial" w:hAnsi="Arial"/>
                <w:sz w:val="14"/>
                <w:szCs w:val="14"/>
                <w:color w:val="auto"/>
              </w:rPr>
              <w:t>Majority of votes cast</w:t>
            </w:r>
          </w:p>
        </w:tc>
        <w:tc>
          <w:tcPr>
            <w:tcW w:w="1200" w:type="dxa"/>
            <w:vAlign w:val="bottom"/>
          </w:tcPr>
          <w:p>
            <w:pPr>
              <w:jc w:val="center"/>
              <w:spacing w:after="0"/>
              <w:rPr>
                <w:sz w:val="20"/>
                <w:szCs w:val="20"/>
                <w:color w:val="auto"/>
              </w:rPr>
            </w:pPr>
            <w:r>
              <w:rPr>
                <w:rFonts w:ascii="Arial" w:cs="Arial" w:eastAsia="Arial" w:hAnsi="Arial"/>
                <w:sz w:val="16"/>
                <w:szCs w:val="16"/>
                <w:color w:val="auto"/>
              </w:rPr>
              <w:t>75</w:t>
            </w:r>
          </w:p>
        </w:tc>
        <w:tc>
          <w:tcPr>
            <w:tcW w:w="0" w:type="dxa"/>
            <w:vAlign w:val="bottom"/>
          </w:tcPr>
          <w:p>
            <w:pPr>
              <w:spacing w:after="0"/>
              <w:rPr>
                <w:sz w:val="1"/>
                <w:szCs w:val="1"/>
                <w:color w:val="auto"/>
              </w:rPr>
            </w:pPr>
          </w:p>
        </w:tc>
      </w:tr>
      <w:tr>
        <w:trPr>
          <w:trHeight w:val="190"/>
        </w:trPr>
        <w:tc>
          <w:tcPr>
            <w:tcW w:w="180" w:type="dxa"/>
            <w:vAlign w:val="bottom"/>
          </w:tcPr>
          <w:p>
            <w:pPr>
              <w:spacing w:after="0"/>
              <w:rPr>
                <w:sz w:val="16"/>
                <w:szCs w:val="16"/>
                <w:color w:val="auto"/>
              </w:rPr>
            </w:pPr>
          </w:p>
        </w:tc>
        <w:tc>
          <w:tcPr>
            <w:tcW w:w="6340" w:type="dxa"/>
            <w:vAlign w:val="bottom"/>
          </w:tcPr>
          <w:p>
            <w:pPr>
              <w:ind w:left="40"/>
              <w:spacing w:after="0"/>
              <w:rPr>
                <w:sz w:val="20"/>
                <w:szCs w:val="20"/>
                <w:color w:val="auto"/>
              </w:rPr>
            </w:pPr>
            <w:r>
              <w:rPr>
                <w:rFonts w:ascii="Arial" w:cs="Arial" w:eastAsia="Arial" w:hAnsi="Arial"/>
                <w:sz w:val="14"/>
                <w:szCs w:val="14"/>
                <w:color w:val="auto"/>
              </w:rPr>
              <w:t>by Binding Vote, the Audit and Finance Committee to Set the Auditor’s Remuneration</w:t>
            </w:r>
          </w:p>
        </w:tc>
        <w:tc>
          <w:tcPr>
            <w:tcW w:w="1640" w:type="dxa"/>
            <w:vAlign w:val="bottom"/>
            <w:shd w:val="clear" w:color="auto" w:fill="ECEFF4"/>
          </w:tcPr>
          <w:p>
            <w:pPr>
              <w:spacing w:after="0"/>
              <w:rPr>
                <w:sz w:val="16"/>
                <w:szCs w:val="16"/>
                <w:color w:val="auto"/>
              </w:rPr>
            </w:pPr>
          </w:p>
        </w:tc>
        <w:tc>
          <w:tcPr>
            <w:tcW w:w="18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3"/>
        </w:trPr>
        <w:tc>
          <w:tcPr>
            <w:tcW w:w="180" w:type="dxa"/>
            <w:vAlign w:val="bottom"/>
            <w:tcBorders>
              <w:bottom w:val="single" w:sz="8" w:color="BCBEC0"/>
            </w:tcBorders>
          </w:tcPr>
          <w:p>
            <w:pPr>
              <w:spacing w:after="0"/>
              <w:rPr>
                <w:sz w:val="8"/>
                <w:szCs w:val="8"/>
                <w:color w:val="auto"/>
              </w:rPr>
            </w:pPr>
          </w:p>
        </w:tc>
        <w:tc>
          <w:tcPr>
            <w:tcW w:w="6340" w:type="dxa"/>
            <w:vAlign w:val="bottom"/>
            <w:tcBorders>
              <w:bottom w:val="single" w:sz="8" w:color="BCBEC0"/>
            </w:tcBorders>
          </w:tcPr>
          <w:p>
            <w:pPr>
              <w:spacing w:after="0"/>
              <w:rPr>
                <w:sz w:val="8"/>
                <w:szCs w:val="8"/>
                <w:color w:val="auto"/>
              </w:rPr>
            </w:pPr>
          </w:p>
        </w:tc>
        <w:tc>
          <w:tcPr>
            <w:tcW w:w="1640" w:type="dxa"/>
            <w:vAlign w:val="bottom"/>
            <w:tcBorders>
              <w:bottom w:val="single" w:sz="8" w:color="BCBEC0"/>
            </w:tcBorders>
            <w:shd w:val="clear" w:color="auto" w:fill="ECEFF4"/>
          </w:tcPr>
          <w:p>
            <w:pPr>
              <w:spacing w:after="0"/>
              <w:rPr>
                <w:sz w:val="8"/>
                <w:szCs w:val="8"/>
                <w:color w:val="auto"/>
              </w:rPr>
            </w:pPr>
          </w:p>
        </w:tc>
        <w:tc>
          <w:tcPr>
            <w:tcW w:w="1880" w:type="dxa"/>
            <w:vAlign w:val="bottom"/>
            <w:tcBorders>
              <w:bottom w:val="single" w:sz="8" w:color="BCBEC0"/>
            </w:tcBorders>
          </w:tcPr>
          <w:p>
            <w:pPr>
              <w:spacing w:after="0"/>
              <w:rPr>
                <w:sz w:val="8"/>
                <w:szCs w:val="8"/>
                <w:color w:val="auto"/>
              </w:rPr>
            </w:pPr>
          </w:p>
        </w:tc>
        <w:tc>
          <w:tcPr>
            <w:tcW w:w="1200" w:type="dxa"/>
            <w:vAlign w:val="bottom"/>
            <w:tcBorders>
              <w:bottom w:val="single" w:sz="8" w:color="BCBEC0"/>
            </w:tcBorders>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180" w:type="dxa"/>
            <w:vAlign w:val="bottom"/>
            <w:vMerge w:val="restart"/>
          </w:tcPr>
          <w:p>
            <w:pPr>
              <w:ind w:left="20"/>
              <w:spacing w:after="0"/>
              <w:rPr>
                <w:sz w:val="20"/>
                <w:szCs w:val="20"/>
                <w:color w:val="auto"/>
              </w:rPr>
            </w:pPr>
            <w:r>
              <w:rPr>
                <w:rFonts w:ascii="Arial" w:cs="Arial" w:eastAsia="Arial" w:hAnsi="Arial"/>
                <w:sz w:val="14"/>
                <w:szCs w:val="14"/>
                <w:color w:val="auto"/>
              </w:rPr>
              <w:t>4.</w:t>
            </w:r>
          </w:p>
        </w:tc>
        <w:tc>
          <w:tcPr>
            <w:tcW w:w="6340" w:type="dxa"/>
            <w:vAlign w:val="bottom"/>
            <w:vMerge w:val="restart"/>
          </w:tcPr>
          <w:p>
            <w:pPr>
              <w:ind w:left="40"/>
              <w:spacing w:after="0"/>
              <w:rPr>
                <w:sz w:val="20"/>
                <w:szCs w:val="20"/>
                <w:color w:val="auto"/>
              </w:rPr>
            </w:pPr>
            <w:r>
              <w:rPr>
                <w:rFonts w:ascii="Arial" w:cs="Arial" w:eastAsia="Arial" w:hAnsi="Arial"/>
                <w:sz w:val="14"/>
                <w:szCs w:val="14"/>
                <w:color w:val="auto"/>
              </w:rPr>
              <w:t>Authorize the Board of Directors to Allot New Shares</w:t>
            </w:r>
          </w:p>
        </w:tc>
        <w:tc>
          <w:tcPr>
            <w:tcW w:w="1640" w:type="dxa"/>
            <w:vAlign w:val="bottom"/>
            <w:shd w:val="clear" w:color="auto" w:fill="ECEFF4"/>
          </w:tcPr>
          <w:p>
            <w:pPr>
              <w:jc w:val="center"/>
              <w:spacing w:after="0"/>
              <w:rPr>
                <w:sz w:val="20"/>
                <w:szCs w:val="20"/>
                <w:color w:val="auto"/>
              </w:rPr>
            </w:pPr>
            <w:r>
              <w:rPr>
                <w:rFonts w:ascii="Arial" w:cs="Arial" w:eastAsia="Arial" w:hAnsi="Arial"/>
                <w:sz w:val="14"/>
                <w:szCs w:val="14"/>
                <w:b w:val="1"/>
                <w:bCs w:val="1"/>
                <w:color w:val="64A70B"/>
              </w:rPr>
              <w:t>FOR</w:t>
            </w:r>
          </w:p>
        </w:tc>
        <w:tc>
          <w:tcPr>
            <w:tcW w:w="1880" w:type="dxa"/>
            <w:vAlign w:val="bottom"/>
          </w:tcPr>
          <w:p>
            <w:pPr>
              <w:jc w:val="center"/>
              <w:spacing w:after="0"/>
              <w:rPr>
                <w:sz w:val="20"/>
                <w:szCs w:val="20"/>
                <w:color w:val="auto"/>
              </w:rPr>
            </w:pPr>
            <w:r>
              <w:rPr>
                <w:rFonts w:ascii="Arial" w:cs="Arial" w:eastAsia="Arial" w:hAnsi="Arial"/>
                <w:sz w:val="14"/>
                <w:szCs w:val="14"/>
                <w:color w:val="auto"/>
              </w:rPr>
              <w:t>Majority of votes cast</w:t>
            </w:r>
          </w:p>
        </w:tc>
        <w:tc>
          <w:tcPr>
            <w:tcW w:w="1200" w:type="dxa"/>
            <w:vAlign w:val="bottom"/>
          </w:tcPr>
          <w:p>
            <w:pPr>
              <w:jc w:val="center"/>
              <w:spacing w:after="0"/>
              <w:rPr>
                <w:sz w:val="20"/>
                <w:szCs w:val="20"/>
                <w:color w:val="auto"/>
              </w:rPr>
            </w:pPr>
            <w:r>
              <w:rPr>
                <w:rFonts w:ascii="Arial" w:cs="Arial" w:eastAsia="Arial" w:hAnsi="Arial"/>
                <w:sz w:val="16"/>
                <w:szCs w:val="16"/>
                <w:color w:val="auto"/>
              </w:rPr>
              <w:t>78</w:t>
            </w:r>
          </w:p>
        </w:tc>
        <w:tc>
          <w:tcPr>
            <w:tcW w:w="0" w:type="dxa"/>
            <w:vAlign w:val="bottom"/>
          </w:tcPr>
          <w:p>
            <w:pPr>
              <w:spacing w:after="0"/>
              <w:rPr>
                <w:sz w:val="1"/>
                <w:szCs w:val="1"/>
                <w:color w:val="auto"/>
              </w:rPr>
            </w:pPr>
          </w:p>
        </w:tc>
      </w:tr>
      <w:tr>
        <w:trPr>
          <w:trHeight w:val="48"/>
        </w:trPr>
        <w:tc>
          <w:tcPr>
            <w:tcW w:w="180" w:type="dxa"/>
            <w:vAlign w:val="bottom"/>
            <w:vMerge w:val="continue"/>
          </w:tcPr>
          <w:p>
            <w:pPr>
              <w:spacing w:after="0"/>
              <w:rPr>
                <w:sz w:val="4"/>
                <w:szCs w:val="4"/>
                <w:color w:val="auto"/>
              </w:rPr>
            </w:pPr>
          </w:p>
        </w:tc>
        <w:tc>
          <w:tcPr>
            <w:tcW w:w="6340" w:type="dxa"/>
            <w:vAlign w:val="bottom"/>
            <w:vMerge w:val="continue"/>
          </w:tcPr>
          <w:p>
            <w:pPr>
              <w:spacing w:after="0"/>
              <w:rPr>
                <w:sz w:val="4"/>
                <w:szCs w:val="4"/>
                <w:color w:val="auto"/>
              </w:rPr>
            </w:pPr>
          </w:p>
        </w:tc>
        <w:tc>
          <w:tcPr>
            <w:tcW w:w="1640" w:type="dxa"/>
            <w:vAlign w:val="bottom"/>
            <w:shd w:val="clear" w:color="auto" w:fill="ECEFF4"/>
          </w:tcPr>
          <w:p>
            <w:pPr>
              <w:spacing w:after="0"/>
              <w:rPr>
                <w:sz w:val="4"/>
                <w:szCs w:val="4"/>
                <w:color w:val="auto"/>
              </w:rPr>
            </w:pPr>
          </w:p>
        </w:tc>
        <w:tc>
          <w:tcPr>
            <w:tcW w:w="18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6"/>
        </w:trPr>
        <w:tc>
          <w:tcPr>
            <w:tcW w:w="180" w:type="dxa"/>
            <w:vAlign w:val="bottom"/>
            <w:tcBorders>
              <w:bottom w:val="single" w:sz="8" w:color="BCBEC0"/>
            </w:tcBorders>
          </w:tcPr>
          <w:p>
            <w:pPr>
              <w:spacing w:after="0"/>
              <w:rPr>
                <w:sz w:val="10"/>
                <w:szCs w:val="10"/>
                <w:color w:val="auto"/>
              </w:rPr>
            </w:pPr>
          </w:p>
        </w:tc>
        <w:tc>
          <w:tcPr>
            <w:tcW w:w="6340" w:type="dxa"/>
            <w:vAlign w:val="bottom"/>
            <w:tcBorders>
              <w:bottom w:val="single" w:sz="8" w:color="BCBEC0"/>
            </w:tcBorders>
          </w:tcPr>
          <w:p>
            <w:pPr>
              <w:spacing w:after="0"/>
              <w:rPr>
                <w:sz w:val="10"/>
                <w:szCs w:val="10"/>
                <w:color w:val="auto"/>
              </w:rPr>
            </w:pPr>
          </w:p>
        </w:tc>
        <w:tc>
          <w:tcPr>
            <w:tcW w:w="1640" w:type="dxa"/>
            <w:vAlign w:val="bottom"/>
            <w:tcBorders>
              <w:bottom w:val="single" w:sz="8" w:color="BCBEC0"/>
            </w:tcBorders>
            <w:shd w:val="clear" w:color="auto" w:fill="ECEFF4"/>
          </w:tcPr>
          <w:p>
            <w:pPr>
              <w:spacing w:after="0"/>
              <w:rPr>
                <w:sz w:val="10"/>
                <w:szCs w:val="10"/>
                <w:color w:val="auto"/>
              </w:rPr>
            </w:pPr>
          </w:p>
        </w:tc>
        <w:tc>
          <w:tcPr>
            <w:tcW w:w="1880" w:type="dxa"/>
            <w:vAlign w:val="bottom"/>
            <w:tcBorders>
              <w:bottom w:val="single" w:sz="8" w:color="BCBEC0"/>
            </w:tcBorders>
          </w:tcPr>
          <w:p>
            <w:pPr>
              <w:spacing w:after="0"/>
              <w:rPr>
                <w:sz w:val="10"/>
                <w:szCs w:val="10"/>
                <w:color w:val="auto"/>
              </w:rPr>
            </w:pPr>
          </w:p>
        </w:tc>
        <w:tc>
          <w:tcPr>
            <w:tcW w:w="1200" w:type="dxa"/>
            <w:vAlign w:val="bottom"/>
            <w:tcBorders>
              <w:bottom w:val="single" w:sz="8" w:color="BCBEC0"/>
            </w:tcBorders>
          </w:tcPr>
          <w:p>
            <w:pPr>
              <w:spacing w:after="0"/>
              <w:rPr>
                <w:sz w:val="10"/>
                <w:szCs w:val="10"/>
                <w:color w:val="auto"/>
              </w:rPr>
            </w:pPr>
          </w:p>
        </w:tc>
        <w:tc>
          <w:tcPr>
            <w:tcW w:w="0" w:type="dxa"/>
            <w:vAlign w:val="bottom"/>
          </w:tcPr>
          <w:p>
            <w:pPr>
              <w:spacing w:after="0"/>
              <w:rPr>
                <w:sz w:val="1"/>
                <w:szCs w:val="1"/>
                <w:color w:val="auto"/>
              </w:rPr>
            </w:pPr>
          </w:p>
        </w:tc>
      </w:tr>
      <w:tr>
        <w:trPr>
          <w:trHeight w:val="255"/>
        </w:trPr>
        <w:tc>
          <w:tcPr>
            <w:tcW w:w="180" w:type="dxa"/>
            <w:vAlign w:val="bottom"/>
          </w:tcPr>
          <w:p>
            <w:pPr>
              <w:ind w:left="20"/>
              <w:spacing w:after="0"/>
              <w:rPr>
                <w:sz w:val="20"/>
                <w:szCs w:val="20"/>
                <w:color w:val="auto"/>
              </w:rPr>
            </w:pPr>
            <w:r>
              <w:rPr>
                <w:rFonts w:ascii="Arial" w:cs="Arial" w:eastAsia="Arial" w:hAnsi="Arial"/>
                <w:sz w:val="14"/>
                <w:szCs w:val="14"/>
                <w:color w:val="auto"/>
              </w:rPr>
              <w:t>5.</w:t>
            </w:r>
          </w:p>
        </w:tc>
        <w:tc>
          <w:tcPr>
            <w:tcW w:w="6340" w:type="dxa"/>
            <w:vAlign w:val="bottom"/>
          </w:tcPr>
          <w:p>
            <w:pPr>
              <w:ind w:left="40"/>
              <w:spacing w:after="0"/>
              <w:rPr>
                <w:sz w:val="20"/>
                <w:szCs w:val="20"/>
                <w:color w:val="auto"/>
              </w:rPr>
            </w:pPr>
            <w:r>
              <w:rPr>
                <w:rFonts w:ascii="Arial" w:cs="Arial" w:eastAsia="Arial" w:hAnsi="Arial"/>
                <w:sz w:val="14"/>
                <w:szCs w:val="14"/>
                <w:color w:val="auto"/>
              </w:rPr>
              <w:t>Authorize the Board of Directors to Opt-Out of Statutory Preemption Rights</w:t>
            </w:r>
          </w:p>
        </w:tc>
        <w:tc>
          <w:tcPr>
            <w:tcW w:w="1640" w:type="dxa"/>
            <w:vAlign w:val="bottom"/>
            <w:shd w:val="clear" w:color="auto" w:fill="ECEFF4"/>
          </w:tcPr>
          <w:p>
            <w:pPr>
              <w:jc w:val="center"/>
              <w:spacing w:after="0"/>
              <w:rPr>
                <w:sz w:val="20"/>
                <w:szCs w:val="20"/>
                <w:color w:val="auto"/>
              </w:rPr>
            </w:pPr>
            <w:r>
              <w:rPr>
                <w:rFonts w:ascii="Arial" w:cs="Arial" w:eastAsia="Arial" w:hAnsi="Arial"/>
                <w:sz w:val="14"/>
                <w:szCs w:val="14"/>
                <w:b w:val="1"/>
                <w:bCs w:val="1"/>
                <w:color w:val="64A70B"/>
              </w:rPr>
              <w:t>FOR</w:t>
            </w:r>
          </w:p>
        </w:tc>
        <w:tc>
          <w:tcPr>
            <w:tcW w:w="1880" w:type="dxa"/>
            <w:vAlign w:val="bottom"/>
          </w:tcPr>
          <w:p>
            <w:pPr>
              <w:jc w:val="center"/>
              <w:spacing w:after="0"/>
              <w:rPr>
                <w:sz w:val="20"/>
                <w:szCs w:val="20"/>
                <w:color w:val="auto"/>
              </w:rPr>
            </w:pPr>
            <w:r>
              <w:rPr>
                <w:rFonts w:ascii="Arial" w:cs="Arial" w:eastAsia="Arial" w:hAnsi="Arial"/>
                <w:sz w:val="14"/>
                <w:szCs w:val="14"/>
                <w:color w:val="auto"/>
              </w:rPr>
              <w:t>75% of votes cast</w:t>
            </w:r>
          </w:p>
        </w:tc>
        <w:tc>
          <w:tcPr>
            <w:tcW w:w="1200" w:type="dxa"/>
            <w:vAlign w:val="bottom"/>
          </w:tcPr>
          <w:p>
            <w:pPr>
              <w:jc w:val="center"/>
              <w:spacing w:after="0"/>
              <w:rPr>
                <w:sz w:val="20"/>
                <w:szCs w:val="20"/>
                <w:color w:val="auto"/>
              </w:rPr>
            </w:pPr>
            <w:r>
              <w:rPr>
                <w:rFonts w:ascii="Arial" w:cs="Arial" w:eastAsia="Arial" w:hAnsi="Arial"/>
                <w:sz w:val="16"/>
                <w:szCs w:val="16"/>
                <w:color w:val="auto"/>
              </w:rPr>
              <w:t>79</w:t>
            </w:r>
          </w:p>
        </w:tc>
        <w:tc>
          <w:tcPr>
            <w:tcW w:w="0" w:type="dxa"/>
            <w:vAlign w:val="bottom"/>
          </w:tcPr>
          <w:p>
            <w:pPr>
              <w:spacing w:after="0"/>
              <w:rPr>
                <w:sz w:val="1"/>
                <w:szCs w:val="1"/>
                <w:color w:val="auto"/>
              </w:rPr>
            </w:pPr>
          </w:p>
        </w:tc>
      </w:tr>
      <w:tr>
        <w:trPr>
          <w:trHeight w:val="76"/>
        </w:trPr>
        <w:tc>
          <w:tcPr>
            <w:tcW w:w="180" w:type="dxa"/>
            <w:vAlign w:val="bottom"/>
            <w:tcBorders>
              <w:bottom w:val="single" w:sz="8" w:color="BCBEC0"/>
            </w:tcBorders>
          </w:tcPr>
          <w:p>
            <w:pPr>
              <w:spacing w:after="0"/>
              <w:rPr>
                <w:sz w:val="6"/>
                <w:szCs w:val="6"/>
                <w:color w:val="auto"/>
              </w:rPr>
            </w:pPr>
          </w:p>
        </w:tc>
        <w:tc>
          <w:tcPr>
            <w:tcW w:w="6340" w:type="dxa"/>
            <w:vAlign w:val="bottom"/>
            <w:tcBorders>
              <w:bottom w:val="single" w:sz="8" w:color="BCBEC0"/>
            </w:tcBorders>
          </w:tcPr>
          <w:p>
            <w:pPr>
              <w:spacing w:after="0"/>
              <w:rPr>
                <w:sz w:val="6"/>
                <w:szCs w:val="6"/>
                <w:color w:val="auto"/>
              </w:rPr>
            </w:pPr>
          </w:p>
        </w:tc>
        <w:tc>
          <w:tcPr>
            <w:tcW w:w="1640" w:type="dxa"/>
            <w:vAlign w:val="bottom"/>
            <w:tcBorders>
              <w:bottom w:val="single" w:sz="8" w:color="BCBEC0"/>
            </w:tcBorders>
            <w:shd w:val="clear" w:color="auto" w:fill="ECEFF4"/>
          </w:tcPr>
          <w:p>
            <w:pPr>
              <w:spacing w:after="0"/>
              <w:rPr>
                <w:sz w:val="6"/>
                <w:szCs w:val="6"/>
                <w:color w:val="auto"/>
              </w:rPr>
            </w:pPr>
          </w:p>
        </w:tc>
        <w:tc>
          <w:tcPr>
            <w:tcW w:w="1880" w:type="dxa"/>
            <w:vAlign w:val="bottom"/>
            <w:tcBorders>
              <w:bottom w:val="single" w:sz="8" w:color="BCBEC0"/>
            </w:tcBorders>
          </w:tcPr>
          <w:p>
            <w:pPr>
              <w:spacing w:after="0"/>
              <w:rPr>
                <w:sz w:val="6"/>
                <w:szCs w:val="6"/>
                <w:color w:val="auto"/>
              </w:rPr>
            </w:pPr>
          </w:p>
        </w:tc>
        <w:tc>
          <w:tcPr>
            <w:tcW w:w="1200" w:type="dxa"/>
            <w:vAlign w:val="bottom"/>
            <w:tcBorders>
              <w:bottom w:val="single" w:sz="8" w:color="BCBEC0"/>
            </w:tcBorders>
          </w:tcPr>
          <w:p>
            <w:pPr>
              <w:spacing w:after="0"/>
              <w:rPr>
                <w:sz w:val="6"/>
                <w:szCs w:val="6"/>
                <w:color w:val="auto"/>
              </w:rPr>
            </w:pPr>
          </w:p>
        </w:tc>
        <w:tc>
          <w:tcPr>
            <w:tcW w:w="0" w:type="dxa"/>
            <w:vAlign w:val="bottom"/>
          </w:tcPr>
          <w:p>
            <w:pPr>
              <w:spacing w:after="0"/>
              <w:rPr>
                <w:sz w:val="1"/>
                <w:szCs w:val="1"/>
                <w:color w:val="auto"/>
              </w:rPr>
            </w:pPr>
          </w:p>
        </w:tc>
      </w:tr>
      <w:tr>
        <w:trPr>
          <w:trHeight w:val="221"/>
        </w:trPr>
        <w:tc>
          <w:tcPr>
            <w:tcW w:w="180" w:type="dxa"/>
            <w:vAlign w:val="bottom"/>
            <w:vMerge w:val="restart"/>
          </w:tcPr>
          <w:p>
            <w:pPr>
              <w:ind w:left="20"/>
              <w:spacing w:after="0"/>
              <w:rPr>
                <w:sz w:val="20"/>
                <w:szCs w:val="20"/>
                <w:color w:val="auto"/>
              </w:rPr>
            </w:pPr>
            <w:r>
              <w:rPr>
                <w:rFonts w:ascii="Arial" w:cs="Arial" w:eastAsia="Arial" w:hAnsi="Arial"/>
                <w:sz w:val="14"/>
                <w:szCs w:val="14"/>
                <w:color w:val="auto"/>
              </w:rPr>
              <w:t>6.</w:t>
            </w:r>
          </w:p>
        </w:tc>
        <w:tc>
          <w:tcPr>
            <w:tcW w:w="6340" w:type="dxa"/>
            <w:vAlign w:val="bottom"/>
            <w:vMerge w:val="restart"/>
          </w:tcPr>
          <w:p>
            <w:pPr>
              <w:ind w:left="40"/>
              <w:spacing w:after="0"/>
              <w:rPr>
                <w:sz w:val="20"/>
                <w:szCs w:val="20"/>
                <w:color w:val="auto"/>
              </w:rPr>
            </w:pPr>
            <w:r>
              <w:rPr>
                <w:rFonts w:ascii="Arial" w:cs="Arial" w:eastAsia="Arial" w:hAnsi="Arial"/>
                <w:sz w:val="14"/>
                <w:szCs w:val="14"/>
                <w:color w:val="auto"/>
              </w:rPr>
              <w:t>Authorize the Price Range at Which Pentair Can Re-Allot Treasury Shares</w:t>
            </w:r>
          </w:p>
        </w:tc>
        <w:tc>
          <w:tcPr>
            <w:tcW w:w="1640" w:type="dxa"/>
            <w:vAlign w:val="bottom"/>
            <w:shd w:val="clear" w:color="auto" w:fill="ECEFF4"/>
          </w:tcPr>
          <w:p>
            <w:pPr>
              <w:jc w:val="center"/>
              <w:spacing w:after="0"/>
              <w:rPr>
                <w:sz w:val="20"/>
                <w:szCs w:val="20"/>
                <w:color w:val="auto"/>
              </w:rPr>
            </w:pPr>
            <w:r>
              <w:rPr>
                <w:rFonts w:ascii="Arial" w:cs="Arial" w:eastAsia="Arial" w:hAnsi="Arial"/>
                <w:sz w:val="14"/>
                <w:szCs w:val="14"/>
                <w:b w:val="1"/>
                <w:bCs w:val="1"/>
                <w:color w:val="64A70B"/>
              </w:rPr>
              <w:t>FOR</w:t>
            </w:r>
          </w:p>
        </w:tc>
        <w:tc>
          <w:tcPr>
            <w:tcW w:w="1880" w:type="dxa"/>
            <w:vAlign w:val="bottom"/>
          </w:tcPr>
          <w:p>
            <w:pPr>
              <w:jc w:val="center"/>
              <w:spacing w:after="0"/>
              <w:rPr>
                <w:sz w:val="20"/>
                <w:szCs w:val="20"/>
                <w:color w:val="auto"/>
              </w:rPr>
            </w:pPr>
            <w:r>
              <w:rPr>
                <w:rFonts w:ascii="Arial" w:cs="Arial" w:eastAsia="Arial" w:hAnsi="Arial"/>
                <w:sz w:val="14"/>
                <w:szCs w:val="14"/>
                <w:color w:val="auto"/>
              </w:rPr>
              <w:t>75% of votes cast</w:t>
            </w:r>
          </w:p>
        </w:tc>
        <w:tc>
          <w:tcPr>
            <w:tcW w:w="1200" w:type="dxa"/>
            <w:vAlign w:val="bottom"/>
          </w:tcPr>
          <w:p>
            <w:pPr>
              <w:jc w:val="center"/>
              <w:spacing w:after="0"/>
              <w:rPr>
                <w:sz w:val="20"/>
                <w:szCs w:val="20"/>
                <w:color w:val="auto"/>
              </w:rPr>
            </w:pPr>
            <w:r>
              <w:rPr>
                <w:rFonts w:ascii="Arial" w:cs="Arial" w:eastAsia="Arial" w:hAnsi="Arial"/>
                <w:sz w:val="16"/>
                <w:szCs w:val="16"/>
                <w:color w:val="auto"/>
              </w:rPr>
              <w:t>80</w:t>
            </w:r>
          </w:p>
        </w:tc>
        <w:tc>
          <w:tcPr>
            <w:tcW w:w="0" w:type="dxa"/>
            <w:vAlign w:val="bottom"/>
          </w:tcPr>
          <w:p>
            <w:pPr>
              <w:spacing w:after="0"/>
              <w:rPr>
                <w:sz w:val="1"/>
                <w:szCs w:val="1"/>
                <w:color w:val="auto"/>
              </w:rPr>
            </w:pPr>
          </w:p>
        </w:tc>
      </w:tr>
      <w:tr>
        <w:trPr>
          <w:trHeight w:val="48"/>
        </w:trPr>
        <w:tc>
          <w:tcPr>
            <w:tcW w:w="180" w:type="dxa"/>
            <w:vAlign w:val="bottom"/>
            <w:vMerge w:val="continue"/>
          </w:tcPr>
          <w:p>
            <w:pPr>
              <w:spacing w:after="0"/>
              <w:rPr>
                <w:sz w:val="4"/>
                <w:szCs w:val="4"/>
                <w:color w:val="auto"/>
              </w:rPr>
            </w:pPr>
          </w:p>
        </w:tc>
        <w:tc>
          <w:tcPr>
            <w:tcW w:w="6340" w:type="dxa"/>
            <w:vAlign w:val="bottom"/>
            <w:vMerge w:val="continue"/>
          </w:tcPr>
          <w:p>
            <w:pPr>
              <w:spacing w:after="0"/>
              <w:rPr>
                <w:sz w:val="4"/>
                <w:szCs w:val="4"/>
                <w:color w:val="auto"/>
              </w:rPr>
            </w:pPr>
          </w:p>
        </w:tc>
        <w:tc>
          <w:tcPr>
            <w:tcW w:w="1640" w:type="dxa"/>
            <w:vAlign w:val="bottom"/>
            <w:shd w:val="clear" w:color="auto" w:fill="ECEFF4"/>
          </w:tcPr>
          <w:p>
            <w:pPr>
              <w:spacing w:after="0"/>
              <w:rPr>
                <w:sz w:val="4"/>
                <w:szCs w:val="4"/>
                <w:color w:val="auto"/>
              </w:rPr>
            </w:pPr>
          </w:p>
        </w:tc>
        <w:tc>
          <w:tcPr>
            <w:tcW w:w="18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6"/>
        </w:trPr>
        <w:tc>
          <w:tcPr>
            <w:tcW w:w="180" w:type="dxa"/>
            <w:vAlign w:val="bottom"/>
            <w:tcBorders>
              <w:bottom w:val="single" w:sz="8" w:color="0C3471"/>
            </w:tcBorders>
          </w:tcPr>
          <w:p>
            <w:pPr>
              <w:spacing w:after="0"/>
              <w:rPr>
                <w:sz w:val="10"/>
                <w:szCs w:val="10"/>
                <w:color w:val="auto"/>
              </w:rPr>
            </w:pPr>
          </w:p>
        </w:tc>
        <w:tc>
          <w:tcPr>
            <w:tcW w:w="6340" w:type="dxa"/>
            <w:vAlign w:val="bottom"/>
            <w:tcBorders>
              <w:bottom w:val="single" w:sz="8" w:color="0C3471"/>
            </w:tcBorders>
          </w:tcPr>
          <w:p>
            <w:pPr>
              <w:spacing w:after="0"/>
              <w:rPr>
                <w:sz w:val="10"/>
                <w:szCs w:val="10"/>
                <w:color w:val="auto"/>
              </w:rPr>
            </w:pPr>
          </w:p>
        </w:tc>
        <w:tc>
          <w:tcPr>
            <w:tcW w:w="1640" w:type="dxa"/>
            <w:vAlign w:val="bottom"/>
            <w:tcBorders>
              <w:bottom w:val="single" w:sz="8" w:color="0C3471"/>
            </w:tcBorders>
            <w:shd w:val="clear" w:color="auto" w:fill="ECEFF4"/>
          </w:tcPr>
          <w:p>
            <w:pPr>
              <w:spacing w:after="0"/>
              <w:rPr>
                <w:sz w:val="10"/>
                <w:szCs w:val="10"/>
                <w:color w:val="auto"/>
              </w:rPr>
            </w:pPr>
          </w:p>
        </w:tc>
        <w:tc>
          <w:tcPr>
            <w:tcW w:w="1880" w:type="dxa"/>
            <w:vAlign w:val="bottom"/>
            <w:tcBorders>
              <w:bottom w:val="single" w:sz="8" w:color="0C3471"/>
            </w:tcBorders>
          </w:tcPr>
          <w:p>
            <w:pPr>
              <w:spacing w:after="0"/>
              <w:rPr>
                <w:sz w:val="10"/>
                <w:szCs w:val="10"/>
                <w:color w:val="auto"/>
              </w:rPr>
            </w:pPr>
          </w:p>
        </w:tc>
        <w:tc>
          <w:tcPr>
            <w:tcW w:w="1200" w:type="dxa"/>
            <w:vAlign w:val="bottom"/>
            <w:tcBorders>
              <w:bottom w:val="single" w:sz="8" w:color="0C3471"/>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32"/>
          <w:szCs w:val="32"/>
          <w:color w:val="0C3471"/>
        </w:rPr>
        <w:t>Director Nominees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070" w:type="dxa"/>
            <w:vAlign w:val="bottom"/>
            <w:shd w:val="clear" w:color="auto" w:fill="0C3471"/>
          </w:tcPr>
          <w:p>
            <w:pPr>
              <w:spacing w:after="0"/>
              <w:rPr>
                <w:sz w:val="16"/>
                <w:szCs w:val="16"/>
                <w:color w:val="auto"/>
              </w:rPr>
            </w:pPr>
          </w:p>
        </w:tc>
        <w:tc>
          <w:tcPr>
            <w:tcW w:w="610" w:type="dxa"/>
            <w:vAlign w:val="bottom"/>
            <w:shd w:val="clear" w:color="auto" w:fill="0C3471"/>
          </w:tcPr>
          <w:p>
            <w:pPr>
              <w:spacing w:after="0"/>
              <w:rPr>
                <w:sz w:val="16"/>
                <w:szCs w:val="16"/>
                <w:color w:val="auto"/>
              </w:rPr>
            </w:pPr>
          </w:p>
        </w:tc>
        <w:tc>
          <w:tcPr>
            <w:tcW w:w="840" w:type="dxa"/>
            <w:vAlign w:val="bottom"/>
            <w:shd w:val="clear" w:color="auto" w:fill="0C3471"/>
          </w:tcPr>
          <w:p>
            <w:pPr>
              <w:spacing w:after="0"/>
              <w:rPr>
                <w:sz w:val="16"/>
                <w:szCs w:val="16"/>
                <w:color w:val="auto"/>
              </w:rPr>
            </w:pPr>
          </w:p>
        </w:tc>
        <w:tc>
          <w:tcPr>
            <w:tcW w:w="460" w:type="dxa"/>
            <w:vAlign w:val="bottom"/>
            <w:shd w:val="clear" w:color="auto" w:fill="0C3471"/>
          </w:tcPr>
          <w:p>
            <w:pPr>
              <w:spacing w:after="0"/>
              <w:rPr>
                <w:sz w:val="16"/>
                <w:szCs w:val="16"/>
                <w:color w:val="auto"/>
              </w:rPr>
            </w:pPr>
          </w:p>
        </w:tc>
        <w:tc>
          <w:tcPr>
            <w:tcW w:w="860" w:type="dxa"/>
            <w:vAlign w:val="bottom"/>
            <w:gridSpan w:val="5"/>
            <w:shd w:val="clear" w:color="auto" w:fill="0C3471"/>
          </w:tcPr>
          <w:p>
            <w:pPr>
              <w:jc w:val="center"/>
              <w:ind w:right="80"/>
              <w:spacing w:after="0"/>
              <w:rPr>
                <w:sz w:val="20"/>
                <w:szCs w:val="20"/>
                <w:color w:val="auto"/>
              </w:rPr>
            </w:pPr>
            <w:r>
              <w:rPr>
                <w:rFonts w:ascii="Arial" w:cs="Arial" w:eastAsia="Arial" w:hAnsi="Arial"/>
                <w:sz w:val="14"/>
                <w:szCs w:val="14"/>
                <w:b w:val="1"/>
                <w:bCs w:val="1"/>
                <w:color w:val="FFFFFF"/>
              </w:rPr>
              <w:t>Committee</w:t>
            </w:r>
          </w:p>
        </w:tc>
        <w:tc>
          <w:tcPr>
            <w:tcW w:w="400" w:type="dxa"/>
            <w:vAlign w:val="bottom"/>
            <w:shd w:val="clear" w:color="auto" w:fill="0C3471"/>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070" w:type="dxa"/>
            <w:vAlign w:val="bottom"/>
            <w:shd w:val="clear" w:color="auto" w:fill="0C3471"/>
          </w:tcPr>
          <w:p>
            <w:pPr>
              <w:spacing w:after="0"/>
              <w:rPr>
                <w:sz w:val="16"/>
                <w:szCs w:val="16"/>
                <w:color w:val="auto"/>
              </w:rPr>
            </w:pPr>
          </w:p>
        </w:tc>
        <w:tc>
          <w:tcPr>
            <w:tcW w:w="610" w:type="dxa"/>
            <w:vAlign w:val="bottom"/>
            <w:shd w:val="clear" w:color="auto" w:fill="0C3471"/>
          </w:tcPr>
          <w:p>
            <w:pPr>
              <w:spacing w:after="0"/>
              <w:rPr>
                <w:sz w:val="16"/>
                <w:szCs w:val="16"/>
                <w:color w:val="auto"/>
              </w:rPr>
            </w:pPr>
          </w:p>
        </w:tc>
        <w:tc>
          <w:tcPr>
            <w:tcW w:w="840" w:type="dxa"/>
            <w:vAlign w:val="bottom"/>
            <w:vMerge w:val="restart"/>
            <w:shd w:val="clear" w:color="auto" w:fill="0C3471"/>
          </w:tcPr>
          <w:p>
            <w:pPr>
              <w:jc w:val="center"/>
              <w:spacing w:after="0"/>
              <w:rPr>
                <w:sz w:val="20"/>
                <w:szCs w:val="20"/>
                <w:color w:val="auto"/>
              </w:rPr>
            </w:pPr>
            <w:r>
              <w:rPr>
                <w:rFonts w:ascii="Arial" w:cs="Arial" w:eastAsia="Arial" w:hAnsi="Arial"/>
                <w:sz w:val="14"/>
                <w:szCs w:val="14"/>
                <w:b w:val="1"/>
                <w:bCs w:val="1"/>
                <w:color w:val="FFFFFF"/>
              </w:rPr>
              <w:t>Director</w:t>
            </w:r>
          </w:p>
        </w:tc>
        <w:tc>
          <w:tcPr>
            <w:tcW w:w="1320" w:type="dxa"/>
            <w:vAlign w:val="bottom"/>
            <w:gridSpan w:val="6"/>
            <w:shd w:val="clear" w:color="auto" w:fill="0C3471"/>
          </w:tcPr>
          <w:p>
            <w:pPr>
              <w:jc w:val="center"/>
              <w:ind w:left="328"/>
              <w:spacing w:after="0"/>
              <w:rPr>
                <w:sz w:val="20"/>
                <w:szCs w:val="20"/>
                <w:color w:val="auto"/>
              </w:rPr>
            </w:pPr>
            <w:r>
              <w:rPr>
                <w:rFonts w:ascii="Arial" w:cs="Arial" w:eastAsia="Arial" w:hAnsi="Arial"/>
                <w:sz w:val="14"/>
                <w:szCs w:val="14"/>
                <w:b w:val="1"/>
                <w:bCs w:val="1"/>
                <w:color w:val="FFFFFF"/>
              </w:rPr>
              <w:t>Memberships</w:t>
            </w:r>
          </w:p>
        </w:tc>
        <w:tc>
          <w:tcPr>
            <w:tcW w:w="400" w:type="dxa"/>
            <w:vAlign w:val="bottom"/>
            <w:shd w:val="clear" w:color="auto" w:fill="0C3471"/>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8070" w:type="dxa"/>
            <w:vAlign w:val="bottom"/>
            <w:vMerge w:val="restart"/>
            <w:shd w:val="clear" w:color="auto" w:fill="0C3471"/>
          </w:tcPr>
          <w:p>
            <w:pPr>
              <w:ind w:left="20"/>
              <w:spacing w:after="0"/>
              <w:rPr>
                <w:sz w:val="20"/>
                <w:szCs w:val="20"/>
                <w:color w:val="auto"/>
              </w:rPr>
            </w:pPr>
            <w:r>
              <w:rPr>
                <w:rFonts w:ascii="Arial" w:cs="Arial" w:eastAsia="Arial" w:hAnsi="Arial"/>
                <w:sz w:val="14"/>
                <w:szCs w:val="14"/>
                <w:b w:val="1"/>
                <w:bCs w:val="1"/>
                <w:color w:val="FFFFFF"/>
              </w:rPr>
              <w:t>Name and Primary Occupation</w:t>
            </w:r>
          </w:p>
        </w:tc>
        <w:tc>
          <w:tcPr>
            <w:tcW w:w="610" w:type="dxa"/>
            <w:vAlign w:val="bottom"/>
            <w:vMerge w:val="restart"/>
            <w:shd w:val="clear" w:color="auto" w:fill="0C3471"/>
          </w:tcPr>
          <w:p>
            <w:pPr>
              <w:ind w:left="150"/>
              <w:spacing w:after="0"/>
              <w:rPr>
                <w:sz w:val="20"/>
                <w:szCs w:val="20"/>
                <w:color w:val="auto"/>
              </w:rPr>
            </w:pPr>
            <w:r>
              <w:rPr>
                <w:rFonts w:ascii="Arial" w:cs="Arial" w:eastAsia="Arial" w:hAnsi="Arial"/>
                <w:sz w:val="14"/>
                <w:szCs w:val="14"/>
                <w:b w:val="1"/>
                <w:bCs w:val="1"/>
                <w:color w:val="FFFFFF"/>
              </w:rPr>
              <w:t>Age</w:t>
            </w:r>
            <w:r>
              <w:rPr>
                <w:rFonts w:ascii="Arial" w:cs="Arial" w:eastAsia="Arial" w:hAnsi="Arial"/>
                <w:sz w:val="18"/>
                <w:szCs w:val="18"/>
                <w:b w:val="1"/>
                <w:bCs w:val="1"/>
                <w:color w:val="FFFFFF"/>
                <w:vertAlign w:val="superscript"/>
              </w:rPr>
              <w:t>1</w:t>
            </w:r>
          </w:p>
        </w:tc>
        <w:tc>
          <w:tcPr>
            <w:tcW w:w="840" w:type="dxa"/>
            <w:vAlign w:val="bottom"/>
            <w:vMerge w:val="continue"/>
            <w:shd w:val="clear" w:color="auto" w:fill="0C3471"/>
          </w:tcPr>
          <w:p>
            <w:pPr>
              <w:spacing w:after="0"/>
              <w:rPr>
                <w:sz w:val="5"/>
                <w:szCs w:val="5"/>
                <w:color w:val="auto"/>
              </w:rPr>
            </w:pPr>
          </w:p>
        </w:tc>
        <w:tc>
          <w:tcPr>
            <w:tcW w:w="460" w:type="dxa"/>
            <w:vAlign w:val="bottom"/>
            <w:vMerge w:val="restart"/>
            <w:shd w:val="clear" w:color="auto" w:fill="0C3471"/>
          </w:tcPr>
          <w:p>
            <w:pPr>
              <w:ind w:left="120"/>
              <w:spacing w:after="0"/>
              <w:rPr>
                <w:sz w:val="20"/>
                <w:szCs w:val="20"/>
                <w:color w:val="auto"/>
              </w:rPr>
            </w:pPr>
            <w:r>
              <w:rPr>
                <w:rFonts w:ascii="Arial" w:cs="Arial" w:eastAsia="Arial" w:hAnsi="Arial"/>
                <w:sz w:val="14"/>
                <w:szCs w:val="14"/>
                <w:b w:val="1"/>
                <w:bCs w:val="1"/>
                <w:color w:val="FFFFFF"/>
              </w:rPr>
              <w:t>AFC</w:t>
            </w:r>
          </w:p>
        </w:tc>
        <w:tc>
          <w:tcPr>
            <w:tcW w:w="100" w:type="dxa"/>
            <w:vAlign w:val="bottom"/>
            <w:shd w:val="clear" w:color="auto" w:fill="0C3471"/>
          </w:tcPr>
          <w:p>
            <w:pPr>
              <w:spacing w:after="0"/>
              <w:rPr>
                <w:sz w:val="5"/>
                <w:szCs w:val="5"/>
                <w:color w:val="auto"/>
              </w:rPr>
            </w:pPr>
          </w:p>
        </w:tc>
        <w:tc>
          <w:tcPr>
            <w:tcW w:w="20" w:type="dxa"/>
            <w:vAlign w:val="bottom"/>
            <w:shd w:val="clear" w:color="auto" w:fill="0C3471"/>
          </w:tcPr>
          <w:p>
            <w:pPr>
              <w:spacing w:after="0"/>
              <w:rPr>
                <w:sz w:val="5"/>
                <w:szCs w:val="5"/>
                <w:color w:val="auto"/>
              </w:rPr>
            </w:pPr>
          </w:p>
        </w:tc>
        <w:tc>
          <w:tcPr>
            <w:tcW w:w="560" w:type="dxa"/>
            <w:vAlign w:val="bottom"/>
            <w:vMerge w:val="restart"/>
            <w:shd w:val="clear" w:color="auto" w:fill="0C3471"/>
          </w:tcPr>
          <w:p>
            <w:pPr>
              <w:jc w:val="center"/>
              <w:spacing w:after="0"/>
              <w:rPr>
                <w:sz w:val="20"/>
                <w:szCs w:val="20"/>
                <w:color w:val="auto"/>
              </w:rPr>
            </w:pPr>
            <w:r>
              <w:rPr>
                <w:rFonts w:ascii="Arial" w:cs="Arial" w:eastAsia="Arial" w:hAnsi="Arial"/>
                <w:sz w:val="14"/>
                <w:szCs w:val="14"/>
                <w:b w:val="1"/>
                <w:bCs w:val="1"/>
                <w:color w:val="FFFFFF"/>
                <w:w w:val="98"/>
              </w:rPr>
              <w:t>CC</w:t>
            </w:r>
          </w:p>
        </w:tc>
        <w:tc>
          <w:tcPr>
            <w:tcW w:w="20" w:type="dxa"/>
            <w:vAlign w:val="bottom"/>
            <w:shd w:val="clear" w:color="auto" w:fill="0C3471"/>
          </w:tcPr>
          <w:p>
            <w:pPr>
              <w:spacing w:after="0"/>
              <w:rPr>
                <w:sz w:val="5"/>
                <w:szCs w:val="5"/>
                <w:color w:val="auto"/>
              </w:rPr>
            </w:pPr>
          </w:p>
        </w:tc>
        <w:tc>
          <w:tcPr>
            <w:tcW w:w="160" w:type="dxa"/>
            <w:vAlign w:val="bottom"/>
            <w:shd w:val="clear" w:color="auto" w:fill="0C3471"/>
          </w:tcPr>
          <w:p>
            <w:pPr>
              <w:spacing w:after="0"/>
              <w:rPr>
                <w:sz w:val="5"/>
                <w:szCs w:val="5"/>
                <w:color w:val="auto"/>
              </w:rPr>
            </w:pPr>
          </w:p>
        </w:tc>
        <w:tc>
          <w:tcPr>
            <w:tcW w:w="400" w:type="dxa"/>
            <w:vAlign w:val="bottom"/>
            <w:vMerge w:val="restart"/>
            <w:shd w:val="clear" w:color="auto" w:fill="0C3471"/>
          </w:tcPr>
          <w:p>
            <w:pPr>
              <w:spacing w:after="0"/>
              <w:rPr>
                <w:sz w:val="20"/>
                <w:szCs w:val="20"/>
                <w:color w:val="auto"/>
              </w:rPr>
            </w:pPr>
            <w:r>
              <w:rPr>
                <w:rFonts w:ascii="Arial" w:cs="Arial" w:eastAsia="Arial" w:hAnsi="Arial"/>
                <w:sz w:val="14"/>
                <w:szCs w:val="14"/>
                <w:b w:val="1"/>
                <w:bCs w:val="1"/>
                <w:color w:val="FFFFFF"/>
              </w:rPr>
              <w:t>GC</w:t>
            </w:r>
          </w:p>
        </w:tc>
        <w:tc>
          <w:tcPr>
            <w:tcW w:w="0" w:type="dxa"/>
            <w:vAlign w:val="bottom"/>
          </w:tcPr>
          <w:p>
            <w:pPr>
              <w:spacing w:after="0"/>
              <w:rPr>
                <w:sz w:val="1"/>
                <w:szCs w:val="1"/>
                <w:color w:val="auto"/>
              </w:rPr>
            </w:pPr>
          </w:p>
        </w:tc>
      </w:tr>
      <w:tr>
        <w:trPr>
          <w:trHeight w:val="189"/>
        </w:trPr>
        <w:tc>
          <w:tcPr>
            <w:tcW w:w="8070" w:type="dxa"/>
            <w:vAlign w:val="bottom"/>
            <w:tcBorders>
              <w:bottom w:val="single" w:sz="8" w:color="0C3471"/>
            </w:tcBorders>
            <w:vMerge w:val="continue"/>
            <w:shd w:val="clear" w:color="auto" w:fill="0C3471"/>
          </w:tcPr>
          <w:p>
            <w:pPr>
              <w:spacing w:after="0"/>
              <w:rPr>
                <w:sz w:val="16"/>
                <w:szCs w:val="16"/>
                <w:color w:val="auto"/>
              </w:rPr>
            </w:pPr>
          </w:p>
        </w:tc>
        <w:tc>
          <w:tcPr>
            <w:tcW w:w="610" w:type="dxa"/>
            <w:vAlign w:val="bottom"/>
            <w:tcBorders>
              <w:bottom w:val="single" w:sz="8" w:color="0C3471"/>
            </w:tcBorders>
            <w:vMerge w:val="continue"/>
            <w:shd w:val="clear" w:color="auto" w:fill="0C3471"/>
          </w:tcPr>
          <w:p>
            <w:pPr>
              <w:spacing w:after="0"/>
              <w:rPr>
                <w:sz w:val="16"/>
                <w:szCs w:val="16"/>
                <w:color w:val="auto"/>
              </w:rPr>
            </w:pPr>
          </w:p>
        </w:tc>
        <w:tc>
          <w:tcPr>
            <w:tcW w:w="840" w:type="dxa"/>
            <w:vAlign w:val="bottom"/>
            <w:tcBorders>
              <w:bottom w:val="single" w:sz="8" w:color="0C3471"/>
            </w:tcBorders>
            <w:shd w:val="clear" w:color="auto" w:fill="0C3471"/>
          </w:tcPr>
          <w:p>
            <w:pPr>
              <w:jc w:val="center"/>
              <w:spacing w:after="0"/>
              <w:rPr>
                <w:sz w:val="20"/>
                <w:szCs w:val="20"/>
                <w:color w:val="auto"/>
              </w:rPr>
            </w:pPr>
            <w:r>
              <w:rPr>
                <w:rFonts w:ascii="Arial" w:cs="Arial" w:eastAsia="Arial" w:hAnsi="Arial"/>
                <w:sz w:val="14"/>
                <w:szCs w:val="14"/>
                <w:b w:val="1"/>
                <w:bCs w:val="1"/>
                <w:color w:val="FFFFFF"/>
              </w:rPr>
              <w:t>Since</w:t>
            </w:r>
          </w:p>
        </w:tc>
        <w:tc>
          <w:tcPr>
            <w:tcW w:w="460" w:type="dxa"/>
            <w:vAlign w:val="bottom"/>
            <w:tcBorders>
              <w:bottom w:val="single" w:sz="8" w:color="003564"/>
            </w:tcBorders>
            <w:vMerge w:val="continue"/>
            <w:shd w:val="clear" w:color="auto" w:fill="0C3471"/>
          </w:tcPr>
          <w:p>
            <w:pPr>
              <w:spacing w:after="0"/>
              <w:rPr>
                <w:sz w:val="16"/>
                <w:szCs w:val="16"/>
                <w:color w:val="auto"/>
              </w:rPr>
            </w:pPr>
          </w:p>
        </w:tc>
        <w:tc>
          <w:tcPr>
            <w:tcW w:w="100" w:type="dxa"/>
            <w:vAlign w:val="bottom"/>
            <w:tcBorders>
              <w:bottom w:val="single" w:sz="8" w:color="003564"/>
            </w:tcBorders>
            <w:shd w:val="clear" w:color="auto" w:fill="0C3471"/>
          </w:tcPr>
          <w:p>
            <w:pPr>
              <w:spacing w:after="0"/>
              <w:rPr>
                <w:sz w:val="16"/>
                <w:szCs w:val="16"/>
                <w:color w:val="auto"/>
              </w:rPr>
            </w:pPr>
          </w:p>
        </w:tc>
        <w:tc>
          <w:tcPr>
            <w:tcW w:w="20" w:type="dxa"/>
            <w:vAlign w:val="bottom"/>
            <w:tcBorders>
              <w:bottom w:val="single" w:sz="8" w:color="0C3471"/>
            </w:tcBorders>
            <w:shd w:val="clear" w:color="auto" w:fill="0C3471"/>
          </w:tcPr>
          <w:p>
            <w:pPr>
              <w:spacing w:after="0"/>
              <w:rPr>
                <w:sz w:val="16"/>
                <w:szCs w:val="16"/>
                <w:color w:val="auto"/>
              </w:rPr>
            </w:pPr>
          </w:p>
        </w:tc>
        <w:tc>
          <w:tcPr>
            <w:tcW w:w="560" w:type="dxa"/>
            <w:vAlign w:val="bottom"/>
            <w:tcBorders>
              <w:bottom w:val="single" w:sz="8" w:color="003564"/>
            </w:tcBorders>
            <w:vMerge w:val="continue"/>
            <w:shd w:val="clear" w:color="auto" w:fill="0C3471"/>
          </w:tcPr>
          <w:p>
            <w:pPr>
              <w:spacing w:after="0"/>
              <w:rPr>
                <w:sz w:val="16"/>
                <w:szCs w:val="16"/>
                <w:color w:val="auto"/>
              </w:rPr>
            </w:pPr>
          </w:p>
        </w:tc>
        <w:tc>
          <w:tcPr>
            <w:tcW w:w="20" w:type="dxa"/>
            <w:vAlign w:val="bottom"/>
            <w:tcBorders>
              <w:bottom w:val="single" w:sz="8" w:color="0C3471"/>
            </w:tcBorders>
            <w:shd w:val="clear" w:color="auto" w:fill="0C3471"/>
          </w:tcPr>
          <w:p>
            <w:pPr>
              <w:spacing w:after="0"/>
              <w:rPr>
                <w:sz w:val="16"/>
                <w:szCs w:val="16"/>
                <w:color w:val="auto"/>
              </w:rPr>
            </w:pPr>
          </w:p>
        </w:tc>
        <w:tc>
          <w:tcPr>
            <w:tcW w:w="160" w:type="dxa"/>
            <w:vAlign w:val="bottom"/>
            <w:tcBorders>
              <w:bottom w:val="single" w:sz="8" w:color="003564"/>
            </w:tcBorders>
            <w:shd w:val="clear" w:color="auto" w:fill="0C3471"/>
          </w:tcPr>
          <w:p>
            <w:pPr>
              <w:spacing w:after="0"/>
              <w:rPr>
                <w:sz w:val="16"/>
                <w:szCs w:val="16"/>
                <w:color w:val="auto"/>
              </w:rPr>
            </w:pPr>
          </w:p>
        </w:tc>
        <w:tc>
          <w:tcPr>
            <w:tcW w:w="400" w:type="dxa"/>
            <w:vAlign w:val="bottom"/>
            <w:tcBorders>
              <w:bottom w:val="single" w:sz="8" w:color="003564"/>
            </w:tcBorders>
            <w:vMerge w:val="continue"/>
            <w:shd w:val="clear" w:color="auto" w:fill="0C3471"/>
          </w:tcPr>
          <w:p>
            <w:pPr>
              <w:spacing w:after="0"/>
              <w:rPr>
                <w:sz w:val="16"/>
                <w:szCs w:val="16"/>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3880" w:type="dxa"/>
            <w:vAlign w:val="bottom"/>
          </w:tcPr>
          <w:p>
            <w:pPr>
              <w:ind w:left="20"/>
              <w:spacing w:after="0"/>
              <w:rPr>
                <w:sz w:val="20"/>
                <w:szCs w:val="20"/>
                <w:color w:val="auto"/>
              </w:rPr>
            </w:pPr>
            <w:r>
              <w:rPr>
                <w:rFonts w:ascii="Arial" w:cs="Arial" w:eastAsia="Arial" w:hAnsi="Arial"/>
                <w:sz w:val="16"/>
                <w:szCs w:val="16"/>
                <w:b w:val="1"/>
                <w:bCs w:val="1"/>
                <w:color w:val="0C3471"/>
              </w:rPr>
              <w:t>Mona Abutaleb Stephenson</w:t>
            </w:r>
            <w:r>
              <w:rPr>
                <w:rFonts w:ascii="Arial" w:cs="Arial" w:eastAsia="Arial" w:hAnsi="Arial"/>
                <w:sz w:val="14"/>
                <w:szCs w:val="14"/>
                <w:color w:val="000000"/>
              </w:rPr>
              <w:t xml:space="preserve"> </w:t>
            </w:r>
            <w:r>
              <w:rPr>
                <w:rFonts w:ascii="Arial" w:cs="Arial" w:eastAsia="Arial" w:hAnsi="Arial"/>
                <w:sz w:val="16"/>
                <w:szCs w:val="16"/>
                <w:b w:val="1"/>
                <w:bCs w:val="1"/>
                <w:color w:val="0C3471"/>
              </w:rPr>
              <w:t xml:space="preserve"> </w:t>
            </w:r>
            <w:r>
              <w:rPr>
                <w:rFonts w:ascii="Arial" w:cs="Arial" w:eastAsia="Arial" w:hAnsi="Arial"/>
                <w:sz w:val="14"/>
                <w:szCs w:val="14"/>
                <w:color w:val="0C3471"/>
              </w:rPr>
              <w:t>IND</w:t>
            </w:r>
          </w:p>
        </w:tc>
        <w:tc>
          <w:tcPr>
            <w:tcW w:w="3040" w:type="dxa"/>
            <w:vAlign w:val="bottom"/>
          </w:tcPr>
          <w:p>
            <w:pPr>
              <w:spacing w:after="0"/>
              <w:rPr>
                <w:sz w:val="16"/>
                <w:szCs w:val="16"/>
                <w:color w:val="auto"/>
              </w:rPr>
            </w:pPr>
          </w:p>
        </w:tc>
        <w:tc>
          <w:tcPr>
            <w:tcW w:w="1980" w:type="dxa"/>
            <w:vAlign w:val="bottom"/>
            <w:gridSpan w:val="2"/>
            <w:vMerge w:val="restart"/>
          </w:tcPr>
          <w:p>
            <w:pPr>
              <w:jc w:val="right"/>
              <w:ind w:right="440"/>
              <w:spacing w:after="0"/>
              <w:rPr>
                <w:sz w:val="20"/>
                <w:szCs w:val="20"/>
                <w:color w:val="auto"/>
              </w:rPr>
            </w:pPr>
            <w:r>
              <w:rPr>
                <w:rFonts w:ascii="Arial" w:cs="Arial" w:eastAsia="Arial" w:hAnsi="Arial"/>
                <w:sz w:val="14"/>
                <w:szCs w:val="14"/>
                <w:color w:val="auto"/>
              </w:rPr>
              <w:t>63</w:t>
            </w:r>
          </w:p>
        </w:tc>
        <w:tc>
          <w:tcPr>
            <w:tcW w:w="920" w:type="dxa"/>
            <w:vAlign w:val="bottom"/>
            <w:vMerge w:val="restart"/>
          </w:tcPr>
          <w:p>
            <w:pPr>
              <w:jc w:val="right"/>
              <w:ind w:right="508"/>
              <w:spacing w:after="0"/>
              <w:rPr>
                <w:sz w:val="20"/>
                <w:szCs w:val="20"/>
                <w:color w:val="auto"/>
              </w:rPr>
            </w:pPr>
            <w:r>
              <w:rPr>
                <w:rFonts w:ascii="Arial" w:cs="Arial" w:eastAsia="Arial" w:hAnsi="Arial"/>
                <w:sz w:val="14"/>
                <w:szCs w:val="14"/>
                <w:color w:val="auto"/>
              </w:rPr>
              <w:t>2019</w:t>
            </w:r>
          </w:p>
        </w:tc>
        <w:tc>
          <w:tcPr>
            <w:tcW w:w="920" w:type="dxa"/>
            <w:vAlign w:val="bottom"/>
            <w:vMerge w:val="restart"/>
          </w:tcPr>
          <w:p>
            <w:pPr>
              <w:jc w:val="right"/>
              <w:ind w:right="233"/>
              <w:spacing w:after="0"/>
              <w:rPr>
                <w:sz w:val="20"/>
                <w:szCs w:val="20"/>
                <w:color w:val="auto"/>
              </w:rPr>
            </w:pPr>
            <w:r>
              <w:rPr>
                <w:rFonts w:ascii="Arial" w:cs="Arial" w:eastAsia="Arial" w:hAnsi="Arial"/>
                <w:sz w:val="9"/>
                <w:szCs w:val="9"/>
                <w:color w:val="auto"/>
              </w:rPr>
              <w:t>2</w:t>
            </w:r>
          </w:p>
        </w:tc>
        <w:tc>
          <w:tcPr>
            <w:tcW w:w="500" w:type="dxa"/>
            <w:vAlign w:val="bottom"/>
            <w:vMerge w:val="restart"/>
          </w:tcPr>
          <w:p>
            <w:pPr>
              <w:jc w:val="right"/>
              <w:ind w:right="153"/>
              <w:spacing w:after="0"/>
              <w:rPr>
                <w:sz w:val="20"/>
                <w:szCs w:val="20"/>
                <w:color w:val="auto"/>
              </w:rPr>
            </w:pPr>
            <w:r>
              <w:rPr>
                <w:rFonts w:ascii="Arial" w:cs="Arial" w:eastAsia="Arial" w:hAnsi="Arial"/>
                <w:sz w:val="9"/>
                <w:szCs w:val="9"/>
                <w:color w:val="auto"/>
              </w:rPr>
              <w:t>2</w:t>
            </w:r>
          </w:p>
        </w:tc>
        <w:tc>
          <w:tcPr>
            <w:tcW w:w="0" w:type="dxa"/>
            <w:vAlign w:val="bottom"/>
          </w:tcPr>
          <w:p>
            <w:pPr>
              <w:spacing w:after="0"/>
              <w:rPr>
                <w:sz w:val="1"/>
                <w:szCs w:val="1"/>
                <w:color w:val="auto"/>
              </w:rPr>
            </w:pPr>
          </w:p>
        </w:tc>
      </w:tr>
      <w:tr>
        <w:trPr>
          <w:trHeight w:val="96"/>
        </w:trPr>
        <w:tc>
          <w:tcPr>
            <w:tcW w:w="3880" w:type="dxa"/>
            <w:vAlign w:val="bottom"/>
            <w:vMerge w:val="restart"/>
          </w:tcPr>
          <w:p>
            <w:pPr>
              <w:ind w:left="20"/>
              <w:spacing w:after="0"/>
              <w:rPr>
                <w:sz w:val="20"/>
                <w:szCs w:val="20"/>
                <w:color w:val="auto"/>
              </w:rPr>
            </w:pPr>
            <w:r>
              <w:rPr>
                <w:rFonts w:ascii="Arial" w:cs="Arial" w:eastAsia="Arial" w:hAnsi="Arial"/>
                <w:sz w:val="14"/>
                <w:szCs w:val="14"/>
                <w:color w:val="auto"/>
              </w:rPr>
              <w:t>Chief Executive Officer, Medical Technology Solutions, LLC</w:t>
            </w:r>
          </w:p>
        </w:tc>
        <w:tc>
          <w:tcPr>
            <w:tcW w:w="3040" w:type="dxa"/>
            <w:vAlign w:val="bottom"/>
          </w:tcPr>
          <w:p>
            <w:pPr>
              <w:spacing w:after="0"/>
              <w:rPr>
                <w:sz w:val="8"/>
                <w:szCs w:val="8"/>
                <w:color w:val="auto"/>
              </w:rPr>
            </w:pPr>
          </w:p>
        </w:tc>
        <w:tc>
          <w:tcPr>
            <w:tcW w:w="1980" w:type="dxa"/>
            <w:vAlign w:val="bottom"/>
            <w:gridSpan w:val="2"/>
            <w:vMerge w:val="continue"/>
          </w:tcPr>
          <w:p>
            <w:pPr>
              <w:spacing w:after="0"/>
              <w:rPr>
                <w:sz w:val="8"/>
                <w:szCs w:val="8"/>
                <w:color w:val="auto"/>
              </w:rPr>
            </w:pPr>
          </w:p>
        </w:tc>
        <w:tc>
          <w:tcPr>
            <w:tcW w:w="920" w:type="dxa"/>
            <w:vAlign w:val="bottom"/>
            <w:vMerge w:val="continue"/>
          </w:tcPr>
          <w:p>
            <w:pPr>
              <w:spacing w:after="0"/>
              <w:rPr>
                <w:sz w:val="8"/>
                <w:szCs w:val="8"/>
                <w:color w:val="auto"/>
              </w:rPr>
            </w:pPr>
          </w:p>
        </w:tc>
        <w:tc>
          <w:tcPr>
            <w:tcW w:w="920" w:type="dxa"/>
            <w:vAlign w:val="bottom"/>
            <w:vMerge w:val="continue"/>
          </w:tcPr>
          <w:p>
            <w:pPr>
              <w:spacing w:after="0"/>
              <w:rPr>
                <w:sz w:val="8"/>
                <w:szCs w:val="8"/>
                <w:color w:val="auto"/>
              </w:rPr>
            </w:pPr>
          </w:p>
        </w:tc>
        <w:tc>
          <w:tcPr>
            <w:tcW w:w="5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3880" w:type="dxa"/>
            <w:vAlign w:val="bottom"/>
            <w:vMerge w:val="continue"/>
          </w:tcPr>
          <w:p>
            <w:pPr>
              <w:spacing w:after="0"/>
              <w:rPr>
                <w:sz w:val="8"/>
                <w:szCs w:val="8"/>
                <w:color w:val="auto"/>
              </w:rPr>
            </w:pPr>
          </w:p>
        </w:tc>
        <w:tc>
          <w:tcPr>
            <w:tcW w:w="3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40" w:type="dxa"/>
            <w:vAlign w:val="bottom"/>
          </w:tcPr>
          <w:p>
            <w:pPr>
              <w:spacing w:after="0"/>
              <w:rPr>
                <w:sz w:val="8"/>
                <w:szCs w:val="8"/>
                <w:color w:val="auto"/>
              </w:rPr>
            </w:pPr>
          </w:p>
        </w:tc>
        <w:tc>
          <w:tcPr>
            <w:tcW w:w="920" w:type="dxa"/>
            <w:vAlign w:val="bottom"/>
          </w:tcPr>
          <w:p>
            <w:pPr>
              <w:spacing w:after="0"/>
              <w:rPr>
                <w:sz w:val="8"/>
                <w:szCs w:val="8"/>
                <w:color w:val="auto"/>
              </w:rPr>
            </w:pPr>
          </w:p>
        </w:tc>
        <w:tc>
          <w:tcPr>
            <w:tcW w:w="92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5"/>
        </w:trPr>
        <w:tc>
          <w:tcPr>
            <w:tcW w:w="3880" w:type="dxa"/>
            <w:vAlign w:val="bottom"/>
            <w:tcBorders>
              <w:bottom w:val="single" w:sz="8" w:color="BCBEC0"/>
            </w:tcBorders>
          </w:tcPr>
          <w:p>
            <w:pPr>
              <w:spacing w:after="0"/>
              <w:rPr>
                <w:sz w:val="3"/>
                <w:szCs w:val="3"/>
                <w:color w:val="auto"/>
              </w:rPr>
            </w:pPr>
          </w:p>
        </w:tc>
        <w:tc>
          <w:tcPr>
            <w:tcW w:w="3040" w:type="dxa"/>
            <w:vAlign w:val="bottom"/>
            <w:tcBorders>
              <w:bottom w:val="single" w:sz="8" w:color="BCBEC0"/>
            </w:tcBorders>
          </w:tcPr>
          <w:p>
            <w:pPr>
              <w:spacing w:after="0"/>
              <w:rPr>
                <w:sz w:val="3"/>
                <w:szCs w:val="3"/>
                <w:color w:val="auto"/>
              </w:rPr>
            </w:pPr>
          </w:p>
        </w:tc>
        <w:tc>
          <w:tcPr>
            <w:tcW w:w="1140" w:type="dxa"/>
            <w:vAlign w:val="bottom"/>
            <w:tcBorders>
              <w:bottom w:val="single" w:sz="8" w:color="BCBEC0"/>
            </w:tcBorders>
          </w:tcPr>
          <w:p>
            <w:pPr>
              <w:spacing w:after="0"/>
              <w:rPr>
                <w:sz w:val="3"/>
                <w:szCs w:val="3"/>
                <w:color w:val="auto"/>
              </w:rPr>
            </w:pPr>
          </w:p>
        </w:tc>
        <w:tc>
          <w:tcPr>
            <w:tcW w:w="840" w:type="dxa"/>
            <w:vAlign w:val="bottom"/>
            <w:tcBorders>
              <w:bottom w:val="single" w:sz="8" w:color="BCBEC0"/>
            </w:tcBorders>
          </w:tcPr>
          <w:p>
            <w:pPr>
              <w:spacing w:after="0"/>
              <w:rPr>
                <w:sz w:val="3"/>
                <w:szCs w:val="3"/>
                <w:color w:val="auto"/>
              </w:rPr>
            </w:pPr>
          </w:p>
        </w:tc>
        <w:tc>
          <w:tcPr>
            <w:tcW w:w="920" w:type="dxa"/>
            <w:vAlign w:val="bottom"/>
            <w:tcBorders>
              <w:bottom w:val="single" w:sz="8" w:color="BCBEC0"/>
            </w:tcBorders>
          </w:tcPr>
          <w:p>
            <w:pPr>
              <w:spacing w:after="0"/>
              <w:rPr>
                <w:sz w:val="3"/>
                <w:szCs w:val="3"/>
                <w:color w:val="auto"/>
              </w:rPr>
            </w:pPr>
          </w:p>
        </w:tc>
        <w:tc>
          <w:tcPr>
            <w:tcW w:w="920" w:type="dxa"/>
            <w:vAlign w:val="bottom"/>
            <w:tcBorders>
              <w:bottom w:val="single" w:sz="8" w:color="BCBEC0"/>
            </w:tcBorders>
          </w:tcPr>
          <w:p>
            <w:pPr>
              <w:spacing w:after="0"/>
              <w:rPr>
                <w:sz w:val="3"/>
                <w:szCs w:val="3"/>
                <w:color w:val="auto"/>
              </w:rPr>
            </w:pPr>
          </w:p>
        </w:tc>
        <w:tc>
          <w:tcPr>
            <w:tcW w:w="500" w:type="dxa"/>
            <w:vAlign w:val="bottom"/>
            <w:tcBorders>
              <w:bottom w:val="single" w:sz="8" w:color="BCBEC0"/>
            </w:tcBorders>
          </w:tcPr>
          <w:p>
            <w:pPr>
              <w:spacing w:after="0"/>
              <w:rPr>
                <w:sz w:val="3"/>
                <w:szCs w:val="3"/>
                <w:color w:val="auto"/>
              </w:rPr>
            </w:pPr>
          </w:p>
        </w:tc>
        <w:tc>
          <w:tcPr>
            <w:tcW w:w="0" w:type="dxa"/>
            <w:vAlign w:val="bottom"/>
          </w:tcPr>
          <w:p>
            <w:pPr>
              <w:spacing w:after="0"/>
              <w:rPr>
                <w:sz w:val="1"/>
                <w:szCs w:val="1"/>
                <w:color w:val="auto"/>
              </w:rPr>
            </w:pPr>
          </w:p>
        </w:tc>
      </w:tr>
      <w:tr>
        <w:trPr>
          <w:trHeight w:val="200"/>
        </w:trPr>
        <w:tc>
          <w:tcPr>
            <w:tcW w:w="3880" w:type="dxa"/>
            <w:vAlign w:val="bottom"/>
          </w:tcPr>
          <w:p>
            <w:pPr>
              <w:ind w:left="20"/>
              <w:spacing w:after="0"/>
              <w:rPr>
                <w:sz w:val="20"/>
                <w:szCs w:val="20"/>
                <w:color w:val="auto"/>
              </w:rPr>
            </w:pPr>
            <w:r>
              <w:rPr>
                <w:rFonts w:ascii="Arial" w:cs="Arial" w:eastAsia="Arial" w:hAnsi="Arial"/>
                <w:sz w:val="16"/>
                <w:szCs w:val="16"/>
                <w:b w:val="1"/>
                <w:bCs w:val="1"/>
                <w:color w:val="0C3471"/>
              </w:rPr>
              <w:t>Melissa Barra</w:t>
            </w:r>
            <w:r>
              <w:rPr>
                <w:rFonts w:ascii="Arial" w:cs="Arial" w:eastAsia="Arial" w:hAnsi="Arial"/>
                <w:sz w:val="14"/>
                <w:szCs w:val="14"/>
                <w:color w:val="000000"/>
              </w:rPr>
              <w:t xml:space="preserve"> </w:t>
            </w:r>
            <w:r>
              <w:rPr>
                <w:rFonts w:ascii="Arial" w:cs="Arial" w:eastAsia="Arial" w:hAnsi="Arial"/>
                <w:sz w:val="16"/>
                <w:szCs w:val="16"/>
                <w:b w:val="1"/>
                <w:bCs w:val="1"/>
                <w:color w:val="0C3471"/>
              </w:rPr>
              <w:t xml:space="preserve"> </w:t>
            </w:r>
            <w:r>
              <w:rPr>
                <w:rFonts w:ascii="Arial" w:cs="Arial" w:eastAsia="Arial" w:hAnsi="Arial"/>
                <w:sz w:val="14"/>
                <w:szCs w:val="14"/>
                <w:color w:val="0C3471"/>
              </w:rPr>
              <w:t>IND</w:t>
            </w:r>
          </w:p>
        </w:tc>
        <w:tc>
          <w:tcPr>
            <w:tcW w:w="3040" w:type="dxa"/>
            <w:vAlign w:val="bottom"/>
          </w:tcPr>
          <w:p>
            <w:pPr>
              <w:spacing w:after="0"/>
              <w:rPr>
                <w:sz w:val="17"/>
                <w:szCs w:val="17"/>
                <w:color w:val="auto"/>
              </w:rPr>
            </w:pPr>
          </w:p>
        </w:tc>
        <w:tc>
          <w:tcPr>
            <w:tcW w:w="1980" w:type="dxa"/>
            <w:vAlign w:val="bottom"/>
            <w:gridSpan w:val="2"/>
            <w:vMerge w:val="restart"/>
          </w:tcPr>
          <w:p>
            <w:pPr>
              <w:jc w:val="right"/>
              <w:ind w:right="440"/>
              <w:spacing w:after="0"/>
              <w:rPr>
                <w:sz w:val="20"/>
                <w:szCs w:val="20"/>
                <w:color w:val="auto"/>
              </w:rPr>
            </w:pPr>
            <w:r>
              <w:rPr>
                <w:rFonts w:ascii="Arial" w:cs="Arial" w:eastAsia="Arial" w:hAnsi="Arial"/>
                <w:sz w:val="14"/>
                <w:szCs w:val="14"/>
                <w:color w:val="auto"/>
              </w:rPr>
              <w:t>54</w:t>
            </w:r>
          </w:p>
        </w:tc>
        <w:tc>
          <w:tcPr>
            <w:tcW w:w="920" w:type="dxa"/>
            <w:vAlign w:val="bottom"/>
            <w:vMerge w:val="restart"/>
          </w:tcPr>
          <w:p>
            <w:pPr>
              <w:jc w:val="right"/>
              <w:ind w:right="508"/>
              <w:spacing w:after="0"/>
              <w:rPr>
                <w:sz w:val="20"/>
                <w:szCs w:val="20"/>
                <w:color w:val="auto"/>
              </w:rPr>
            </w:pPr>
            <w:r>
              <w:rPr>
                <w:rFonts w:ascii="Arial" w:cs="Arial" w:eastAsia="Arial" w:hAnsi="Arial"/>
                <w:sz w:val="14"/>
                <w:szCs w:val="14"/>
                <w:color w:val="auto"/>
              </w:rPr>
              <w:t>2021</w:t>
            </w:r>
          </w:p>
        </w:tc>
        <w:tc>
          <w:tcPr>
            <w:tcW w:w="9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6"/>
        </w:trPr>
        <w:tc>
          <w:tcPr>
            <w:tcW w:w="6920" w:type="dxa"/>
            <w:vAlign w:val="bottom"/>
            <w:gridSpan w:val="2"/>
            <w:vMerge w:val="restart"/>
          </w:tcPr>
          <w:p>
            <w:pPr>
              <w:ind w:left="20"/>
              <w:spacing w:after="0"/>
              <w:rPr>
                <w:sz w:val="20"/>
                <w:szCs w:val="20"/>
                <w:color w:val="auto"/>
              </w:rPr>
            </w:pPr>
            <w:r>
              <w:rPr>
                <w:rFonts w:ascii="Arial" w:cs="Arial" w:eastAsia="Arial" w:hAnsi="Arial"/>
                <w:sz w:val="14"/>
                <w:szCs w:val="14"/>
                <w:color w:val="auto"/>
              </w:rPr>
              <w:t>Executive Vice President, Chief Product and Enterprise Strategy Officer, Sleep Number Corporation</w:t>
            </w:r>
          </w:p>
        </w:tc>
        <w:tc>
          <w:tcPr>
            <w:tcW w:w="1980" w:type="dxa"/>
            <w:vAlign w:val="bottom"/>
            <w:gridSpan w:val="2"/>
            <w:vMerge w:val="continue"/>
          </w:tcPr>
          <w:p>
            <w:pPr>
              <w:spacing w:after="0"/>
              <w:rPr>
                <w:sz w:val="8"/>
                <w:szCs w:val="8"/>
                <w:color w:val="auto"/>
              </w:rPr>
            </w:pPr>
          </w:p>
        </w:tc>
        <w:tc>
          <w:tcPr>
            <w:tcW w:w="920" w:type="dxa"/>
            <w:vAlign w:val="bottom"/>
            <w:vMerge w:val="continue"/>
          </w:tcPr>
          <w:p>
            <w:pPr>
              <w:spacing w:after="0"/>
              <w:rPr>
                <w:sz w:val="8"/>
                <w:szCs w:val="8"/>
                <w:color w:val="auto"/>
              </w:rPr>
            </w:pPr>
          </w:p>
        </w:tc>
        <w:tc>
          <w:tcPr>
            <w:tcW w:w="92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6920" w:type="dxa"/>
            <w:vAlign w:val="bottom"/>
            <w:gridSpan w:val="2"/>
            <w:vMerge w:val="continue"/>
          </w:tcPr>
          <w:p>
            <w:pPr>
              <w:spacing w:after="0"/>
              <w:rPr>
                <w:sz w:val="8"/>
                <w:szCs w:val="8"/>
                <w:color w:val="auto"/>
              </w:rPr>
            </w:pPr>
          </w:p>
        </w:tc>
        <w:tc>
          <w:tcPr>
            <w:tcW w:w="1140" w:type="dxa"/>
            <w:vAlign w:val="bottom"/>
          </w:tcPr>
          <w:p>
            <w:pPr>
              <w:spacing w:after="0"/>
              <w:rPr>
                <w:sz w:val="8"/>
                <w:szCs w:val="8"/>
                <w:color w:val="auto"/>
              </w:rPr>
            </w:pPr>
          </w:p>
        </w:tc>
        <w:tc>
          <w:tcPr>
            <w:tcW w:w="840" w:type="dxa"/>
            <w:vAlign w:val="bottom"/>
          </w:tcPr>
          <w:p>
            <w:pPr>
              <w:spacing w:after="0"/>
              <w:rPr>
                <w:sz w:val="8"/>
                <w:szCs w:val="8"/>
                <w:color w:val="auto"/>
              </w:rPr>
            </w:pPr>
          </w:p>
        </w:tc>
        <w:tc>
          <w:tcPr>
            <w:tcW w:w="920" w:type="dxa"/>
            <w:vAlign w:val="bottom"/>
          </w:tcPr>
          <w:p>
            <w:pPr>
              <w:spacing w:after="0"/>
              <w:rPr>
                <w:sz w:val="8"/>
                <w:szCs w:val="8"/>
                <w:color w:val="auto"/>
              </w:rPr>
            </w:pPr>
          </w:p>
        </w:tc>
        <w:tc>
          <w:tcPr>
            <w:tcW w:w="92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5"/>
        </w:trPr>
        <w:tc>
          <w:tcPr>
            <w:tcW w:w="3880" w:type="dxa"/>
            <w:vAlign w:val="bottom"/>
            <w:tcBorders>
              <w:bottom w:val="single" w:sz="8" w:color="BCBEC0"/>
            </w:tcBorders>
          </w:tcPr>
          <w:p>
            <w:pPr>
              <w:spacing w:after="0"/>
              <w:rPr>
                <w:sz w:val="3"/>
                <w:szCs w:val="3"/>
                <w:color w:val="auto"/>
              </w:rPr>
            </w:pPr>
          </w:p>
        </w:tc>
        <w:tc>
          <w:tcPr>
            <w:tcW w:w="3040" w:type="dxa"/>
            <w:vAlign w:val="bottom"/>
            <w:tcBorders>
              <w:bottom w:val="single" w:sz="8" w:color="BCBEC0"/>
            </w:tcBorders>
          </w:tcPr>
          <w:p>
            <w:pPr>
              <w:spacing w:after="0"/>
              <w:rPr>
                <w:sz w:val="3"/>
                <w:szCs w:val="3"/>
                <w:color w:val="auto"/>
              </w:rPr>
            </w:pPr>
          </w:p>
        </w:tc>
        <w:tc>
          <w:tcPr>
            <w:tcW w:w="1140" w:type="dxa"/>
            <w:vAlign w:val="bottom"/>
            <w:tcBorders>
              <w:bottom w:val="single" w:sz="8" w:color="BCBEC0"/>
            </w:tcBorders>
          </w:tcPr>
          <w:p>
            <w:pPr>
              <w:spacing w:after="0"/>
              <w:rPr>
                <w:sz w:val="3"/>
                <w:szCs w:val="3"/>
                <w:color w:val="auto"/>
              </w:rPr>
            </w:pPr>
          </w:p>
        </w:tc>
        <w:tc>
          <w:tcPr>
            <w:tcW w:w="840" w:type="dxa"/>
            <w:vAlign w:val="bottom"/>
            <w:tcBorders>
              <w:bottom w:val="single" w:sz="8" w:color="BCBEC0"/>
            </w:tcBorders>
          </w:tcPr>
          <w:p>
            <w:pPr>
              <w:spacing w:after="0"/>
              <w:rPr>
                <w:sz w:val="3"/>
                <w:szCs w:val="3"/>
                <w:color w:val="auto"/>
              </w:rPr>
            </w:pPr>
          </w:p>
        </w:tc>
        <w:tc>
          <w:tcPr>
            <w:tcW w:w="920" w:type="dxa"/>
            <w:vAlign w:val="bottom"/>
            <w:tcBorders>
              <w:bottom w:val="single" w:sz="8" w:color="BCBEC0"/>
            </w:tcBorders>
          </w:tcPr>
          <w:p>
            <w:pPr>
              <w:spacing w:after="0"/>
              <w:rPr>
                <w:sz w:val="3"/>
                <w:szCs w:val="3"/>
                <w:color w:val="auto"/>
              </w:rPr>
            </w:pPr>
          </w:p>
        </w:tc>
        <w:tc>
          <w:tcPr>
            <w:tcW w:w="920" w:type="dxa"/>
            <w:vAlign w:val="bottom"/>
            <w:tcBorders>
              <w:bottom w:val="single" w:sz="8" w:color="BCBEC0"/>
            </w:tcBorders>
          </w:tcPr>
          <w:p>
            <w:pPr>
              <w:spacing w:after="0"/>
              <w:rPr>
                <w:sz w:val="3"/>
                <w:szCs w:val="3"/>
                <w:color w:val="auto"/>
              </w:rPr>
            </w:pPr>
          </w:p>
        </w:tc>
        <w:tc>
          <w:tcPr>
            <w:tcW w:w="500" w:type="dxa"/>
            <w:vAlign w:val="bottom"/>
            <w:tcBorders>
              <w:bottom w:val="single" w:sz="8" w:color="BCBEC0"/>
            </w:tcBorders>
          </w:tcPr>
          <w:p>
            <w:pPr>
              <w:spacing w:after="0"/>
              <w:rPr>
                <w:sz w:val="3"/>
                <w:szCs w:val="3"/>
                <w:color w:val="auto"/>
              </w:rPr>
            </w:pPr>
          </w:p>
        </w:tc>
        <w:tc>
          <w:tcPr>
            <w:tcW w:w="0" w:type="dxa"/>
            <w:vAlign w:val="bottom"/>
          </w:tcPr>
          <w:p>
            <w:pPr>
              <w:spacing w:after="0"/>
              <w:rPr>
                <w:sz w:val="1"/>
                <w:szCs w:val="1"/>
                <w:color w:val="auto"/>
              </w:rPr>
            </w:pPr>
          </w:p>
        </w:tc>
      </w:tr>
      <w:tr>
        <w:trPr>
          <w:trHeight w:val="200"/>
        </w:trPr>
        <w:tc>
          <w:tcPr>
            <w:tcW w:w="3880" w:type="dxa"/>
            <w:vAlign w:val="bottom"/>
          </w:tcPr>
          <w:p>
            <w:pPr>
              <w:ind w:left="20"/>
              <w:spacing w:after="0"/>
              <w:rPr>
                <w:sz w:val="20"/>
                <w:szCs w:val="20"/>
                <w:color w:val="auto"/>
              </w:rPr>
            </w:pPr>
            <w:r>
              <w:rPr>
                <w:rFonts w:ascii="Arial" w:cs="Arial" w:eastAsia="Arial" w:hAnsi="Arial"/>
                <w:sz w:val="16"/>
                <w:szCs w:val="16"/>
                <w:b w:val="1"/>
                <w:bCs w:val="1"/>
                <w:color w:val="0C3471"/>
              </w:rPr>
              <w:t xml:space="preserve">Tracey C. Doi  </w:t>
            </w:r>
            <w:r>
              <w:rPr>
                <w:rFonts w:ascii="Arial" w:cs="Arial" w:eastAsia="Arial" w:hAnsi="Arial"/>
                <w:sz w:val="14"/>
                <w:szCs w:val="14"/>
                <w:color w:val="0C3471"/>
              </w:rPr>
              <w:t>IND</w:t>
            </w:r>
          </w:p>
        </w:tc>
        <w:tc>
          <w:tcPr>
            <w:tcW w:w="3040" w:type="dxa"/>
            <w:vAlign w:val="bottom"/>
          </w:tcPr>
          <w:p>
            <w:pPr>
              <w:spacing w:after="0"/>
              <w:rPr>
                <w:sz w:val="17"/>
                <w:szCs w:val="17"/>
                <w:color w:val="auto"/>
              </w:rPr>
            </w:pPr>
          </w:p>
        </w:tc>
        <w:tc>
          <w:tcPr>
            <w:tcW w:w="1980" w:type="dxa"/>
            <w:vAlign w:val="bottom"/>
            <w:gridSpan w:val="2"/>
            <w:vMerge w:val="restart"/>
          </w:tcPr>
          <w:p>
            <w:pPr>
              <w:jc w:val="right"/>
              <w:ind w:right="440"/>
              <w:spacing w:after="0"/>
              <w:rPr>
                <w:sz w:val="20"/>
                <w:szCs w:val="20"/>
                <w:color w:val="auto"/>
              </w:rPr>
            </w:pPr>
            <w:r>
              <w:rPr>
                <w:rFonts w:ascii="Arial" w:cs="Arial" w:eastAsia="Arial" w:hAnsi="Arial"/>
                <w:sz w:val="14"/>
                <w:szCs w:val="14"/>
                <w:color w:val="auto"/>
              </w:rPr>
              <w:t>65</w:t>
            </w:r>
          </w:p>
        </w:tc>
        <w:tc>
          <w:tcPr>
            <w:tcW w:w="920" w:type="dxa"/>
            <w:vAlign w:val="bottom"/>
            <w:vMerge w:val="restart"/>
          </w:tcPr>
          <w:p>
            <w:pPr>
              <w:jc w:val="right"/>
              <w:ind w:right="508"/>
              <w:spacing w:after="0"/>
              <w:rPr>
                <w:sz w:val="20"/>
                <w:szCs w:val="20"/>
                <w:color w:val="auto"/>
              </w:rPr>
            </w:pPr>
            <w:r>
              <w:rPr>
                <w:rFonts w:ascii="Arial" w:cs="Arial" w:eastAsia="Arial" w:hAnsi="Arial"/>
                <w:sz w:val="14"/>
                <w:szCs w:val="14"/>
                <w:color w:val="auto"/>
              </w:rPr>
              <w:t>2023</w:t>
            </w:r>
          </w:p>
        </w:tc>
        <w:tc>
          <w:tcPr>
            <w:tcW w:w="9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6"/>
        </w:trPr>
        <w:tc>
          <w:tcPr>
            <w:tcW w:w="6920" w:type="dxa"/>
            <w:vAlign w:val="bottom"/>
            <w:gridSpan w:val="2"/>
            <w:vMerge w:val="restart"/>
          </w:tcPr>
          <w:p>
            <w:pPr>
              <w:ind w:left="20"/>
              <w:spacing w:after="0"/>
              <w:rPr>
                <w:sz w:val="20"/>
                <w:szCs w:val="20"/>
                <w:color w:val="auto"/>
              </w:rPr>
            </w:pPr>
            <w:r>
              <w:rPr>
                <w:rFonts w:ascii="Arial" w:cs="Arial" w:eastAsia="Arial" w:hAnsi="Arial"/>
                <w:sz w:val="14"/>
                <w:szCs w:val="14"/>
                <w:color w:val="auto"/>
              </w:rPr>
              <w:t>Retired Group Vice President and Chief Financial Officer, Toyota Motor North America</w:t>
            </w:r>
          </w:p>
        </w:tc>
        <w:tc>
          <w:tcPr>
            <w:tcW w:w="1980" w:type="dxa"/>
            <w:vAlign w:val="bottom"/>
            <w:gridSpan w:val="2"/>
            <w:vMerge w:val="continue"/>
          </w:tcPr>
          <w:p>
            <w:pPr>
              <w:spacing w:after="0"/>
              <w:rPr>
                <w:sz w:val="8"/>
                <w:szCs w:val="8"/>
                <w:color w:val="auto"/>
              </w:rPr>
            </w:pPr>
          </w:p>
        </w:tc>
        <w:tc>
          <w:tcPr>
            <w:tcW w:w="920" w:type="dxa"/>
            <w:vAlign w:val="bottom"/>
            <w:vMerge w:val="continue"/>
          </w:tcPr>
          <w:p>
            <w:pPr>
              <w:spacing w:after="0"/>
              <w:rPr>
                <w:sz w:val="8"/>
                <w:szCs w:val="8"/>
                <w:color w:val="auto"/>
              </w:rPr>
            </w:pPr>
          </w:p>
        </w:tc>
        <w:tc>
          <w:tcPr>
            <w:tcW w:w="92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6920" w:type="dxa"/>
            <w:vAlign w:val="bottom"/>
            <w:gridSpan w:val="2"/>
            <w:vMerge w:val="continue"/>
          </w:tcPr>
          <w:p>
            <w:pPr>
              <w:spacing w:after="0"/>
              <w:rPr>
                <w:sz w:val="8"/>
                <w:szCs w:val="8"/>
                <w:color w:val="auto"/>
              </w:rPr>
            </w:pPr>
          </w:p>
        </w:tc>
        <w:tc>
          <w:tcPr>
            <w:tcW w:w="1140" w:type="dxa"/>
            <w:vAlign w:val="bottom"/>
          </w:tcPr>
          <w:p>
            <w:pPr>
              <w:spacing w:after="0"/>
              <w:rPr>
                <w:sz w:val="8"/>
                <w:szCs w:val="8"/>
                <w:color w:val="auto"/>
              </w:rPr>
            </w:pPr>
          </w:p>
        </w:tc>
        <w:tc>
          <w:tcPr>
            <w:tcW w:w="840" w:type="dxa"/>
            <w:vAlign w:val="bottom"/>
          </w:tcPr>
          <w:p>
            <w:pPr>
              <w:spacing w:after="0"/>
              <w:rPr>
                <w:sz w:val="8"/>
                <w:szCs w:val="8"/>
                <w:color w:val="auto"/>
              </w:rPr>
            </w:pPr>
          </w:p>
        </w:tc>
        <w:tc>
          <w:tcPr>
            <w:tcW w:w="920" w:type="dxa"/>
            <w:vAlign w:val="bottom"/>
          </w:tcPr>
          <w:p>
            <w:pPr>
              <w:spacing w:after="0"/>
              <w:rPr>
                <w:sz w:val="8"/>
                <w:szCs w:val="8"/>
                <w:color w:val="auto"/>
              </w:rPr>
            </w:pPr>
          </w:p>
        </w:tc>
        <w:tc>
          <w:tcPr>
            <w:tcW w:w="92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5"/>
        </w:trPr>
        <w:tc>
          <w:tcPr>
            <w:tcW w:w="3880" w:type="dxa"/>
            <w:vAlign w:val="bottom"/>
            <w:tcBorders>
              <w:bottom w:val="single" w:sz="8" w:color="BCBEC0"/>
            </w:tcBorders>
          </w:tcPr>
          <w:p>
            <w:pPr>
              <w:spacing w:after="0"/>
              <w:rPr>
                <w:sz w:val="3"/>
                <w:szCs w:val="3"/>
                <w:color w:val="auto"/>
              </w:rPr>
            </w:pPr>
          </w:p>
        </w:tc>
        <w:tc>
          <w:tcPr>
            <w:tcW w:w="3040" w:type="dxa"/>
            <w:vAlign w:val="bottom"/>
            <w:tcBorders>
              <w:bottom w:val="single" w:sz="8" w:color="BCBEC0"/>
            </w:tcBorders>
          </w:tcPr>
          <w:p>
            <w:pPr>
              <w:spacing w:after="0"/>
              <w:rPr>
                <w:sz w:val="3"/>
                <w:szCs w:val="3"/>
                <w:color w:val="auto"/>
              </w:rPr>
            </w:pPr>
          </w:p>
        </w:tc>
        <w:tc>
          <w:tcPr>
            <w:tcW w:w="1140" w:type="dxa"/>
            <w:vAlign w:val="bottom"/>
            <w:tcBorders>
              <w:bottom w:val="single" w:sz="8" w:color="BCBEC0"/>
            </w:tcBorders>
          </w:tcPr>
          <w:p>
            <w:pPr>
              <w:spacing w:after="0"/>
              <w:rPr>
                <w:sz w:val="3"/>
                <w:szCs w:val="3"/>
                <w:color w:val="auto"/>
              </w:rPr>
            </w:pPr>
          </w:p>
        </w:tc>
        <w:tc>
          <w:tcPr>
            <w:tcW w:w="840" w:type="dxa"/>
            <w:vAlign w:val="bottom"/>
            <w:tcBorders>
              <w:bottom w:val="single" w:sz="8" w:color="BCBEC0"/>
            </w:tcBorders>
          </w:tcPr>
          <w:p>
            <w:pPr>
              <w:spacing w:after="0"/>
              <w:rPr>
                <w:sz w:val="3"/>
                <w:szCs w:val="3"/>
                <w:color w:val="auto"/>
              </w:rPr>
            </w:pPr>
          </w:p>
        </w:tc>
        <w:tc>
          <w:tcPr>
            <w:tcW w:w="920" w:type="dxa"/>
            <w:vAlign w:val="bottom"/>
            <w:tcBorders>
              <w:bottom w:val="single" w:sz="8" w:color="BCBEC0"/>
            </w:tcBorders>
          </w:tcPr>
          <w:p>
            <w:pPr>
              <w:spacing w:after="0"/>
              <w:rPr>
                <w:sz w:val="3"/>
                <w:szCs w:val="3"/>
                <w:color w:val="auto"/>
              </w:rPr>
            </w:pPr>
          </w:p>
        </w:tc>
        <w:tc>
          <w:tcPr>
            <w:tcW w:w="920" w:type="dxa"/>
            <w:vAlign w:val="bottom"/>
            <w:tcBorders>
              <w:bottom w:val="single" w:sz="8" w:color="BCBEC0"/>
            </w:tcBorders>
          </w:tcPr>
          <w:p>
            <w:pPr>
              <w:spacing w:after="0"/>
              <w:rPr>
                <w:sz w:val="3"/>
                <w:szCs w:val="3"/>
                <w:color w:val="auto"/>
              </w:rPr>
            </w:pPr>
          </w:p>
        </w:tc>
        <w:tc>
          <w:tcPr>
            <w:tcW w:w="500" w:type="dxa"/>
            <w:vAlign w:val="bottom"/>
            <w:tcBorders>
              <w:bottom w:val="single" w:sz="8" w:color="BCBEC0"/>
            </w:tcBorders>
          </w:tcPr>
          <w:p>
            <w:pPr>
              <w:spacing w:after="0"/>
              <w:rPr>
                <w:sz w:val="3"/>
                <w:szCs w:val="3"/>
                <w:color w:val="auto"/>
              </w:rPr>
            </w:pPr>
          </w:p>
        </w:tc>
        <w:tc>
          <w:tcPr>
            <w:tcW w:w="0" w:type="dxa"/>
            <w:vAlign w:val="bottom"/>
          </w:tcPr>
          <w:p>
            <w:pPr>
              <w:spacing w:after="0"/>
              <w:rPr>
                <w:sz w:val="1"/>
                <w:szCs w:val="1"/>
                <w:color w:val="auto"/>
              </w:rPr>
            </w:pPr>
          </w:p>
        </w:tc>
      </w:tr>
      <w:tr>
        <w:trPr>
          <w:trHeight w:val="200"/>
        </w:trPr>
        <w:tc>
          <w:tcPr>
            <w:tcW w:w="3880" w:type="dxa"/>
            <w:vAlign w:val="bottom"/>
          </w:tcPr>
          <w:p>
            <w:pPr>
              <w:ind w:left="20"/>
              <w:spacing w:after="0" w:line="201" w:lineRule="exact"/>
              <w:rPr>
                <w:sz w:val="20"/>
                <w:szCs w:val="20"/>
                <w:color w:val="auto"/>
              </w:rPr>
            </w:pPr>
            <w:r>
              <w:rPr>
                <w:rFonts w:ascii="Arial" w:cs="Arial" w:eastAsia="Arial" w:hAnsi="Arial"/>
                <w:sz w:val="16"/>
                <w:szCs w:val="16"/>
                <w:b w:val="1"/>
                <w:bCs w:val="1"/>
                <w:color w:val="0C3471"/>
              </w:rPr>
              <w:t>T. Michael Glenn</w:t>
            </w:r>
            <w:r>
              <w:rPr>
                <w:rFonts w:ascii="Arial" w:cs="Arial" w:eastAsia="Arial" w:hAnsi="Arial"/>
                <w:sz w:val="21"/>
                <w:szCs w:val="21"/>
                <w:b w:val="1"/>
                <w:bCs w:val="1"/>
                <w:color w:val="000000"/>
                <w:vertAlign w:val="superscript"/>
              </w:rPr>
              <w:t>3</w:t>
            </w:r>
            <w:r>
              <w:rPr>
                <w:rFonts w:ascii="Arial" w:cs="Arial" w:eastAsia="Arial" w:hAnsi="Arial"/>
                <w:sz w:val="14"/>
                <w:szCs w:val="14"/>
                <w:color w:val="000000"/>
              </w:rPr>
              <w:t xml:space="preserve"> </w:t>
            </w:r>
            <w:r>
              <w:rPr>
                <w:rFonts w:ascii="Arial" w:cs="Arial" w:eastAsia="Arial" w:hAnsi="Arial"/>
                <w:sz w:val="16"/>
                <w:szCs w:val="16"/>
                <w:b w:val="1"/>
                <w:bCs w:val="1"/>
                <w:color w:val="0C3471"/>
              </w:rPr>
              <w:t xml:space="preserve"> </w:t>
            </w:r>
            <w:r>
              <w:rPr>
                <w:rFonts w:ascii="Arial" w:cs="Arial" w:eastAsia="Arial" w:hAnsi="Arial"/>
                <w:sz w:val="14"/>
                <w:szCs w:val="14"/>
                <w:color w:val="0C3471"/>
              </w:rPr>
              <w:t>IND</w:t>
            </w:r>
          </w:p>
        </w:tc>
        <w:tc>
          <w:tcPr>
            <w:tcW w:w="3040" w:type="dxa"/>
            <w:vAlign w:val="bottom"/>
          </w:tcPr>
          <w:p>
            <w:pPr>
              <w:spacing w:after="0"/>
              <w:rPr>
                <w:sz w:val="17"/>
                <w:szCs w:val="17"/>
                <w:color w:val="auto"/>
              </w:rPr>
            </w:pPr>
          </w:p>
        </w:tc>
        <w:tc>
          <w:tcPr>
            <w:tcW w:w="1980" w:type="dxa"/>
            <w:vAlign w:val="bottom"/>
            <w:gridSpan w:val="2"/>
            <w:vMerge w:val="restart"/>
          </w:tcPr>
          <w:p>
            <w:pPr>
              <w:jc w:val="right"/>
              <w:ind w:right="440"/>
              <w:spacing w:after="0"/>
              <w:rPr>
                <w:sz w:val="20"/>
                <w:szCs w:val="20"/>
                <w:color w:val="auto"/>
              </w:rPr>
            </w:pPr>
            <w:r>
              <w:rPr>
                <w:rFonts w:ascii="Arial" w:cs="Arial" w:eastAsia="Arial" w:hAnsi="Arial"/>
                <w:sz w:val="14"/>
                <w:szCs w:val="14"/>
                <w:color w:val="auto"/>
              </w:rPr>
              <w:t>70</w:t>
            </w:r>
          </w:p>
        </w:tc>
        <w:tc>
          <w:tcPr>
            <w:tcW w:w="920" w:type="dxa"/>
            <w:vAlign w:val="bottom"/>
            <w:vMerge w:val="restart"/>
          </w:tcPr>
          <w:p>
            <w:pPr>
              <w:jc w:val="right"/>
              <w:ind w:right="508"/>
              <w:spacing w:after="0"/>
              <w:rPr>
                <w:sz w:val="20"/>
                <w:szCs w:val="20"/>
                <w:color w:val="auto"/>
              </w:rPr>
            </w:pPr>
            <w:r>
              <w:rPr>
                <w:rFonts w:ascii="Arial" w:cs="Arial" w:eastAsia="Arial" w:hAnsi="Arial"/>
                <w:sz w:val="14"/>
                <w:szCs w:val="14"/>
                <w:color w:val="auto"/>
              </w:rPr>
              <w:t>2007</w:t>
            </w:r>
          </w:p>
        </w:tc>
        <w:tc>
          <w:tcPr>
            <w:tcW w:w="9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6"/>
        </w:trPr>
        <w:tc>
          <w:tcPr>
            <w:tcW w:w="6920" w:type="dxa"/>
            <w:vAlign w:val="bottom"/>
            <w:gridSpan w:val="2"/>
            <w:vMerge w:val="restart"/>
          </w:tcPr>
          <w:p>
            <w:pPr>
              <w:ind w:left="20"/>
              <w:spacing w:after="0"/>
              <w:rPr>
                <w:sz w:val="20"/>
                <w:szCs w:val="20"/>
                <w:color w:val="auto"/>
              </w:rPr>
            </w:pPr>
            <w:r>
              <w:rPr>
                <w:rFonts w:ascii="Arial" w:cs="Arial" w:eastAsia="Arial" w:hAnsi="Arial"/>
                <w:sz w:val="14"/>
                <w:szCs w:val="14"/>
                <w:color w:val="auto"/>
              </w:rPr>
              <w:t>Retired Executive Vice President, FedEx Corporation and Chief Executive Officer, FedEx Services</w:t>
            </w:r>
          </w:p>
        </w:tc>
        <w:tc>
          <w:tcPr>
            <w:tcW w:w="1980" w:type="dxa"/>
            <w:vAlign w:val="bottom"/>
            <w:gridSpan w:val="2"/>
            <w:vMerge w:val="continue"/>
          </w:tcPr>
          <w:p>
            <w:pPr>
              <w:spacing w:after="0"/>
              <w:rPr>
                <w:sz w:val="8"/>
                <w:szCs w:val="8"/>
                <w:color w:val="auto"/>
              </w:rPr>
            </w:pPr>
          </w:p>
        </w:tc>
        <w:tc>
          <w:tcPr>
            <w:tcW w:w="920" w:type="dxa"/>
            <w:vAlign w:val="bottom"/>
            <w:vMerge w:val="continue"/>
          </w:tcPr>
          <w:p>
            <w:pPr>
              <w:spacing w:after="0"/>
              <w:rPr>
                <w:sz w:val="8"/>
                <w:szCs w:val="8"/>
                <w:color w:val="auto"/>
              </w:rPr>
            </w:pPr>
          </w:p>
        </w:tc>
        <w:tc>
          <w:tcPr>
            <w:tcW w:w="92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6920" w:type="dxa"/>
            <w:vAlign w:val="bottom"/>
            <w:gridSpan w:val="2"/>
            <w:vMerge w:val="continue"/>
          </w:tcPr>
          <w:p>
            <w:pPr>
              <w:spacing w:after="0"/>
              <w:rPr>
                <w:sz w:val="8"/>
                <w:szCs w:val="8"/>
                <w:color w:val="auto"/>
              </w:rPr>
            </w:pPr>
          </w:p>
        </w:tc>
        <w:tc>
          <w:tcPr>
            <w:tcW w:w="1140" w:type="dxa"/>
            <w:vAlign w:val="bottom"/>
          </w:tcPr>
          <w:p>
            <w:pPr>
              <w:spacing w:after="0"/>
              <w:rPr>
                <w:sz w:val="8"/>
                <w:szCs w:val="8"/>
                <w:color w:val="auto"/>
              </w:rPr>
            </w:pPr>
          </w:p>
        </w:tc>
        <w:tc>
          <w:tcPr>
            <w:tcW w:w="840" w:type="dxa"/>
            <w:vAlign w:val="bottom"/>
          </w:tcPr>
          <w:p>
            <w:pPr>
              <w:spacing w:after="0"/>
              <w:rPr>
                <w:sz w:val="8"/>
                <w:szCs w:val="8"/>
                <w:color w:val="auto"/>
              </w:rPr>
            </w:pPr>
          </w:p>
        </w:tc>
        <w:tc>
          <w:tcPr>
            <w:tcW w:w="920" w:type="dxa"/>
            <w:vAlign w:val="bottom"/>
          </w:tcPr>
          <w:p>
            <w:pPr>
              <w:spacing w:after="0"/>
              <w:rPr>
                <w:sz w:val="8"/>
                <w:szCs w:val="8"/>
                <w:color w:val="auto"/>
              </w:rPr>
            </w:pPr>
          </w:p>
        </w:tc>
        <w:tc>
          <w:tcPr>
            <w:tcW w:w="92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5"/>
        </w:trPr>
        <w:tc>
          <w:tcPr>
            <w:tcW w:w="3880" w:type="dxa"/>
            <w:vAlign w:val="bottom"/>
            <w:tcBorders>
              <w:bottom w:val="single" w:sz="8" w:color="BCBEC0"/>
            </w:tcBorders>
          </w:tcPr>
          <w:p>
            <w:pPr>
              <w:spacing w:after="0"/>
              <w:rPr>
                <w:sz w:val="3"/>
                <w:szCs w:val="3"/>
                <w:color w:val="auto"/>
              </w:rPr>
            </w:pPr>
          </w:p>
        </w:tc>
        <w:tc>
          <w:tcPr>
            <w:tcW w:w="3040" w:type="dxa"/>
            <w:vAlign w:val="bottom"/>
            <w:tcBorders>
              <w:bottom w:val="single" w:sz="8" w:color="BCBEC0"/>
            </w:tcBorders>
          </w:tcPr>
          <w:p>
            <w:pPr>
              <w:spacing w:after="0"/>
              <w:rPr>
                <w:sz w:val="3"/>
                <w:szCs w:val="3"/>
                <w:color w:val="auto"/>
              </w:rPr>
            </w:pPr>
          </w:p>
        </w:tc>
        <w:tc>
          <w:tcPr>
            <w:tcW w:w="1140" w:type="dxa"/>
            <w:vAlign w:val="bottom"/>
            <w:tcBorders>
              <w:bottom w:val="single" w:sz="8" w:color="BCBEC0"/>
            </w:tcBorders>
          </w:tcPr>
          <w:p>
            <w:pPr>
              <w:spacing w:after="0"/>
              <w:rPr>
                <w:sz w:val="3"/>
                <w:szCs w:val="3"/>
                <w:color w:val="auto"/>
              </w:rPr>
            </w:pPr>
          </w:p>
        </w:tc>
        <w:tc>
          <w:tcPr>
            <w:tcW w:w="840" w:type="dxa"/>
            <w:vAlign w:val="bottom"/>
            <w:tcBorders>
              <w:bottom w:val="single" w:sz="8" w:color="BCBEC0"/>
            </w:tcBorders>
          </w:tcPr>
          <w:p>
            <w:pPr>
              <w:spacing w:after="0"/>
              <w:rPr>
                <w:sz w:val="3"/>
                <w:szCs w:val="3"/>
                <w:color w:val="auto"/>
              </w:rPr>
            </w:pPr>
          </w:p>
        </w:tc>
        <w:tc>
          <w:tcPr>
            <w:tcW w:w="920" w:type="dxa"/>
            <w:vAlign w:val="bottom"/>
            <w:tcBorders>
              <w:bottom w:val="single" w:sz="8" w:color="BCBEC0"/>
            </w:tcBorders>
          </w:tcPr>
          <w:p>
            <w:pPr>
              <w:spacing w:after="0"/>
              <w:rPr>
                <w:sz w:val="3"/>
                <w:szCs w:val="3"/>
                <w:color w:val="auto"/>
              </w:rPr>
            </w:pPr>
          </w:p>
        </w:tc>
        <w:tc>
          <w:tcPr>
            <w:tcW w:w="920" w:type="dxa"/>
            <w:vAlign w:val="bottom"/>
            <w:tcBorders>
              <w:bottom w:val="single" w:sz="8" w:color="BCBEC0"/>
            </w:tcBorders>
          </w:tcPr>
          <w:p>
            <w:pPr>
              <w:spacing w:after="0"/>
              <w:rPr>
                <w:sz w:val="3"/>
                <w:szCs w:val="3"/>
                <w:color w:val="auto"/>
              </w:rPr>
            </w:pPr>
          </w:p>
        </w:tc>
        <w:tc>
          <w:tcPr>
            <w:tcW w:w="500" w:type="dxa"/>
            <w:vAlign w:val="bottom"/>
            <w:tcBorders>
              <w:bottom w:val="single" w:sz="8" w:color="BCBEC0"/>
            </w:tcBorders>
          </w:tcPr>
          <w:p>
            <w:pPr>
              <w:spacing w:after="0"/>
              <w:rPr>
                <w:sz w:val="3"/>
                <w:szCs w:val="3"/>
                <w:color w:val="auto"/>
              </w:rPr>
            </w:pPr>
          </w:p>
        </w:tc>
        <w:tc>
          <w:tcPr>
            <w:tcW w:w="0" w:type="dxa"/>
            <w:vAlign w:val="bottom"/>
          </w:tcPr>
          <w:p>
            <w:pPr>
              <w:spacing w:after="0"/>
              <w:rPr>
                <w:sz w:val="1"/>
                <w:szCs w:val="1"/>
                <w:color w:val="auto"/>
              </w:rPr>
            </w:pPr>
          </w:p>
        </w:tc>
      </w:tr>
      <w:tr>
        <w:trPr>
          <w:trHeight w:val="200"/>
        </w:trPr>
        <w:tc>
          <w:tcPr>
            <w:tcW w:w="3880" w:type="dxa"/>
            <w:vAlign w:val="bottom"/>
          </w:tcPr>
          <w:p>
            <w:pPr>
              <w:ind w:left="20"/>
              <w:spacing w:after="0"/>
              <w:rPr>
                <w:sz w:val="20"/>
                <w:szCs w:val="20"/>
                <w:color w:val="auto"/>
              </w:rPr>
            </w:pPr>
            <w:r>
              <w:rPr>
                <w:rFonts w:ascii="Arial" w:cs="Arial" w:eastAsia="Arial" w:hAnsi="Arial"/>
                <w:sz w:val="16"/>
                <w:szCs w:val="16"/>
                <w:b w:val="1"/>
                <w:bCs w:val="1"/>
                <w:color w:val="0C3471"/>
              </w:rPr>
              <w:t>Theodore L. Harris</w:t>
            </w:r>
            <w:r>
              <w:rPr>
                <w:rFonts w:ascii="Arial" w:cs="Arial" w:eastAsia="Arial" w:hAnsi="Arial"/>
                <w:sz w:val="14"/>
                <w:szCs w:val="14"/>
                <w:color w:val="000000"/>
              </w:rPr>
              <w:t xml:space="preserve"> </w:t>
            </w:r>
            <w:r>
              <w:rPr>
                <w:rFonts w:ascii="Arial" w:cs="Arial" w:eastAsia="Arial" w:hAnsi="Arial"/>
                <w:sz w:val="16"/>
                <w:szCs w:val="16"/>
                <w:b w:val="1"/>
                <w:bCs w:val="1"/>
                <w:color w:val="0C3471"/>
              </w:rPr>
              <w:t xml:space="preserve"> </w:t>
            </w:r>
            <w:r>
              <w:rPr>
                <w:rFonts w:ascii="Arial" w:cs="Arial" w:eastAsia="Arial" w:hAnsi="Arial"/>
                <w:sz w:val="14"/>
                <w:szCs w:val="14"/>
                <w:color w:val="0C3471"/>
              </w:rPr>
              <w:t>IND</w:t>
            </w:r>
          </w:p>
        </w:tc>
        <w:tc>
          <w:tcPr>
            <w:tcW w:w="3040" w:type="dxa"/>
            <w:vAlign w:val="bottom"/>
          </w:tcPr>
          <w:p>
            <w:pPr>
              <w:spacing w:after="0"/>
              <w:rPr>
                <w:sz w:val="17"/>
                <w:szCs w:val="17"/>
                <w:color w:val="auto"/>
              </w:rPr>
            </w:pPr>
          </w:p>
        </w:tc>
        <w:tc>
          <w:tcPr>
            <w:tcW w:w="1980" w:type="dxa"/>
            <w:vAlign w:val="bottom"/>
            <w:gridSpan w:val="2"/>
            <w:vMerge w:val="restart"/>
          </w:tcPr>
          <w:p>
            <w:pPr>
              <w:jc w:val="right"/>
              <w:ind w:right="440"/>
              <w:spacing w:after="0"/>
              <w:rPr>
                <w:sz w:val="20"/>
                <w:szCs w:val="20"/>
                <w:color w:val="auto"/>
              </w:rPr>
            </w:pPr>
            <w:r>
              <w:rPr>
                <w:rFonts w:ascii="Arial" w:cs="Arial" w:eastAsia="Arial" w:hAnsi="Arial"/>
                <w:sz w:val="14"/>
                <w:szCs w:val="14"/>
                <w:color w:val="auto"/>
              </w:rPr>
              <w:t>61</w:t>
            </w:r>
          </w:p>
        </w:tc>
        <w:tc>
          <w:tcPr>
            <w:tcW w:w="920" w:type="dxa"/>
            <w:vAlign w:val="bottom"/>
            <w:vMerge w:val="restart"/>
          </w:tcPr>
          <w:p>
            <w:pPr>
              <w:jc w:val="right"/>
              <w:ind w:right="508"/>
              <w:spacing w:after="0"/>
              <w:rPr>
                <w:sz w:val="20"/>
                <w:szCs w:val="20"/>
                <w:color w:val="auto"/>
              </w:rPr>
            </w:pPr>
            <w:r>
              <w:rPr>
                <w:rFonts w:ascii="Arial" w:cs="Arial" w:eastAsia="Arial" w:hAnsi="Arial"/>
                <w:sz w:val="14"/>
                <w:szCs w:val="14"/>
                <w:color w:val="auto"/>
              </w:rPr>
              <w:t>2018</w:t>
            </w:r>
          </w:p>
        </w:tc>
        <w:tc>
          <w:tcPr>
            <w:tcW w:w="920" w:type="dxa"/>
            <w:vAlign w:val="bottom"/>
          </w:tcPr>
          <w:p>
            <w:pPr>
              <w:jc w:val="right"/>
              <w:ind w:right="213"/>
              <w:spacing w:after="0"/>
              <w:rPr>
                <w:sz w:val="20"/>
                <w:szCs w:val="20"/>
                <w:color w:val="auto"/>
              </w:rPr>
            </w:pPr>
            <w:r>
              <w:rPr>
                <w:rFonts w:ascii="Arial" w:cs="Arial" w:eastAsia="Arial" w:hAnsi="Arial"/>
                <w:sz w:val="9"/>
                <w:szCs w:val="9"/>
                <w:color w:val="auto"/>
              </w:rPr>
              <w:t>4</w:t>
            </w: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6"/>
        </w:trPr>
        <w:tc>
          <w:tcPr>
            <w:tcW w:w="3880" w:type="dxa"/>
            <w:vAlign w:val="bottom"/>
            <w:vMerge w:val="restart"/>
          </w:tcPr>
          <w:p>
            <w:pPr>
              <w:ind w:left="20"/>
              <w:spacing w:after="0"/>
              <w:rPr>
                <w:sz w:val="20"/>
                <w:szCs w:val="20"/>
                <w:color w:val="auto"/>
              </w:rPr>
            </w:pPr>
            <w:r>
              <w:rPr>
                <w:rFonts w:ascii="Arial" w:cs="Arial" w:eastAsia="Arial" w:hAnsi="Arial"/>
                <w:sz w:val="14"/>
                <w:szCs w:val="14"/>
                <w:color w:val="auto"/>
              </w:rPr>
              <w:t>Chief Executive Officer, Balchem Corporation</w:t>
            </w:r>
          </w:p>
        </w:tc>
        <w:tc>
          <w:tcPr>
            <w:tcW w:w="3040" w:type="dxa"/>
            <w:vAlign w:val="bottom"/>
          </w:tcPr>
          <w:p>
            <w:pPr>
              <w:spacing w:after="0"/>
              <w:rPr>
                <w:sz w:val="8"/>
                <w:szCs w:val="8"/>
                <w:color w:val="auto"/>
              </w:rPr>
            </w:pPr>
          </w:p>
        </w:tc>
        <w:tc>
          <w:tcPr>
            <w:tcW w:w="1980" w:type="dxa"/>
            <w:vAlign w:val="bottom"/>
            <w:gridSpan w:val="2"/>
            <w:vMerge w:val="continue"/>
          </w:tcPr>
          <w:p>
            <w:pPr>
              <w:spacing w:after="0"/>
              <w:rPr>
                <w:sz w:val="8"/>
                <w:szCs w:val="8"/>
                <w:color w:val="auto"/>
              </w:rPr>
            </w:pPr>
          </w:p>
        </w:tc>
        <w:tc>
          <w:tcPr>
            <w:tcW w:w="920" w:type="dxa"/>
            <w:vAlign w:val="bottom"/>
            <w:vMerge w:val="continue"/>
          </w:tcPr>
          <w:p>
            <w:pPr>
              <w:spacing w:after="0"/>
              <w:rPr>
                <w:sz w:val="8"/>
                <w:szCs w:val="8"/>
                <w:color w:val="auto"/>
              </w:rPr>
            </w:pPr>
          </w:p>
        </w:tc>
        <w:tc>
          <w:tcPr>
            <w:tcW w:w="92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3880" w:type="dxa"/>
            <w:vAlign w:val="bottom"/>
            <w:vMerge w:val="continue"/>
          </w:tcPr>
          <w:p>
            <w:pPr>
              <w:spacing w:after="0"/>
              <w:rPr>
                <w:sz w:val="8"/>
                <w:szCs w:val="8"/>
                <w:color w:val="auto"/>
              </w:rPr>
            </w:pPr>
          </w:p>
        </w:tc>
        <w:tc>
          <w:tcPr>
            <w:tcW w:w="3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40" w:type="dxa"/>
            <w:vAlign w:val="bottom"/>
          </w:tcPr>
          <w:p>
            <w:pPr>
              <w:spacing w:after="0"/>
              <w:rPr>
                <w:sz w:val="8"/>
                <w:szCs w:val="8"/>
                <w:color w:val="auto"/>
              </w:rPr>
            </w:pPr>
          </w:p>
        </w:tc>
        <w:tc>
          <w:tcPr>
            <w:tcW w:w="920" w:type="dxa"/>
            <w:vAlign w:val="bottom"/>
          </w:tcPr>
          <w:p>
            <w:pPr>
              <w:spacing w:after="0"/>
              <w:rPr>
                <w:sz w:val="8"/>
                <w:szCs w:val="8"/>
                <w:color w:val="auto"/>
              </w:rPr>
            </w:pPr>
          </w:p>
        </w:tc>
        <w:tc>
          <w:tcPr>
            <w:tcW w:w="92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5"/>
        </w:trPr>
        <w:tc>
          <w:tcPr>
            <w:tcW w:w="3880" w:type="dxa"/>
            <w:vAlign w:val="bottom"/>
            <w:tcBorders>
              <w:bottom w:val="single" w:sz="8" w:color="BCBEC0"/>
            </w:tcBorders>
          </w:tcPr>
          <w:p>
            <w:pPr>
              <w:spacing w:after="0"/>
              <w:rPr>
                <w:sz w:val="3"/>
                <w:szCs w:val="3"/>
                <w:color w:val="auto"/>
              </w:rPr>
            </w:pPr>
          </w:p>
        </w:tc>
        <w:tc>
          <w:tcPr>
            <w:tcW w:w="3040" w:type="dxa"/>
            <w:vAlign w:val="bottom"/>
            <w:tcBorders>
              <w:bottom w:val="single" w:sz="8" w:color="BCBEC0"/>
            </w:tcBorders>
          </w:tcPr>
          <w:p>
            <w:pPr>
              <w:spacing w:after="0"/>
              <w:rPr>
                <w:sz w:val="3"/>
                <w:szCs w:val="3"/>
                <w:color w:val="auto"/>
              </w:rPr>
            </w:pPr>
          </w:p>
        </w:tc>
        <w:tc>
          <w:tcPr>
            <w:tcW w:w="1140" w:type="dxa"/>
            <w:vAlign w:val="bottom"/>
            <w:tcBorders>
              <w:bottom w:val="single" w:sz="8" w:color="BCBEC0"/>
            </w:tcBorders>
          </w:tcPr>
          <w:p>
            <w:pPr>
              <w:spacing w:after="0"/>
              <w:rPr>
                <w:sz w:val="3"/>
                <w:szCs w:val="3"/>
                <w:color w:val="auto"/>
              </w:rPr>
            </w:pPr>
          </w:p>
        </w:tc>
        <w:tc>
          <w:tcPr>
            <w:tcW w:w="840" w:type="dxa"/>
            <w:vAlign w:val="bottom"/>
            <w:tcBorders>
              <w:bottom w:val="single" w:sz="8" w:color="BCBEC0"/>
            </w:tcBorders>
          </w:tcPr>
          <w:p>
            <w:pPr>
              <w:spacing w:after="0"/>
              <w:rPr>
                <w:sz w:val="3"/>
                <w:szCs w:val="3"/>
                <w:color w:val="auto"/>
              </w:rPr>
            </w:pPr>
          </w:p>
        </w:tc>
        <w:tc>
          <w:tcPr>
            <w:tcW w:w="920" w:type="dxa"/>
            <w:vAlign w:val="bottom"/>
            <w:tcBorders>
              <w:bottom w:val="single" w:sz="8" w:color="BCBEC0"/>
            </w:tcBorders>
          </w:tcPr>
          <w:p>
            <w:pPr>
              <w:spacing w:after="0"/>
              <w:rPr>
                <w:sz w:val="3"/>
                <w:szCs w:val="3"/>
                <w:color w:val="auto"/>
              </w:rPr>
            </w:pPr>
          </w:p>
        </w:tc>
        <w:tc>
          <w:tcPr>
            <w:tcW w:w="920" w:type="dxa"/>
            <w:vAlign w:val="bottom"/>
            <w:tcBorders>
              <w:bottom w:val="single" w:sz="8" w:color="BCBEC0"/>
            </w:tcBorders>
          </w:tcPr>
          <w:p>
            <w:pPr>
              <w:spacing w:after="0"/>
              <w:rPr>
                <w:sz w:val="3"/>
                <w:szCs w:val="3"/>
                <w:color w:val="auto"/>
              </w:rPr>
            </w:pPr>
          </w:p>
        </w:tc>
        <w:tc>
          <w:tcPr>
            <w:tcW w:w="500" w:type="dxa"/>
            <w:vAlign w:val="bottom"/>
            <w:tcBorders>
              <w:bottom w:val="single" w:sz="8" w:color="BCBEC0"/>
            </w:tcBorders>
          </w:tcPr>
          <w:p>
            <w:pPr>
              <w:spacing w:after="0"/>
              <w:rPr>
                <w:sz w:val="3"/>
                <w:szCs w:val="3"/>
                <w:color w:val="auto"/>
              </w:rPr>
            </w:pPr>
          </w:p>
        </w:tc>
        <w:tc>
          <w:tcPr>
            <w:tcW w:w="0" w:type="dxa"/>
            <w:vAlign w:val="bottom"/>
          </w:tcPr>
          <w:p>
            <w:pPr>
              <w:spacing w:after="0"/>
              <w:rPr>
                <w:sz w:val="1"/>
                <w:szCs w:val="1"/>
                <w:color w:val="auto"/>
              </w:rPr>
            </w:pPr>
          </w:p>
        </w:tc>
      </w:tr>
      <w:tr>
        <w:trPr>
          <w:trHeight w:val="200"/>
        </w:trPr>
        <w:tc>
          <w:tcPr>
            <w:tcW w:w="3880" w:type="dxa"/>
            <w:vAlign w:val="bottom"/>
          </w:tcPr>
          <w:p>
            <w:pPr>
              <w:ind w:left="20"/>
              <w:spacing w:after="0"/>
              <w:rPr>
                <w:sz w:val="20"/>
                <w:szCs w:val="20"/>
                <w:color w:val="auto"/>
              </w:rPr>
            </w:pPr>
            <w:r>
              <w:rPr>
                <w:rFonts w:ascii="Arial" w:cs="Arial" w:eastAsia="Arial" w:hAnsi="Arial"/>
                <w:sz w:val="16"/>
                <w:szCs w:val="16"/>
                <w:b w:val="1"/>
                <w:bCs w:val="1"/>
                <w:color w:val="0C3471"/>
              </w:rPr>
              <w:t>Gregory E. Knight</w:t>
            </w:r>
            <w:r>
              <w:rPr>
                <w:rFonts w:ascii="Arial" w:cs="Arial" w:eastAsia="Arial" w:hAnsi="Arial"/>
                <w:sz w:val="14"/>
                <w:szCs w:val="14"/>
                <w:color w:val="000000"/>
              </w:rPr>
              <w:t xml:space="preserve"> </w:t>
            </w:r>
            <w:r>
              <w:rPr>
                <w:rFonts w:ascii="Arial" w:cs="Arial" w:eastAsia="Arial" w:hAnsi="Arial"/>
                <w:sz w:val="16"/>
                <w:szCs w:val="16"/>
                <w:b w:val="1"/>
                <w:bCs w:val="1"/>
                <w:color w:val="0C3471"/>
              </w:rPr>
              <w:t xml:space="preserve"> </w:t>
            </w:r>
            <w:r>
              <w:rPr>
                <w:rFonts w:ascii="Arial" w:cs="Arial" w:eastAsia="Arial" w:hAnsi="Arial"/>
                <w:sz w:val="14"/>
                <w:szCs w:val="14"/>
                <w:color w:val="0C3471"/>
              </w:rPr>
              <w:t>IND</w:t>
            </w:r>
          </w:p>
        </w:tc>
        <w:tc>
          <w:tcPr>
            <w:tcW w:w="3040" w:type="dxa"/>
            <w:vAlign w:val="bottom"/>
          </w:tcPr>
          <w:p>
            <w:pPr>
              <w:spacing w:after="0"/>
              <w:rPr>
                <w:sz w:val="17"/>
                <w:szCs w:val="17"/>
                <w:color w:val="auto"/>
              </w:rPr>
            </w:pPr>
          </w:p>
        </w:tc>
        <w:tc>
          <w:tcPr>
            <w:tcW w:w="1980" w:type="dxa"/>
            <w:vAlign w:val="bottom"/>
            <w:gridSpan w:val="2"/>
            <w:vMerge w:val="restart"/>
          </w:tcPr>
          <w:p>
            <w:pPr>
              <w:jc w:val="right"/>
              <w:ind w:right="440"/>
              <w:spacing w:after="0"/>
              <w:rPr>
                <w:sz w:val="20"/>
                <w:szCs w:val="20"/>
                <w:color w:val="auto"/>
              </w:rPr>
            </w:pPr>
            <w:r>
              <w:rPr>
                <w:rFonts w:ascii="Arial" w:cs="Arial" w:eastAsia="Arial" w:hAnsi="Arial"/>
                <w:sz w:val="14"/>
                <w:szCs w:val="14"/>
                <w:color w:val="auto"/>
              </w:rPr>
              <w:t>58</w:t>
            </w:r>
          </w:p>
        </w:tc>
        <w:tc>
          <w:tcPr>
            <w:tcW w:w="920" w:type="dxa"/>
            <w:vAlign w:val="bottom"/>
            <w:vMerge w:val="restart"/>
          </w:tcPr>
          <w:p>
            <w:pPr>
              <w:jc w:val="right"/>
              <w:ind w:right="508"/>
              <w:spacing w:after="0"/>
              <w:rPr>
                <w:sz w:val="20"/>
                <w:szCs w:val="20"/>
                <w:color w:val="auto"/>
              </w:rPr>
            </w:pPr>
            <w:r>
              <w:rPr>
                <w:rFonts w:ascii="Arial" w:cs="Arial" w:eastAsia="Arial" w:hAnsi="Arial"/>
                <w:sz w:val="14"/>
                <w:szCs w:val="14"/>
                <w:color w:val="auto"/>
              </w:rPr>
              <w:t>2021</w:t>
            </w:r>
          </w:p>
        </w:tc>
        <w:tc>
          <w:tcPr>
            <w:tcW w:w="9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6"/>
        </w:trPr>
        <w:tc>
          <w:tcPr>
            <w:tcW w:w="6920" w:type="dxa"/>
            <w:vAlign w:val="bottom"/>
            <w:gridSpan w:val="2"/>
            <w:vMerge w:val="restart"/>
          </w:tcPr>
          <w:p>
            <w:pPr>
              <w:ind w:left="20"/>
              <w:spacing w:after="0"/>
              <w:rPr>
                <w:sz w:val="20"/>
                <w:szCs w:val="20"/>
                <w:color w:val="auto"/>
              </w:rPr>
            </w:pPr>
            <w:r>
              <w:rPr>
                <w:rFonts w:ascii="Arial" w:cs="Arial" w:eastAsia="Arial" w:hAnsi="Arial"/>
                <w:sz w:val="14"/>
                <w:szCs w:val="14"/>
                <w:color w:val="auto"/>
              </w:rPr>
              <w:t>Senior Advisor, Digital Transformation, Boston Consulting Group, Inc.</w:t>
            </w:r>
          </w:p>
        </w:tc>
        <w:tc>
          <w:tcPr>
            <w:tcW w:w="1980" w:type="dxa"/>
            <w:vAlign w:val="bottom"/>
            <w:gridSpan w:val="2"/>
            <w:vMerge w:val="continue"/>
          </w:tcPr>
          <w:p>
            <w:pPr>
              <w:spacing w:after="0"/>
              <w:rPr>
                <w:sz w:val="8"/>
                <w:szCs w:val="8"/>
                <w:color w:val="auto"/>
              </w:rPr>
            </w:pPr>
          </w:p>
        </w:tc>
        <w:tc>
          <w:tcPr>
            <w:tcW w:w="920" w:type="dxa"/>
            <w:vAlign w:val="bottom"/>
            <w:vMerge w:val="continue"/>
          </w:tcPr>
          <w:p>
            <w:pPr>
              <w:spacing w:after="0"/>
              <w:rPr>
                <w:sz w:val="8"/>
                <w:szCs w:val="8"/>
                <w:color w:val="auto"/>
              </w:rPr>
            </w:pPr>
          </w:p>
        </w:tc>
        <w:tc>
          <w:tcPr>
            <w:tcW w:w="92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6920" w:type="dxa"/>
            <w:vAlign w:val="bottom"/>
            <w:gridSpan w:val="2"/>
            <w:vMerge w:val="continue"/>
          </w:tcPr>
          <w:p>
            <w:pPr>
              <w:spacing w:after="0"/>
              <w:rPr>
                <w:sz w:val="8"/>
                <w:szCs w:val="8"/>
                <w:color w:val="auto"/>
              </w:rPr>
            </w:pPr>
          </w:p>
        </w:tc>
        <w:tc>
          <w:tcPr>
            <w:tcW w:w="1140" w:type="dxa"/>
            <w:vAlign w:val="bottom"/>
          </w:tcPr>
          <w:p>
            <w:pPr>
              <w:spacing w:after="0"/>
              <w:rPr>
                <w:sz w:val="8"/>
                <w:szCs w:val="8"/>
                <w:color w:val="auto"/>
              </w:rPr>
            </w:pPr>
          </w:p>
        </w:tc>
        <w:tc>
          <w:tcPr>
            <w:tcW w:w="840" w:type="dxa"/>
            <w:vAlign w:val="bottom"/>
          </w:tcPr>
          <w:p>
            <w:pPr>
              <w:spacing w:after="0"/>
              <w:rPr>
                <w:sz w:val="8"/>
                <w:szCs w:val="8"/>
                <w:color w:val="auto"/>
              </w:rPr>
            </w:pPr>
          </w:p>
        </w:tc>
        <w:tc>
          <w:tcPr>
            <w:tcW w:w="920" w:type="dxa"/>
            <w:vAlign w:val="bottom"/>
          </w:tcPr>
          <w:p>
            <w:pPr>
              <w:spacing w:after="0"/>
              <w:rPr>
                <w:sz w:val="8"/>
                <w:szCs w:val="8"/>
                <w:color w:val="auto"/>
              </w:rPr>
            </w:pPr>
          </w:p>
        </w:tc>
        <w:tc>
          <w:tcPr>
            <w:tcW w:w="92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5"/>
        </w:trPr>
        <w:tc>
          <w:tcPr>
            <w:tcW w:w="3880" w:type="dxa"/>
            <w:vAlign w:val="bottom"/>
            <w:tcBorders>
              <w:bottom w:val="single" w:sz="8" w:color="BCBEC0"/>
            </w:tcBorders>
          </w:tcPr>
          <w:p>
            <w:pPr>
              <w:spacing w:after="0"/>
              <w:rPr>
                <w:sz w:val="3"/>
                <w:szCs w:val="3"/>
                <w:color w:val="auto"/>
              </w:rPr>
            </w:pPr>
          </w:p>
        </w:tc>
        <w:tc>
          <w:tcPr>
            <w:tcW w:w="3040" w:type="dxa"/>
            <w:vAlign w:val="bottom"/>
            <w:tcBorders>
              <w:bottom w:val="single" w:sz="8" w:color="BCBEC0"/>
            </w:tcBorders>
          </w:tcPr>
          <w:p>
            <w:pPr>
              <w:spacing w:after="0"/>
              <w:rPr>
                <w:sz w:val="3"/>
                <w:szCs w:val="3"/>
                <w:color w:val="auto"/>
              </w:rPr>
            </w:pPr>
          </w:p>
        </w:tc>
        <w:tc>
          <w:tcPr>
            <w:tcW w:w="1140" w:type="dxa"/>
            <w:vAlign w:val="bottom"/>
            <w:tcBorders>
              <w:bottom w:val="single" w:sz="8" w:color="BCBEC0"/>
            </w:tcBorders>
          </w:tcPr>
          <w:p>
            <w:pPr>
              <w:spacing w:after="0"/>
              <w:rPr>
                <w:sz w:val="3"/>
                <w:szCs w:val="3"/>
                <w:color w:val="auto"/>
              </w:rPr>
            </w:pPr>
          </w:p>
        </w:tc>
        <w:tc>
          <w:tcPr>
            <w:tcW w:w="840" w:type="dxa"/>
            <w:vAlign w:val="bottom"/>
            <w:tcBorders>
              <w:bottom w:val="single" w:sz="8" w:color="BCBEC0"/>
            </w:tcBorders>
          </w:tcPr>
          <w:p>
            <w:pPr>
              <w:spacing w:after="0"/>
              <w:rPr>
                <w:sz w:val="3"/>
                <w:szCs w:val="3"/>
                <w:color w:val="auto"/>
              </w:rPr>
            </w:pPr>
          </w:p>
        </w:tc>
        <w:tc>
          <w:tcPr>
            <w:tcW w:w="920" w:type="dxa"/>
            <w:vAlign w:val="bottom"/>
            <w:tcBorders>
              <w:bottom w:val="single" w:sz="8" w:color="BCBEC0"/>
            </w:tcBorders>
          </w:tcPr>
          <w:p>
            <w:pPr>
              <w:spacing w:after="0"/>
              <w:rPr>
                <w:sz w:val="3"/>
                <w:szCs w:val="3"/>
                <w:color w:val="auto"/>
              </w:rPr>
            </w:pPr>
          </w:p>
        </w:tc>
        <w:tc>
          <w:tcPr>
            <w:tcW w:w="920" w:type="dxa"/>
            <w:vAlign w:val="bottom"/>
            <w:tcBorders>
              <w:bottom w:val="single" w:sz="8" w:color="BCBEC0"/>
            </w:tcBorders>
          </w:tcPr>
          <w:p>
            <w:pPr>
              <w:spacing w:after="0"/>
              <w:rPr>
                <w:sz w:val="3"/>
                <w:szCs w:val="3"/>
                <w:color w:val="auto"/>
              </w:rPr>
            </w:pPr>
          </w:p>
        </w:tc>
        <w:tc>
          <w:tcPr>
            <w:tcW w:w="500" w:type="dxa"/>
            <w:vAlign w:val="bottom"/>
            <w:tcBorders>
              <w:bottom w:val="single" w:sz="8" w:color="BCBEC0"/>
            </w:tcBorders>
          </w:tcPr>
          <w:p>
            <w:pPr>
              <w:spacing w:after="0"/>
              <w:rPr>
                <w:sz w:val="3"/>
                <w:szCs w:val="3"/>
                <w:color w:val="auto"/>
              </w:rPr>
            </w:pPr>
          </w:p>
        </w:tc>
        <w:tc>
          <w:tcPr>
            <w:tcW w:w="0" w:type="dxa"/>
            <w:vAlign w:val="bottom"/>
          </w:tcPr>
          <w:p>
            <w:pPr>
              <w:spacing w:after="0"/>
              <w:rPr>
                <w:sz w:val="1"/>
                <w:szCs w:val="1"/>
                <w:color w:val="auto"/>
              </w:rPr>
            </w:pPr>
          </w:p>
        </w:tc>
      </w:tr>
      <w:tr>
        <w:trPr>
          <w:trHeight w:val="200"/>
        </w:trPr>
        <w:tc>
          <w:tcPr>
            <w:tcW w:w="3880" w:type="dxa"/>
            <w:vAlign w:val="bottom"/>
          </w:tcPr>
          <w:p>
            <w:pPr>
              <w:ind w:left="20"/>
              <w:spacing w:after="0"/>
              <w:rPr>
                <w:sz w:val="20"/>
                <w:szCs w:val="20"/>
                <w:color w:val="auto"/>
              </w:rPr>
            </w:pPr>
            <w:r>
              <w:rPr>
                <w:rFonts w:ascii="Arial" w:cs="Arial" w:eastAsia="Arial" w:hAnsi="Arial"/>
                <w:sz w:val="16"/>
                <w:szCs w:val="16"/>
                <w:b w:val="1"/>
                <w:bCs w:val="1"/>
                <w:color w:val="0C3471"/>
              </w:rPr>
              <w:t>Michael T. Speetzen</w:t>
            </w:r>
            <w:r>
              <w:rPr>
                <w:rFonts w:ascii="Arial" w:cs="Arial" w:eastAsia="Arial" w:hAnsi="Arial"/>
                <w:sz w:val="14"/>
                <w:szCs w:val="14"/>
                <w:color w:val="000000"/>
              </w:rPr>
              <w:t xml:space="preserve"> </w:t>
            </w:r>
            <w:r>
              <w:rPr>
                <w:rFonts w:ascii="Arial" w:cs="Arial" w:eastAsia="Arial" w:hAnsi="Arial"/>
                <w:sz w:val="16"/>
                <w:szCs w:val="16"/>
                <w:b w:val="1"/>
                <w:bCs w:val="1"/>
                <w:color w:val="0C3471"/>
              </w:rPr>
              <w:t xml:space="preserve"> </w:t>
            </w:r>
            <w:r>
              <w:rPr>
                <w:rFonts w:ascii="Arial" w:cs="Arial" w:eastAsia="Arial" w:hAnsi="Arial"/>
                <w:sz w:val="14"/>
                <w:szCs w:val="14"/>
                <w:color w:val="0C3471"/>
              </w:rPr>
              <w:t>IND</w:t>
            </w:r>
          </w:p>
        </w:tc>
        <w:tc>
          <w:tcPr>
            <w:tcW w:w="3040" w:type="dxa"/>
            <w:vAlign w:val="bottom"/>
          </w:tcPr>
          <w:p>
            <w:pPr>
              <w:spacing w:after="0"/>
              <w:rPr>
                <w:sz w:val="17"/>
                <w:szCs w:val="17"/>
                <w:color w:val="auto"/>
              </w:rPr>
            </w:pPr>
          </w:p>
        </w:tc>
        <w:tc>
          <w:tcPr>
            <w:tcW w:w="1980" w:type="dxa"/>
            <w:vAlign w:val="bottom"/>
            <w:gridSpan w:val="2"/>
            <w:vMerge w:val="restart"/>
          </w:tcPr>
          <w:p>
            <w:pPr>
              <w:jc w:val="right"/>
              <w:ind w:right="440"/>
              <w:spacing w:after="0"/>
              <w:rPr>
                <w:sz w:val="20"/>
                <w:szCs w:val="20"/>
                <w:color w:val="auto"/>
              </w:rPr>
            </w:pPr>
            <w:r>
              <w:rPr>
                <w:rFonts w:ascii="Arial" w:cs="Arial" w:eastAsia="Arial" w:hAnsi="Arial"/>
                <w:sz w:val="14"/>
                <w:szCs w:val="14"/>
                <w:color w:val="auto"/>
              </w:rPr>
              <w:t>56</w:t>
            </w:r>
          </w:p>
        </w:tc>
        <w:tc>
          <w:tcPr>
            <w:tcW w:w="920" w:type="dxa"/>
            <w:vAlign w:val="bottom"/>
            <w:vMerge w:val="restart"/>
          </w:tcPr>
          <w:p>
            <w:pPr>
              <w:jc w:val="right"/>
              <w:ind w:right="508"/>
              <w:spacing w:after="0"/>
              <w:rPr>
                <w:sz w:val="20"/>
                <w:szCs w:val="20"/>
                <w:color w:val="auto"/>
              </w:rPr>
            </w:pPr>
            <w:r>
              <w:rPr>
                <w:rFonts w:ascii="Arial" w:cs="Arial" w:eastAsia="Arial" w:hAnsi="Arial"/>
                <w:sz w:val="14"/>
                <w:szCs w:val="14"/>
                <w:color w:val="auto"/>
              </w:rPr>
              <w:t>2018</w:t>
            </w:r>
          </w:p>
        </w:tc>
        <w:tc>
          <w:tcPr>
            <w:tcW w:w="9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6"/>
        </w:trPr>
        <w:tc>
          <w:tcPr>
            <w:tcW w:w="3880" w:type="dxa"/>
            <w:vAlign w:val="bottom"/>
            <w:vMerge w:val="restart"/>
          </w:tcPr>
          <w:p>
            <w:pPr>
              <w:ind w:left="20"/>
              <w:spacing w:after="0"/>
              <w:rPr>
                <w:sz w:val="20"/>
                <w:szCs w:val="20"/>
                <w:color w:val="auto"/>
              </w:rPr>
            </w:pPr>
            <w:r>
              <w:rPr>
                <w:rFonts w:ascii="Arial" w:cs="Arial" w:eastAsia="Arial" w:hAnsi="Arial"/>
                <w:sz w:val="14"/>
                <w:szCs w:val="14"/>
                <w:color w:val="auto"/>
              </w:rPr>
              <w:t>Chief Executive Officer, Polaris Inc.</w:t>
            </w:r>
          </w:p>
        </w:tc>
        <w:tc>
          <w:tcPr>
            <w:tcW w:w="3040" w:type="dxa"/>
            <w:vAlign w:val="bottom"/>
          </w:tcPr>
          <w:p>
            <w:pPr>
              <w:spacing w:after="0"/>
              <w:rPr>
                <w:sz w:val="8"/>
                <w:szCs w:val="8"/>
                <w:color w:val="auto"/>
              </w:rPr>
            </w:pPr>
          </w:p>
        </w:tc>
        <w:tc>
          <w:tcPr>
            <w:tcW w:w="1980" w:type="dxa"/>
            <w:vAlign w:val="bottom"/>
            <w:gridSpan w:val="2"/>
            <w:vMerge w:val="continue"/>
          </w:tcPr>
          <w:p>
            <w:pPr>
              <w:spacing w:after="0"/>
              <w:rPr>
                <w:sz w:val="8"/>
                <w:szCs w:val="8"/>
                <w:color w:val="auto"/>
              </w:rPr>
            </w:pPr>
          </w:p>
        </w:tc>
        <w:tc>
          <w:tcPr>
            <w:tcW w:w="920" w:type="dxa"/>
            <w:vAlign w:val="bottom"/>
            <w:vMerge w:val="continue"/>
          </w:tcPr>
          <w:p>
            <w:pPr>
              <w:spacing w:after="0"/>
              <w:rPr>
                <w:sz w:val="8"/>
                <w:szCs w:val="8"/>
                <w:color w:val="auto"/>
              </w:rPr>
            </w:pPr>
          </w:p>
        </w:tc>
        <w:tc>
          <w:tcPr>
            <w:tcW w:w="92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3880" w:type="dxa"/>
            <w:vAlign w:val="bottom"/>
            <w:vMerge w:val="continue"/>
          </w:tcPr>
          <w:p>
            <w:pPr>
              <w:spacing w:after="0"/>
              <w:rPr>
                <w:sz w:val="8"/>
                <w:szCs w:val="8"/>
                <w:color w:val="auto"/>
              </w:rPr>
            </w:pPr>
          </w:p>
        </w:tc>
        <w:tc>
          <w:tcPr>
            <w:tcW w:w="3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40" w:type="dxa"/>
            <w:vAlign w:val="bottom"/>
          </w:tcPr>
          <w:p>
            <w:pPr>
              <w:spacing w:after="0"/>
              <w:rPr>
                <w:sz w:val="8"/>
                <w:szCs w:val="8"/>
                <w:color w:val="auto"/>
              </w:rPr>
            </w:pPr>
          </w:p>
        </w:tc>
        <w:tc>
          <w:tcPr>
            <w:tcW w:w="920" w:type="dxa"/>
            <w:vAlign w:val="bottom"/>
          </w:tcPr>
          <w:p>
            <w:pPr>
              <w:spacing w:after="0"/>
              <w:rPr>
                <w:sz w:val="8"/>
                <w:szCs w:val="8"/>
                <w:color w:val="auto"/>
              </w:rPr>
            </w:pPr>
          </w:p>
        </w:tc>
        <w:tc>
          <w:tcPr>
            <w:tcW w:w="92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5"/>
        </w:trPr>
        <w:tc>
          <w:tcPr>
            <w:tcW w:w="3880" w:type="dxa"/>
            <w:vAlign w:val="bottom"/>
            <w:tcBorders>
              <w:bottom w:val="single" w:sz="8" w:color="BCBEC0"/>
            </w:tcBorders>
          </w:tcPr>
          <w:p>
            <w:pPr>
              <w:spacing w:after="0"/>
              <w:rPr>
                <w:sz w:val="3"/>
                <w:szCs w:val="3"/>
                <w:color w:val="auto"/>
              </w:rPr>
            </w:pPr>
          </w:p>
        </w:tc>
        <w:tc>
          <w:tcPr>
            <w:tcW w:w="3040" w:type="dxa"/>
            <w:vAlign w:val="bottom"/>
            <w:tcBorders>
              <w:bottom w:val="single" w:sz="8" w:color="BCBEC0"/>
            </w:tcBorders>
          </w:tcPr>
          <w:p>
            <w:pPr>
              <w:spacing w:after="0"/>
              <w:rPr>
                <w:sz w:val="3"/>
                <w:szCs w:val="3"/>
                <w:color w:val="auto"/>
              </w:rPr>
            </w:pPr>
          </w:p>
        </w:tc>
        <w:tc>
          <w:tcPr>
            <w:tcW w:w="1140" w:type="dxa"/>
            <w:vAlign w:val="bottom"/>
            <w:tcBorders>
              <w:bottom w:val="single" w:sz="8" w:color="BCBEC0"/>
            </w:tcBorders>
          </w:tcPr>
          <w:p>
            <w:pPr>
              <w:spacing w:after="0"/>
              <w:rPr>
                <w:sz w:val="3"/>
                <w:szCs w:val="3"/>
                <w:color w:val="auto"/>
              </w:rPr>
            </w:pPr>
          </w:p>
        </w:tc>
        <w:tc>
          <w:tcPr>
            <w:tcW w:w="840" w:type="dxa"/>
            <w:vAlign w:val="bottom"/>
            <w:tcBorders>
              <w:bottom w:val="single" w:sz="8" w:color="BCBEC0"/>
            </w:tcBorders>
          </w:tcPr>
          <w:p>
            <w:pPr>
              <w:spacing w:after="0"/>
              <w:rPr>
                <w:sz w:val="3"/>
                <w:szCs w:val="3"/>
                <w:color w:val="auto"/>
              </w:rPr>
            </w:pPr>
          </w:p>
        </w:tc>
        <w:tc>
          <w:tcPr>
            <w:tcW w:w="920" w:type="dxa"/>
            <w:vAlign w:val="bottom"/>
            <w:tcBorders>
              <w:bottom w:val="single" w:sz="8" w:color="BCBEC0"/>
            </w:tcBorders>
          </w:tcPr>
          <w:p>
            <w:pPr>
              <w:spacing w:after="0"/>
              <w:rPr>
                <w:sz w:val="3"/>
                <w:szCs w:val="3"/>
                <w:color w:val="auto"/>
              </w:rPr>
            </w:pPr>
          </w:p>
        </w:tc>
        <w:tc>
          <w:tcPr>
            <w:tcW w:w="920" w:type="dxa"/>
            <w:vAlign w:val="bottom"/>
            <w:tcBorders>
              <w:bottom w:val="single" w:sz="8" w:color="BCBEC0"/>
            </w:tcBorders>
          </w:tcPr>
          <w:p>
            <w:pPr>
              <w:spacing w:after="0"/>
              <w:rPr>
                <w:sz w:val="3"/>
                <w:szCs w:val="3"/>
                <w:color w:val="auto"/>
              </w:rPr>
            </w:pPr>
          </w:p>
        </w:tc>
        <w:tc>
          <w:tcPr>
            <w:tcW w:w="500" w:type="dxa"/>
            <w:vAlign w:val="bottom"/>
            <w:tcBorders>
              <w:bottom w:val="single" w:sz="8" w:color="BCBEC0"/>
            </w:tcBorders>
          </w:tcPr>
          <w:p>
            <w:pPr>
              <w:spacing w:after="0"/>
              <w:rPr>
                <w:sz w:val="3"/>
                <w:szCs w:val="3"/>
                <w:color w:val="auto"/>
              </w:rPr>
            </w:pPr>
          </w:p>
        </w:tc>
        <w:tc>
          <w:tcPr>
            <w:tcW w:w="0" w:type="dxa"/>
            <w:vAlign w:val="bottom"/>
          </w:tcPr>
          <w:p>
            <w:pPr>
              <w:spacing w:after="0"/>
              <w:rPr>
                <w:sz w:val="1"/>
                <w:szCs w:val="1"/>
                <w:color w:val="auto"/>
              </w:rPr>
            </w:pPr>
          </w:p>
        </w:tc>
      </w:tr>
      <w:tr>
        <w:trPr>
          <w:trHeight w:val="214"/>
        </w:trPr>
        <w:tc>
          <w:tcPr>
            <w:tcW w:w="3880" w:type="dxa"/>
            <w:vAlign w:val="bottom"/>
          </w:tcPr>
          <w:p>
            <w:pPr>
              <w:ind w:left="20"/>
              <w:spacing w:after="0"/>
              <w:rPr>
                <w:sz w:val="20"/>
                <w:szCs w:val="20"/>
                <w:color w:val="auto"/>
              </w:rPr>
            </w:pPr>
            <w:r>
              <w:rPr>
                <w:rFonts w:ascii="Arial" w:cs="Arial" w:eastAsia="Arial" w:hAnsi="Arial"/>
                <w:sz w:val="16"/>
                <w:szCs w:val="16"/>
                <w:b w:val="1"/>
                <w:bCs w:val="1"/>
                <w:color w:val="0C3471"/>
              </w:rPr>
              <w:t>John L. Stauch</w:t>
            </w:r>
          </w:p>
        </w:tc>
        <w:tc>
          <w:tcPr>
            <w:tcW w:w="3040" w:type="dxa"/>
            <w:vAlign w:val="bottom"/>
          </w:tcPr>
          <w:p>
            <w:pPr>
              <w:spacing w:after="0"/>
              <w:rPr>
                <w:sz w:val="18"/>
                <w:szCs w:val="18"/>
                <w:color w:val="auto"/>
              </w:rPr>
            </w:pPr>
          </w:p>
        </w:tc>
        <w:tc>
          <w:tcPr>
            <w:tcW w:w="1980" w:type="dxa"/>
            <w:vAlign w:val="bottom"/>
            <w:gridSpan w:val="2"/>
            <w:vMerge w:val="restart"/>
          </w:tcPr>
          <w:p>
            <w:pPr>
              <w:jc w:val="right"/>
              <w:ind w:right="440"/>
              <w:spacing w:after="0"/>
              <w:rPr>
                <w:sz w:val="20"/>
                <w:szCs w:val="20"/>
                <w:color w:val="auto"/>
              </w:rPr>
            </w:pPr>
            <w:r>
              <w:rPr>
                <w:rFonts w:ascii="Arial" w:cs="Arial" w:eastAsia="Arial" w:hAnsi="Arial"/>
                <w:sz w:val="14"/>
                <w:szCs w:val="14"/>
                <w:color w:val="auto"/>
              </w:rPr>
              <w:t>61</w:t>
            </w:r>
          </w:p>
        </w:tc>
        <w:tc>
          <w:tcPr>
            <w:tcW w:w="920" w:type="dxa"/>
            <w:vAlign w:val="bottom"/>
            <w:vMerge w:val="restart"/>
          </w:tcPr>
          <w:p>
            <w:pPr>
              <w:jc w:val="right"/>
              <w:ind w:right="508"/>
              <w:spacing w:after="0"/>
              <w:rPr>
                <w:sz w:val="20"/>
                <w:szCs w:val="20"/>
                <w:color w:val="auto"/>
              </w:rPr>
            </w:pPr>
            <w:r>
              <w:rPr>
                <w:rFonts w:ascii="Arial" w:cs="Arial" w:eastAsia="Arial" w:hAnsi="Arial"/>
                <w:sz w:val="14"/>
                <w:szCs w:val="14"/>
                <w:color w:val="auto"/>
              </w:rPr>
              <w:t>2018</w:t>
            </w:r>
          </w:p>
        </w:tc>
        <w:tc>
          <w:tcPr>
            <w:tcW w:w="9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6"/>
        </w:trPr>
        <w:tc>
          <w:tcPr>
            <w:tcW w:w="3880" w:type="dxa"/>
            <w:vAlign w:val="bottom"/>
            <w:vMerge w:val="restart"/>
          </w:tcPr>
          <w:p>
            <w:pPr>
              <w:ind w:left="20"/>
              <w:spacing w:after="0"/>
              <w:rPr>
                <w:sz w:val="20"/>
                <w:szCs w:val="20"/>
                <w:color w:val="auto"/>
              </w:rPr>
            </w:pPr>
            <w:r>
              <w:rPr>
                <w:rFonts w:ascii="Arial" w:cs="Arial" w:eastAsia="Arial" w:hAnsi="Arial"/>
                <w:sz w:val="14"/>
                <w:szCs w:val="14"/>
                <w:color w:val="auto"/>
              </w:rPr>
              <w:t>President and Chief Executive Officer, Pentair plc</w:t>
            </w:r>
          </w:p>
        </w:tc>
        <w:tc>
          <w:tcPr>
            <w:tcW w:w="3040" w:type="dxa"/>
            <w:vAlign w:val="bottom"/>
          </w:tcPr>
          <w:p>
            <w:pPr>
              <w:spacing w:after="0"/>
              <w:rPr>
                <w:sz w:val="8"/>
                <w:szCs w:val="8"/>
                <w:color w:val="auto"/>
              </w:rPr>
            </w:pPr>
          </w:p>
        </w:tc>
        <w:tc>
          <w:tcPr>
            <w:tcW w:w="1980" w:type="dxa"/>
            <w:vAlign w:val="bottom"/>
            <w:gridSpan w:val="2"/>
            <w:vMerge w:val="continue"/>
          </w:tcPr>
          <w:p>
            <w:pPr>
              <w:spacing w:after="0"/>
              <w:rPr>
                <w:sz w:val="8"/>
                <w:szCs w:val="8"/>
                <w:color w:val="auto"/>
              </w:rPr>
            </w:pPr>
          </w:p>
        </w:tc>
        <w:tc>
          <w:tcPr>
            <w:tcW w:w="920" w:type="dxa"/>
            <w:vAlign w:val="bottom"/>
            <w:vMerge w:val="continue"/>
          </w:tcPr>
          <w:p>
            <w:pPr>
              <w:spacing w:after="0"/>
              <w:rPr>
                <w:sz w:val="8"/>
                <w:szCs w:val="8"/>
                <w:color w:val="auto"/>
              </w:rPr>
            </w:pPr>
          </w:p>
        </w:tc>
        <w:tc>
          <w:tcPr>
            <w:tcW w:w="92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3880" w:type="dxa"/>
            <w:vAlign w:val="bottom"/>
            <w:vMerge w:val="continue"/>
          </w:tcPr>
          <w:p>
            <w:pPr>
              <w:spacing w:after="0"/>
              <w:rPr>
                <w:sz w:val="8"/>
                <w:szCs w:val="8"/>
                <w:color w:val="auto"/>
              </w:rPr>
            </w:pPr>
          </w:p>
        </w:tc>
        <w:tc>
          <w:tcPr>
            <w:tcW w:w="3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40" w:type="dxa"/>
            <w:vAlign w:val="bottom"/>
          </w:tcPr>
          <w:p>
            <w:pPr>
              <w:spacing w:after="0"/>
              <w:rPr>
                <w:sz w:val="8"/>
                <w:szCs w:val="8"/>
                <w:color w:val="auto"/>
              </w:rPr>
            </w:pPr>
          </w:p>
        </w:tc>
        <w:tc>
          <w:tcPr>
            <w:tcW w:w="920" w:type="dxa"/>
            <w:vAlign w:val="bottom"/>
          </w:tcPr>
          <w:p>
            <w:pPr>
              <w:spacing w:after="0"/>
              <w:rPr>
                <w:sz w:val="8"/>
                <w:szCs w:val="8"/>
                <w:color w:val="auto"/>
              </w:rPr>
            </w:pPr>
          </w:p>
        </w:tc>
        <w:tc>
          <w:tcPr>
            <w:tcW w:w="92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5"/>
        </w:trPr>
        <w:tc>
          <w:tcPr>
            <w:tcW w:w="3880" w:type="dxa"/>
            <w:vAlign w:val="bottom"/>
            <w:tcBorders>
              <w:bottom w:val="single" w:sz="8" w:color="BCBEC0"/>
            </w:tcBorders>
          </w:tcPr>
          <w:p>
            <w:pPr>
              <w:spacing w:after="0"/>
              <w:rPr>
                <w:sz w:val="3"/>
                <w:szCs w:val="3"/>
                <w:color w:val="auto"/>
              </w:rPr>
            </w:pPr>
          </w:p>
        </w:tc>
        <w:tc>
          <w:tcPr>
            <w:tcW w:w="3040" w:type="dxa"/>
            <w:vAlign w:val="bottom"/>
            <w:tcBorders>
              <w:bottom w:val="single" w:sz="8" w:color="BCBEC0"/>
            </w:tcBorders>
          </w:tcPr>
          <w:p>
            <w:pPr>
              <w:spacing w:after="0"/>
              <w:rPr>
                <w:sz w:val="3"/>
                <w:szCs w:val="3"/>
                <w:color w:val="auto"/>
              </w:rPr>
            </w:pPr>
          </w:p>
        </w:tc>
        <w:tc>
          <w:tcPr>
            <w:tcW w:w="1140" w:type="dxa"/>
            <w:vAlign w:val="bottom"/>
            <w:tcBorders>
              <w:bottom w:val="single" w:sz="8" w:color="BCBEC0"/>
            </w:tcBorders>
          </w:tcPr>
          <w:p>
            <w:pPr>
              <w:spacing w:after="0"/>
              <w:rPr>
                <w:sz w:val="3"/>
                <w:szCs w:val="3"/>
                <w:color w:val="auto"/>
              </w:rPr>
            </w:pPr>
          </w:p>
        </w:tc>
        <w:tc>
          <w:tcPr>
            <w:tcW w:w="840" w:type="dxa"/>
            <w:vAlign w:val="bottom"/>
            <w:tcBorders>
              <w:bottom w:val="single" w:sz="8" w:color="BCBEC0"/>
            </w:tcBorders>
          </w:tcPr>
          <w:p>
            <w:pPr>
              <w:spacing w:after="0"/>
              <w:rPr>
                <w:sz w:val="3"/>
                <w:szCs w:val="3"/>
                <w:color w:val="auto"/>
              </w:rPr>
            </w:pPr>
          </w:p>
        </w:tc>
        <w:tc>
          <w:tcPr>
            <w:tcW w:w="920" w:type="dxa"/>
            <w:vAlign w:val="bottom"/>
            <w:tcBorders>
              <w:bottom w:val="single" w:sz="8" w:color="BCBEC0"/>
            </w:tcBorders>
          </w:tcPr>
          <w:p>
            <w:pPr>
              <w:spacing w:after="0"/>
              <w:rPr>
                <w:sz w:val="3"/>
                <w:szCs w:val="3"/>
                <w:color w:val="auto"/>
              </w:rPr>
            </w:pPr>
          </w:p>
        </w:tc>
        <w:tc>
          <w:tcPr>
            <w:tcW w:w="920" w:type="dxa"/>
            <w:vAlign w:val="bottom"/>
            <w:tcBorders>
              <w:bottom w:val="single" w:sz="8" w:color="BCBEC0"/>
            </w:tcBorders>
          </w:tcPr>
          <w:p>
            <w:pPr>
              <w:spacing w:after="0"/>
              <w:rPr>
                <w:sz w:val="3"/>
                <w:szCs w:val="3"/>
                <w:color w:val="auto"/>
              </w:rPr>
            </w:pPr>
          </w:p>
        </w:tc>
        <w:tc>
          <w:tcPr>
            <w:tcW w:w="500" w:type="dxa"/>
            <w:vAlign w:val="bottom"/>
            <w:tcBorders>
              <w:bottom w:val="single" w:sz="8" w:color="BCBEC0"/>
            </w:tcBorders>
          </w:tcPr>
          <w:p>
            <w:pPr>
              <w:spacing w:after="0"/>
              <w:rPr>
                <w:sz w:val="3"/>
                <w:szCs w:val="3"/>
                <w:color w:val="auto"/>
              </w:rPr>
            </w:pPr>
          </w:p>
        </w:tc>
        <w:tc>
          <w:tcPr>
            <w:tcW w:w="0" w:type="dxa"/>
            <w:vAlign w:val="bottom"/>
          </w:tcPr>
          <w:p>
            <w:pPr>
              <w:spacing w:after="0"/>
              <w:rPr>
                <w:sz w:val="1"/>
                <w:szCs w:val="1"/>
                <w:color w:val="auto"/>
              </w:rPr>
            </w:pPr>
          </w:p>
        </w:tc>
      </w:tr>
      <w:tr>
        <w:trPr>
          <w:trHeight w:val="200"/>
        </w:trPr>
        <w:tc>
          <w:tcPr>
            <w:tcW w:w="3880" w:type="dxa"/>
            <w:vAlign w:val="bottom"/>
          </w:tcPr>
          <w:p>
            <w:pPr>
              <w:ind w:left="20"/>
              <w:spacing w:after="0"/>
              <w:rPr>
                <w:sz w:val="20"/>
                <w:szCs w:val="20"/>
                <w:color w:val="auto"/>
              </w:rPr>
            </w:pPr>
            <w:r>
              <w:rPr>
                <w:rFonts w:ascii="Arial" w:cs="Arial" w:eastAsia="Arial" w:hAnsi="Arial"/>
                <w:sz w:val="16"/>
                <w:szCs w:val="16"/>
                <w:b w:val="1"/>
                <w:bCs w:val="1"/>
                <w:color w:val="0C3471"/>
              </w:rPr>
              <w:t>Billie I. Williamson</w:t>
            </w:r>
            <w:r>
              <w:rPr>
                <w:rFonts w:ascii="Arial" w:cs="Arial" w:eastAsia="Arial" w:hAnsi="Arial"/>
                <w:sz w:val="14"/>
                <w:szCs w:val="14"/>
                <w:color w:val="000000"/>
              </w:rPr>
              <w:t xml:space="preserve"> </w:t>
            </w:r>
            <w:r>
              <w:rPr>
                <w:rFonts w:ascii="Arial" w:cs="Arial" w:eastAsia="Arial" w:hAnsi="Arial"/>
                <w:sz w:val="16"/>
                <w:szCs w:val="16"/>
                <w:b w:val="1"/>
                <w:bCs w:val="1"/>
                <w:color w:val="0C3471"/>
              </w:rPr>
              <w:t xml:space="preserve"> </w:t>
            </w:r>
            <w:r>
              <w:rPr>
                <w:rFonts w:ascii="Arial" w:cs="Arial" w:eastAsia="Arial" w:hAnsi="Arial"/>
                <w:sz w:val="14"/>
                <w:szCs w:val="14"/>
                <w:color w:val="0C3471"/>
              </w:rPr>
              <w:t>IND</w:t>
            </w:r>
          </w:p>
        </w:tc>
        <w:tc>
          <w:tcPr>
            <w:tcW w:w="3040" w:type="dxa"/>
            <w:vAlign w:val="bottom"/>
          </w:tcPr>
          <w:p>
            <w:pPr>
              <w:spacing w:after="0"/>
              <w:rPr>
                <w:sz w:val="17"/>
                <w:szCs w:val="17"/>
                <w:color w:val="auto"/>
              </w:rPr>
            </w:pPr>
          </w:p>
        </w:tc>
        <w:tc>
          <w:tcPr>
            <w:tcW w:w="1980" w:type="dxa"/>
            <w:vAlign w:val="bottom"/>
            <w:gridSpan w:val="2"/>
            <w:vMerge w:val="restart"/>
          </w:tcPr>
          <w:p>
            <w:pPr>
              <w:jc w:val="right"/>
              <w:ind w:right="440"/>
              <w:spacing w:after="0"/>
              <w:rPr>
                <w:sz w:val="20"/>
                <w:szCs w:val="20"/>
                <w:color w:val="auto"/>
              </w:rPr>
            </w:pPr>
            <w:r>
              <w:rPr>
                <w:rFonts w:ascii="Arial" w:cs="Arial" w:eastAsia="Arial" w:hAnsi="Arial"/>
                <w:sz w:val="14"/>
                <w:szCs w:val="14"/>
                <w:color w:val="auto"/>
              </w:rPr>
              <w:t>73</w:t>
            </w:r>
          </w:p>
        </w:tc>
        <w:tc>
          <w:tcPr>
            <w:tcW w:w="920" w:type="dxa"/>
            <w:vAlign w:val="bottom"/>
            <w:vMerge w:val="restart"/>
          </w:tcPr>
          <w:p>
            <w:pPr>
              <w:jc w:val="right"/>
              <w:ind w:right="508"/>
              <w:spacing w:after="0"/>
              <w:rPr>
                <w:sz w:val="20"/>
                <w:szCs w:val="20"/>
                <w:color w:val="auto"/>
              </w:rPr>
            </w:pPr>
            <w:r>
              <w:rPr>
                <w:rFonts w:ascii="Arial" w:cs="Arial" w:eastAsia="Arial" w:hAnsi="Arial"/>
                <w:sz w:val="14"/>
                <w:szCs w:val="14"/>
                <w:color w:val="auto"/>
              </w:rPr>
              <w:t>2014</w:t>
            </w:r>
          </w:p>
        </w:tc>
        <w:tc>
          <w:tcPr>
            <w:tcW w:w="9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6"/>
        </w:trPr>
        <w:tc>
          <w:tcPr>
            <w:tcW w:w="3880" w:type="dxa"/>
            <w:vAlign w:val="bottom"/>
            <w:vMerge w:val="restart"/>
          </w:tcPr>
          <w:p>
            <w:pPr>
              <w:ind w:left="20"/>
              <w:spacing w:after="0"/>
              <w:rPr>
                <w:sz w:val="20"/>
                <w:szCs w:val="20"/>
                <w:color w:val="auto"/>
              </w:rPr>
            </w:pPr>
            <w:r>
              <w:rPr>
                <w:rFonts w:ascii="Arial" w:cs="Arial" w:eastAsia="Arial" w:hAnsi="Arial"/>
                <w:sz w:val="14"/>
                <w:szCs w:val="14"/>
                <w:color w:val="auto"/>
              </w:rPr>
              <w:t>Retired Senior Assurance Partner, Ernst &amp; Young LLP</w:t>
            </w:r>
          </w:p>
        </w:tc>
        <w:tc>
          <w:tcPr>
            <w:tcW w:w="3040" w:type="dxa"/>
            <w:vAlign w:val="bottom"/>
          </w:tcPr>
          <w:p>
            <w:pPr>
              <w:spacing w:after="0"/>
              <w:rPr>
                <w:sz w:val="8"/>
                <w:szCs w:val="8"/>
                <w:color w:val="auto"/>
              </w:rPr>
            </w:pPr>
          </w:p>
        </w:tc>
        <w:tc>
          <w:tcPr>
            <w:tcW w:w="1980" w:type="dxa"/>
            <w:vAlign w:val="bottom"/>
            <w:gridSpan w:val="2"/>
            <w:vMerge w:val="continue"/>
          </w:tcPr>
          <w:p>
            <w:pPr>
              <w:spacing w:after="0"/>
              <w:rPr>
                <w:sz w:val="8"/>
                <w:szCs w:val="8"/>
                <w:color w:val="auto"/>
              </w:rPr>
            </w:pPr>
          </w:p>
        </w:tc>
        <w:tc>
          <w:tcPr>
            <w:tcW w:w="920" w:type="dxa"/>
            <w:vAlign w:val="bottom"/>
            <w:vMerge w:val="continue"/>
          </w:tcPr>
          <w:p>
            <w:pPr>
              <w:spacing w:after="0"/>
              <w:rPr>
                <w:sz w:val="8"/>
                <w:szCs w:val="8"/>
                <w:color w:val="auto"/>
              </w:rPr>
            </w:pPr>
          </w:p>
        </w:tc>
        <w:tc>
          <w:tcPr>
            <w:tcW w:w="92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3880" w:type="dxa"/>
            <w:vAlign w:val="bottom"/>
            <w:vMerge w:val="continue"/>
          </w:tcPr>
          <w:p>
            <w:pPr>
              <w:spacing w:after="0"/>
              <w:rPr>
                <w:sz w:val="8"/>
                <w:szCs w:val="8"/>
                <w:color w:val="auto"/>
              </w:rPr>
            </w:pPr>
          </w:p>
        </w:tc>
        <w:tc>
          <w:tcPr>
            <w:tcW w:w="3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40" w:type="dxa"/>
            <w:vAlign w:val="bottom"/>
          </w:tcPr>
          <w:p>
            <w:pPr>
              <w:spacing w:after="0"/>
              <w:rPr>
                <w:sz w:val="8"/>
                <w:szCs w:val="8"/>
                <w:color w:val="auto"/>
              </w:rPr>
            </w:pPr>
          </w:p>
        </w:tc>
        <w:tc>
          <w:tcPr>
            <w:tcW w:w="920" w:type="dxa"/>
            <w:vAlign w:val="bottom"/>
          </w:tcPr>
          <w:p>
            <w:pPr>
              <w:spacing w:after="0"/>
              <w:rPr>
                <w:sz w:val="8"/>
                <w:szCs w:val="8"/>
                <w:color w:val="auto"/>
              </w:rPr>
            </w:pPr>
          </w:p>
        </w:tc>
        <w:tc>
          <w:tcPr>
            <w:tcW w:w="92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5"/>
        </w:trPr>
        <w:tc>
          <w:tcPr>
            <w:tcW w:w="3880" w:type="dxa"/>
            <w:vAlign w:val="bottom"/>
            <w:tcBorders>
              <w:bottom w:val="single" w:sz="8" w:color="170D67"/>
            </w:tcBorders>
          </w:tcPr>
          <w:p>
            <w:pPr>
              <w:spacing w:after="0"/>
              <w:rPr>
                <w:sz w:val="3"/>
                <w:szCs w:val="3"/>
                <w:color w:val="auto"/>
              </w:rPr>
            </w:pPr>
          </w:p>
        </w:tc>
        <w:tc>
          <w:tcPr>
            <w:tcW w:w="3040" w:type="dxa"/>
            <w:vAlign w:val="bottom"/>
            <w:tcBorders>
              <w:bottom w:val="single" w:sz="8" w:color="170D67"/>
            </w:tcBorders>
          </w:tcPr>
          <w:p>
            <w:pPr>
              <w:spacing w:after="0"/>
              <w:rPr>
                <w:sz w:val="3"/>
                <w:szCs w:val="3"/>
                <w:color w:val="auto"/>
              </w:rPr>
            </w:pPr>
          </w:p>
        </w:tc>
        <w:tc>
          <w:tcPr>
            <w:tcW w:w="1140" w:type="dxa"/>
            <w:vAlign w:val="bottom"/>
            <w:tcBorders>
              <w:bottom w:val="single" w:sz="8" w:color="170D67"/>
            </w:tcBorders>
          </w:tcPr>
          <w:p>
            <w:pPr>
              <w:spacing w:after="0"/>
              <w:rPr>
                <w:sz w:val="3"/>
                <w:szCs w:val="3"/>
                <w:color w:val="auto"/>
              </w:rPr>
            </w:pPr>
          </w:p>
        </w:tc>
        <w:tc>
          <w:tcPr>
            <w:tcW w:w="840" w:type="dxa"/>
            <w:vAlign w:val="bottom"/>
            <w:tcBorders>
              <w:bottom w:val="single" w:sz="8" w:color="0C3471"/>
            </w:tcBorders>
          </w:tcPr>
          <w:p>
            <w:pPr>
              <w:spacing w:after="0"/>
              <w:rPr>
                <w:sz w:val="3"/>
                <w:szCs w:val="3"/>
                <w:color w:val="auto"/>
              </w:rPr>
            </w:pPr>
          </w:p>
        </w:tc>
        <w:tc>
          <w:tcPr>
            <w:tcW w:w="920" w:type="dxa"/>
            <w:vAlign w:val="bottom"/>
            <w:tcBorders>
              <w:bottom w:val="single" w:sz="8" w:color="0C3471"/>
            </w:tcBorders>
          </w:tcPr>
          <w:p>
            <w:pPr>
              <w:spacing w:after="0"/>
              <w:rPr>
                <w:sz w:val="3"/>
                <w:szCs w:val="3"/>
                <w:color w:val="auto"/>
              </w:rPr>
            </w:pPr>
          </w:p>
        </w:tc>
        <w:tc>
          <w:tcPr>
            <w:tcW w:w="920" w:type="dxa"/>
            <w:vAlign w:val="bottom"/>
            <w:tcBorders>
              <w:bottom w:val="single" w:sz="8" w:color="0C3471"/>
            </w:tcBorders>
          </w:tcPr>
          <w:p>
            <w:pPr>
              <w:spacing w:after="0"/>
              <w:rPr>
                <w:sz w:val="3"/>
                <w:szCs w:val="3"/>
                <w:color w:val="auto"/>
              </w:rPr>
            </w:pPr>
          </w:p>
        </w:tc>
        <w:tc>
          <w:tcPr>
            <w:tcW w:w="500" w:type="dxa"/>
            <w:vAlign w:val="bottom"/>
            <w:tcBorders>
              <w:bottom w:val="single" w:sz="8" w:color="0C3471"/>
            </w:tcBorders>
          </w:tcPr>
          <w:p>
            <w:pPr>
              <w:spacing w:after="0"/>
              <w:rPr>
                <w:sz w:val="3"/>
                <w:szCs w:val="3"/>
                <w:color w:val="auto"/>
              </w:rPr>
            </w:pPr>
          </w:p>
        </w:tc>
        <w:tc>
          <w:tcPr>
            <w:tcW w:w="0" w:type="dxa"/>
            <w:vAlign w:val="bottom"/>
          </w:tcPr>
          <w:p>
            <w:pPr>
              <w:spacing w:after="0"/>
              <w:rPr>
                <w:sz w:val="1"/>
                <w:szCs w:val="1"/>
                <w:color w:val="auto"/>
              </w:rPr>
            </w:pPr>
          </w:p>
        </w:tc>
      </w:tr>
      <w:tr>
        <w:trPr>
          <w:trHeight w:val="349"/>
        </w:trPr>
        <w:tc>
          <w:tcPr>
            <w:tcW w:w="3880" w:type="dxa"/>
            <w:vAlign w:val="bottom"/>
          </w:tcPr>
          <w:p>
            <w:pPr>
              <w:ind w:left="20"/>
              <w:spacing w:after="0"/>
              <w:rPr>
                <w:sz w:val="20"/>
                <w:szCs w:val="20"/>
                <w:color w:val="auto"/>
              </w:rPr>
            </w:pPr>
            <w:r>
              <w:rPr>
                <w:rFonts w:ascii="Arial" w:cs="Arial" w:eastAsia="Arial" w:hAnsi="Arial"/>
                <w:sz w:val="14"/>
                <w:szCs w:val="14"/>
                <w:color w:val="auto"/>
              </w:rPr>
              <w:t>AFC – Audit and Finance Committee</w:t>
            </w:r>
          </w:p>
        </w:tc>
        <w:tc>
          <w:tcPr>
            <w:tcW w:w="3040" w:type="dxa"/>
            <w:vAlign w:val="bottom"/>
          </w:tcPr>
          <w:p>
            <w:pPr>
              <w:ind w:left="80"/>
              <w:spacing w:after="0"/>
              <w:rPr>
                <w:sz w:val="20"/>
                <w:szCs w:val="20"/>
                <w:color w:val="auto"/>
              </w:rPr>
            </w:pPr>
            <w:r>
              <w:rPr>
                <w:rFonts w:ascii="Arial" w:cs="Arial" w:eastAsia="Arial" w:hAnsi="Arial"/>
                <w:sz w:val="14"/>
                <w:szCs w:val="14"/>
                <w:color w:val="auto"/>
              </w:rPr>
              <w:t>GC – Governance Committee</w:t>
            </w:r>
          </w:p>
        </w:tc>
        <w:tc>
          <w:tcPr>
            <w:tcW w:w="1980" w:type="dxa"/>
            <w:vAlign w:val="bottom"/>
            <w:gridSpan w:val="2"/>
          </w:tcPr>
          <w:p>
            <w:pPr>
              <w:ind w:left="560"/>
              <w:spacing w:after="0"/>
              <w:rPr>
                <w:sz w:val="20"/>
                <w:szCs w:val="20"/>
                <w:color w:val="auto"/>
              </w:rPr>
            </w:pPr>
            <w:r>
              <w:rPr>
                <w:rFonts w:ascii="Arial" w:cs="Arial" w:eastAsia="Arial" w:hAnsi="Arial"/>
                <w:sz w:val="14"/>
                <w:szCs w:val="14"/>
                <w:color w:val="auto"/>
              </w:rPr>
              <w:t>– Committee Member</w:t>
            </w:r>
          </w:p>
        </w:tc>
        <w:tc>
          <w:tcPr>
            <w:tcW w:w="9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3880" w:type="dxa"/>
            <w:vAlign w:val="bottom"/>
          </w:tcPr>
          <w:p>
            <w:pPr>
              <w:ind w:left="20"/>
              <w:spacing w:after="0"/>
              <w:rPr>
                <w:sz w:val="20"/>
                <w:szCs w:val="20"/>
                <w:color w:val="auto"/>
              </w:rPr>
            </w:pPr>
            <w:r>
              <w:rPr>
                <w:rFonts w:ascii="Arial" w:cs="Arial" w:eastAsia="Arial" w:hAnsi="Arial"/>
                <w:sz w:val="14"/>
                <w:szCs w:val="14"/>
                <w:color w:val="auto"/>
              </w:rPr>
              <w:t>CC – Compensation Committee</w:t>
            </w:r>
          </w:p>
        </w:tc>
        <w:tc>
          <w:tcPr>
            <w:tcW w:w="3040" w:type="dxa"/>
            <w:vAlign w:val="bottom"/>
          </w:tcPr>
          <w:p>
            <w:pPr>
              <w:ind w:left="80"/>
              <w:spacing w:after="0"/>
              <w:rPr>
                <w:sz w:val="20"/>
                <w:szCs w:val="20"/>
                <w:color w:val="auto"/>
              </w:rPr>
            </w:pPr>
            <w:r>
              <w:rPr>
                <w:rFonts w:ascii="Arial" w:cs="Arial" w:eastAsia="Arial" w:hAnsi="Arial"/>
                <w:sz w:val="14"/>
                <w:szCs w:val="14"/>
                <w:color w:val="0C3471"/>
              </w:rPr>
              <w:t xml:space="preserve">IND </w:t>
            </w:r>
            <w:r>
              <w:rPr>
                <w:rFonts w:ascii="Arial" w:cs="Arial" w:eastAsia="Arial" w:hAnsi="Arial"/>
                <w:sz w:val="14"/>
                <w:szCs w:val="14"/>
                <w:color w:val="000000"/>
              </w:rPr>
              <w:t>– Independent</w:t>
            </w:r>
          </w:p>
        </w:tc>
        <w:tc>
          <w:tcPr>
            <w:tcW w:w="1980" w:type="dxa"/>
            <w:vAlign w:val="bottom"/>
            <w:gridSpan w:val="2"/>
            <w:vMerge w:val="restart"/>
          </w:tcPr>
          <w:p>
            <w:pPr>
              <w:ind w:left="560"/>
              <w:spacing w:after="0"/>
              <w:rPr>
                <w:sz w:val="20"/>
                <w:szCs w:val="20"/>
                <w:color w:val="auto"/>
              </w:rPr>
            </w:pPr>
            <w:r>
              <w:rPr>
                <w:rFonts w:ascii="Arial" w:cs="Arial" w:eastAsia="Arial" w:hAnsi="Arial"/>
                <w:sz w:val="14"/>
                <w:szCs w:val="14"/>
                <w:color w:val="auto"/>
              </w:rPr>
              <w:t>– Committee Chair</w:t>
            </w:r>
          </w:p>
        </w:tc>
        <w:tc>
          <w:tcPr>
            <w:tcW w:w="9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3880" w:type="dxa"/>
            <w:vAlign w:val="bottom"/>
          </w:tcPr>
          <w:p>
            <w:pPr>
              <w:spacing w:after="0"/>
              <w:rPr>
                <w:sz w:val="5"/>
                <w:szCs w:val="5"/>
                <w:color w:val="auto"/>
              </w:rPr>
            </w:pPr>
          </w:p>
        </w:tc>
        <w:tc>
          <w:tcPr>
            <w:tcW w:w="3040" w:type="dxa"/>
            <w:vAlign w:val="bottom"/>
          </w:tcPr>
          <w:p>
            <w:pPr>
              <w:spacing w:after="0"/>
              <w:rPr>
                <w:sz w:val="5"/>
                <w:szCs w:val="5"/>
                <w:color w:val="auto"/>
              </w:rPr>
            </w:pPr>
          </w:p>
        </w:tc>
        <w:tc>
          <w:tcPr>
            <w:tcW w:w="19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920" w:type="dxa"/>
            <w:vAlign w:val="bottom"/>
          </w:tcPr>
          <w:p>
            <w:pPr>
              <w:spacing w:after="0"/>
              <w:rPr>
                <w:sz w:val="5"/>
                <w:szCs w:val="5"/>
                <w:color w:val="auto"/>
              </w:rPr>
            </w:pPr>
          </w:p>
        </w:tc>
        <w:tc>
          <w:tcPr>
            <w:tcW w:w="5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6528435</wp:posOffset>
            </wp:positionH>
            <wp:positionV relativeFrom="paragraph">
              <wp:posOffset>-2874645</wp:posOffset>
            </wp:positionV>
            <wp:extent cx="77470" cy="7747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7470" cy="77470"/>
                    </a:xfrm>
                    <a:prstGeom prst="rect">
                      <a:avLst/>
                    </a:prstGeom>
                    <a:noFill/>
                  </pic:spPr>
                </pic:pic>
              </a:graphicData>
            </a:graphic>
          </wp:anchor>
        </w:drawing>
        <w:drawing>
          <wp:anchor simplePos="0" relativeHeight="251657728" behindDoc="1" locked="0" layoutInCell="0" allowOverlap="1">
            <wp:simplePos x="0" y="0"/>
            <wp:positionH relativeFrom="column">
              <wp:posOffset>6897370</wp:posOffset>
            </wp:positionH>
            <wp:positionV relativeFrom="paragraph">
              <wp:posOffset>-2874645</wp:posOffset>
            </wp:positionV>
            <wp:extent cx="76835" cy="7747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6835" cy="77470"/>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-2600325</wp:posOffset>
            </wp:positionV>
            <wp:extent cx="76835" cy="768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6835" cy="7683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-2317750</wp:posOffset>
            </wp:positionV>
            <wp:extent cx="76835" cy="7747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6835" cy="77470"/>
                    </a:xfrm>
                    <a:prstGeom prst="rect">
                      <a:avLst/>
                    </a:prstGeom>
                    <a:noFill/>
                  </pic:spPr>
                </pic:pic>
              </a:graphicData>
            </a:graphic>
          </wp:anchor>
        </w:drawing>
        <w:drawing>
          <wp:anchor simplePos="0" relativeHeight="251657728" behindDoc="1" locked="0" layoutInCell="0" allowOverlap="1">
            <wp:simplePos x="0" y="0"/>
            <wp:positionH relativeFrom="column">
              <wp:posOffset>6537325</wp:posOffset>
            </wp:positionH>
            <wp:positionV relativeFrom="paragraph">
              <wp:posOffset>-2034540</wp:posOffset>
            </wp:positionV>
            <wp:extent cx="77470" cy="7747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7470" cy="77470"/>
                    </a:xfrm>
                    <a:prstGeom prst="rect">
                      <a:avLst/>
                    </a:prstGeom>
                    <a:noFill/>
                  </pic:spPr>
                </pic:pic>
              </a:graphicData>
            </a:graphic>
          </wp:anchor>
        </w:drawing>
        <w:drawing>
          <wp:anchor simplePos="0" relativeHeight="251657728" behindDoc="1" locked="0" layoutInCell="0" allowOverlap="1">
            <wp:simplePos x="0" y="0"/>
            <wp:positionH relativeFrom="column">
              <wp:posOffset>6905625</wp:posOffset>
            </wp:positionH>
            <wp:positionV relativeFrom="paragraph">
              <wp:posOffset>-2034540</wp:posOffset>
            </wp:positionV>
            <wp:extent cx="77470" cy="7747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7470" cy="77470"/>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-1751965</wp:posOffset>
            </wp:positionV>
            <wp:extent cx="77470" cy="7747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7470" cy="77470"/>
                    </a:xfrm>
                    <a:prstGeom prst="rect">
                      <a:avLst/>
                    </a:prstGeom>
                    <a:noFill/>
                  </pic:spPr>
                </pic:pic>
              </a:graphicData>
            </a:graphic>
          </wp:anchor>
        </w:drawing>
        <w:drawing>
          <wp:anchor simplePos="0" relativeHeight="251657728" behindDoc="1" locked="0" layoutInCell="0" allowOverlap="1">
            <wp:simplePos x="0" y="0"/>
            <wp:positionH relativeFrom="column">
              <wp:posOffset>6905625</wp:posOffset>
            </wp:positionH>
            <wp:positionV relativeFrom="paragraph">
              <wp:posOffset>-1751965</wp:posOffset>
            </wp:positionV>
            <wp:extent cx="77470" cy="7747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7470" cy="77470"/>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-1468755</wp:posOffset>
            </wp:positionV>
            <wp:extent cx="76835" cy="768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6835" cy="7683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-1186180</wp:posOffset>
            </wp:positionV>
            <wp:extent cx="76835" cy="768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6835" cy="76835"/>
                    </a:xfrm>
                    <a:prstGeom prst="rect">
                      <a:avLst/>
                    </a:prstGeom>
                    <a:noFill/>
                  </pic:spPr>
                </pic:pic>
              </a:graphicData>
            </a:graphic>
          </wp:anchor>
        </w:drawing>
        <w:drawing>
          <wp:anchor simplePos="0" relativeHeight="251657728" behindDoc="1" locked="0" layoutInCell="0" allowOverlap="1">
            <wp:simplePos x="0" y="0"/>
            <wp:positionH relativeFrom="column">
              <wp:posOffset>6537325</wp:posOffset>
            </wp:positionH>
            <wp:positionV relativeFrom="paragraph">
              <wp:posOffset>-611505</wp:posOffset>
            </wp:positionV>
            <wp:extent cx="77470" cy="7747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7470" cy="77470"/>
                    </a:xfrm>
                    <a:prstGeom prst="rect">
                      <a:avLst/>
                    </a:prstGeom>
                    <a:noFill/>
                  </pic:spPr>
                </pic:pic>
              </a:graphicData>
            </a:graphic>
          </wp:anchor>
        </w:drawing>
        <w:drawing>
          <wp:anchor simplePos="0" relativeHeight="251657728" behindDoc="1" locked="0" layoutInCell="0" allowOverlap="1">
            <wp:simplePos x="0" y="0"/>
            <wp:positionH relativeFrom="column">
              <wp:posOffset>6905625</wp:posOffset>
            </wp:positionH>
            <wp:positionV relativeFrom="paragraph">
              <wp:posOffset>-611505</wp:posOffset>
            </wp:positionV>
            <wp:extent cx="77470" cy="7747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7470" cy="7747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-277495</wp:posOffset>
            </wp:positionV>
            <wp:extent cx="77470" cy="768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7470" cy="7683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-131445</wp:posOffset>
            </wp:positionV>
            <wp:extent cx="77470" cy="768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7470" cy="76835"/>
                    </a:xfrm>
                    <a:prstGeom prst="rect">
                      <a:avLst/>
                    </a:prstGeom>
                    <a:noFill/>
                  </pic:spPr>
                </pic:pic>
              </a:graphicData>
            </a:graphic>
          </wp:anchor>
        </w:drawing>
      </w:r>
    </w:p>
    <w:p>
      <w:pPr>
        <w:spacing w:after="0" w:line="114" w:lineRule="exact"/>
        <w:rPr>
          <w:sz w:val="20"/>
          <w:szCs w:val="20"/>
          <w:color w:val="auto"/>
        </w:rPr>
      </w:pPr>
    </w:p>
    <w:p>
      <w:pPr>
        <w:ind w:left="220" w:hanging="212"/>
        <w:spacing w:after="0"/>
        <w:tabs>
          <w:tab w:leader="none" w:pos="220" w:val="left"/>
        </w:tabs>
        <w:numPr>
          <w:ilvl w:val="0"/>
          <w:numId w:val="11"/>
        </w:numPr>
        <w:rPr>
          <w:rFonts w:ascii="Arial" w:cs="Arial" w:eastAsia="Arial" w:hAnsi="Arial"/>
          <w:sz w:val="16"/>
          <w:szCs w:val="16"/>
          <w:color w:val="auto"/>
          <w:vertAlign w:val="superscript"/>
        </w:rPr>
      </w:pPr>
      <w:r>
        <w:rPr>
          <w:rFonts w:ascii="Arial" w:cs="Arial" w:eastAsia="Arial" w:hAnsi="Arial"/>
          <w:sz w:val="13"/>
          <w:szCs w:val="13"/>
          <w:color w:val="auto"/>
        </w:rPr>
        <w:t>As of the date of the filing of this Proxy Statement</w:t>
      </w:r>
    </w:p>
    <w:p>
      <w:pPr>
        <w:spacing w:after="0" w:line="56" w:lineRule="exact"/>
        <w:rPr>
          <w:rFonts w:ascii="Arial" w:cs="Arial" w:eastAsia="Arial" w:hAnsi="Arial"/>
          <w:sz w:val="16"/>
          <w:szCs w:val="16"/>
          <w:color w:val="auto"/>
          <w:vertAlign w:val="superscript"/>
        </w:rPr>
      </w:pPr>
    </w:p>
    <w:p>
      <w:pPr>
        <w:ind w:left="220" w:hanging="212"/>
        <w:spacing w:after="0" w:line="207" w:lineRule="auto"/>
        <w:tabs>
          <w:tab w:leader="none" w:pos="220" w:val="left"/>
        </w:tabs>
        <w:numPr>
          <w:ilvl w:val="0"/>
          <w:numId w:val="11"/>
        </w:numPr>
        <w:rPr>
          <w:rFonts w:ascii="Arial" w:cs="Arial" w:eastAsia="Arial" w:hAnsi="Arial"/>
          <w:sz w:val="16"/>
          <w:szCs w:val="16"/>
          <w:color w:val="auto"/>
          <w:vertAlign w:val="superscript"/>
        </w:rPr>
      </w:pPr>
      <w:r>
        <w:rPr>
          <w:rFonts w:ascii="Arial" w:cs="Arial" w:eastAsia="Arial" w:hAnsi="Arial"/>
          <w:sz w:val="13"/>
          <w:szCs w:val="13"/>
          <w:color w:val="auto"/>
        </w:rPr>
        <w:t>Upon completion of the Annual General Meeting, Ms. Abutaleb will join the Governance Committee and the Compensation Committee and leave the Audit and Finance Committee.</w:t>
      </w:r>
    </w:p>
    <w:p>
      <w:pPr>
        <w:spacing w:after="0" w:line="57" w:lineRule="exact"/>
        <w:rPr>
          <w:rFonts w:ascii="Arial" w:cs="Arial" w:eastAsia="Arial" w:hAnsi="Arial"/>
          <w:sz w:val="16"/>
          <w:szCs w:val="16"/>
          <w:color w:val="auto"/>
          <w:vertAlign w:val="superscript"/>
        </w:rPr>
      </w:pPr>
    </w:p>
    <w:p>
      <w:pPr>
        <w:ind w:left="220" w:hanging="212"/>
        <w:spacing w:after="0" w:line="225" w:lineRule="auto"/>
        <w:tabs>
          <w:tab w:leader="none" w:pos="220" w:val="left"/>
        </w:tabs>
        <w:numPr>
          <w:ilvl w:val="0"/>
          <w:numId w:val="11"/>
        </w:numPr>
        <w:rPr>
          <w:rFonts w:ascii="Arial" w:cs="Arial" w:eastAsia="Arial" w:hAnsi="Arial"/>
          <w:sz w:val="16"/>
          <w:szCs w:val="16"/>
          <w:color w:val="auto"/>
          <w:vertAlign w:val="superscript"/>
        </w:rPr>
      </w:pPr>
      <w:r>
        <w:rPr>
          <w:rFonts w:ascii="Arial" w:cs="Arial" w:eastAsia="Arial" w:hAnsi="Arial"/>
          <w:sz w:val="13"/>
          <w:szCs w:val="13"/>
          <w:color w:val="auto"/>
        </w:rPr>
        <w:t>Upon completion of the Annual General Meeting, Mr. Glenn will serve as Chair of the Board.</w:t>
      </w:r>
    </w:p>
    <w:p>
      <w:pPr>
        <w:spacing w:after="0" w:line="43" w:lineRule="exact"/>
        <w:rPr>
          <w:rFonts w:ascii="Arial" w:cs="Arial" w:eastAsia="Arial" w:hAnsi="Arial"/>
          <w:sz w:val="16"/>
          <w:szCs w:val="16"/>
          <w:color w:val="auto"/>
          <w:vertAlign w:val="superscript"/>
        </w:rPr>
      </w:pPr>
    </w:p>
    <w:p>
      <w:pPr>
        <w:ind w:left="200" w:hanging="192"/>
        <w:spacing w:after="0" w:line="225" w:lineRule="auto"/>
        <w:tabs>
          <w:tab w:leader="none" w:pos="200" w:val="left"/>
        </w:tabs>
        <w:numPr>
          <w:ilvl w:val="0"/>
          <w:numId w:val="11"/>
        </w:numPr>
        <w:rPr>
          <w:rFonts w:ascii="Arial" w:cs="Arial" w:eastAsia="Arial" w:hAnsi="Arial"/>
          <w:sz w:val="16"/>
          <w:szCs w:val="16"/>
          <w:color w:val="auto"/>
          <w:vertAlign w:val="superscript"/>
        </w:rPr>
      </w:pPr>
      <w:r>
        <w:rPr>
          <w:rFonts w:ascii="Arial" w:cs="Arial" w:eastAsia="Arial" w:hAnsi="Arial"/>
          <w:sz w:val="13"/>
          <w:szCs w:val="13"/>
          <w:color w:val="auto"/>
        </w:rPr>
        <w:t>Upon completion of the Annual General Meeting, Mr. Harris will become Chair of the Compensation Committee.</w:t>
      </w:r>
    </w:p>
    <w:p>
      <w:pPr>
        <w:spacing w:after="0" w:line="200" w:lineRule="exact"/>
        <w:rPr>
          <w:sz w:val="20"/>
          <w:szCs w:val="20"/>
          <w:color w:val="auto"/>
        </w:rPr>
      </w:pPr>
    </w:p>
    <w:p>
      <w:pPr>
        <w:spacing w:after="0" w:line="381" w:lineRule="exact"/>
        <w:rPr>
          <w:sz w:val="20"/>
          <w:szCs w:val="20"/>
          <w:color w:val="auto"/>
        </w:rPr>
      </w:pPr>
    </w:p>
    <w:p>
      <w:pPr>
        <w:ind w:left="600" w:hanging="574"/>
        <w:spacing w:after="0"/>
        <w:tabs>
          <w:tab w:leader="none" w:pos="600" w:val="left"/>
        </w:tabs>
        <w:numPr>
          <w:ilvl w:val="0"/>
          <w:numId w:val="12"/>
        </w:numPr>
        <w:rPr>
          <w:rFonts w:ascii="Arial" w:cs="Arial" w:eastAsia="Arial" w:hAnsi="Arial"/>
          <w:sz w:val="16"/>
          <w:szCs w:val="16"/>
          <w:b w:val="1"/>
          <w:bCs w:val="1"/>
          <w:color w:val="auto"/>
        </w:rPr>
      </w:pPr>
      <w:r>
        <w:rPr>
          <w:rFonts w:ascii="Arial" w:cs="Arial" w:eastAsia="Arial" w:hAnsi="Arial"/>
          <w:sz w:val="16"/>
          <w:szCs w:val="16"/>
          <w:color w:val="auto"/>
        </w:rPr>
        <w:t xml:space="preserve">Pentair </w:t>
      </w:r>
      <w:r>
        <w:rPr>
          <w:rFonts w:ascii="Arial" w:cs="Arial" w:eastAsia="Arial" w:hAnsi="Arial"/>
          <w:sz w:val="16"/>
          <w:szCs w:val="16"/>
          <w:b w:val="1"/>
          <w:bCs w:val="1"/>
          <w:color w:val="0C3471"/>
        </w:rPr>
        <w:t>|</w:t>
      </w:r>
      <w:r>
        <w:rPr>
          <w:rFonts w:ascii="Arial" w:cs="Arial" w:eastAsia="Arial" w:hAnsi="Arial"/>
          <w:sz w:val="16"/>
          <w:szCs w:val="16"/>
          <w:color w:val="auto"/>
        </w:rPr>
        <w:t xml:space="preserve"> </w:t>
      </w:r>
      <w:r>
        <w:rPr>
          <w:rFonts w:ascii="Arial" w:cs="Arial" w:eastAsia="Arial" w:hAnsi="Arial"/>
          <w:sz w:val="16"/>
          <w:szCs w:val="16"/>
          <w:b w:val="1"/>
          <w:bCs w:val="1"/>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213995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 w:name="page9"/>
    <w:bookmarkEnd w:id="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32"/>
          <w:szCs w:val="32"/>
          <w:color w:val="0C3471"/>
        </w:rPr>
        <w:t>Corporate Governance Strengths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84455</wp:posOffset>
            </wp:positionV>
            <wp:extent cx="76835" cy="6858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6835" cy="68580"/>
                    </a:xfrm>
                    <a:prstGeom prst="rect">
                      <a:avLst/>
                    </a:prstGeom>
                    <a:noFill/>
                  </pic:spPr>
                </pic:pic>
              </a:graphicData>
            </a:graphic>
          </wp:anchor>
        </w:drawing>
      </w:r>
    </w:p>
    <w:p>
      <w:pPr>
        <w:spacing w:after="0" w:line="139" w:lineRule="exact"/>
        <w:rPr>
          <w:sz w:val="20"/>
          <w:szCs w:val="20"/>
          <w:color w:val="auto"/>
        </w:rPr>
      </w:pPr>
    </w:p>
    <w:p>
      <w:pPr>
        <w:ind w:left="340" w:right="560" w:firstLine="24"/>
        <w:spacing w:after="0" w:line="327" w:lineRule="auto"/>
        <w:rPr>
          <w:sz w:val="20"/>
          <w:szCs w:val="20"/>
          <w:color w:val="auto"/>
        </w:rPr>
      </w:pPr>
      <w:r>
        <w:rPr>
          <w:rFonts w:ascii="Arial" w:cs="Arial" w:eastAsia="Arial" w:hAnsi="Arial"/>
          <w:sz w:val="13"/>
          <w:szCs w:val="13"/>
          <w:b w:val="1"/>
          <w:bCs w:val="1"/>
          <w:color w:val="auto"/>
        </w:rPr>
        <w:t xml:space="preserve">Independent Board Leadership, </w:t>
      </w:r>
      <w:r>
        <w:rPr>
          <w:rFonts w:ascii="Arial" w:cs="Arial" w:eastAsia="Arial" w:hAnsi="Arial"/>
          <w:sz w:val="13"/>
          <w:szCs w:val="13"/>
          <w:color w:val="auto"/>
        </w:rPr>
        <w:t>via an independent, non-executive Chair of</w:t>
      </w:r>
      <w:r>
        <w:rPr>
          <w:rFonts w:ascii="Arial" w:cs="Arial" w:eastAsia="Arial" w:hAnsi="Arial"/>
          <w:sz w:val="13"/>
          <w:szCs w:val="13"/>
          <w:b w:val="1"/>
          <w:bCs w:val="1"/>
          <w:color w:val="auto"/>
        </w:rPr>
        <w:t xml:space="preserve"> </w:t>
      </w:r>
      <w:r>
        <w:rPr>
          <w:rFonts w:ascii="Arial" w:cs="Arial" w:eastAsia="Arial" w:hAnsi="Arial"/>
          <w:sz w:val="13"/>
          <w:szCs w:val="13"/>
          <w:color w:val="auto"/>
        </w:rPr>
        <w:t>the Board and all independent directors on 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16510</wp:posOffset>
            </wp:positionV>
            <wp:extent cx="76835" cy="6858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6835" cy="68580"/>
                    </a:xfrm>
                    <a:prstGeom prst="rect">
                      <a:avLst/>
                    </a:prstGeom>
                    <a:noFill/>
                  </pic:spPr>
                </pic:pic>
              </a:graphicData>
            </a:graphic>
          </wp:anchor>
        </w:drawing>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3"/>
          <w:szCs w:val="13"/>
          <w:b w:val="1"/>
          <w:bCs w:val="1"/>
          <w:color w:val="auto"/>
        </w:rPr>
        <w:t>Annual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60325</wp:posOffset>
            </wp:positionV>
            <wp:extent cx="76835" cy="6858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6835" cy="68580"/>
                    </a:xfrm>
                    <a:prstGeom prst="rect">
                      <a:avLst/>
                    </a:prstGeom>
                    <a:noFill/>
                  </pic:spPr>
                </pic:pic>
              </a:graphicData>
            </a:graphic>
          </wp:anchor>
        </w:drawing>
      </w:r>
    </w:p>
    <w:p>
      <w:pPr>
        <w:spacing w:after="0" w:line="101" w:lineRule="exact"/>
        <w:rPr>
          <w:sz w:val="20"/>
          <w:szCs w:val="20"/>
          <w:color w:val="auto"/>
        </w:rPr>
      </w:pPr>
    </w:p>
    <w:p>
      <w:pPr>
        <w:ind w:left="340" w:right="360" w:firstLine="12"/>
        <w:spacing w:after="0" w:line="327" w:lineRule="auto"/>
        <w:rPr>
          <w:sz w:val="20"/>
          <w:szCs w:val="20"/>
          <w:color w:val="auto"/>
        </w:rPr>
      </w:pPr>
      <w:r>
        <w:rPr>
          <w:rFonts w:ascii="Arial" w:cs="Arial" w:eastAsia="Arial" w:hAnsi="Arial"/>
          <w:sz w:val="13"/>
          <w:szCs w:val="13"/>
          <w:b w:val="1"/>
          <w:bCs w:val="1"/>
          <w:color w:val="auto"/>
        </w:rPr>
        <w:t xml:space="preserve">Majority Voting, </w:t>
      </w:r>
      <w:r>
        <w:rPr>
          <w:rFonts w:ascii="Arial" w:cs="Arial" w:eastAsia="Arial" w:hAnsi="Arial"/>
          <w:sz w:val="13"/>
          <w:szCs w:val="13"/>
          <w:color w:val="auto"/>
        </w:rPr>
        <w:t>required for director elections, except in the case of a contested</w:t>
      </w:r>
      <w:r>
        <w:rPr>
          <w:rFonts w:ascii="Arial" w:cs="Arial" w:eastAsia="Arial" w:hAnsi="Arial"/>
          <w:sz w:val="13"/>
          <w:szCs w:val="13"/>
          <w:b w:val="1"/>
          <w:bCs w:val="1"/>
          <w:color w:val="auto"/>
        </w:rPr>
        <w:t xml:space="preserve"> </w:t>
      </w:r>
      <w:r>
        <w:rPr>
          <w:rFonts w:ascii="Arial" w:cs="Arial" w:eastAsia="Arial" w:hAnsi="Arial"/>
          <w:sz w:val="13"/>
          <w:szCs w:val="13"/>
          <w:color w:val="auto"/>
        </w:rPr>
        <w:t>election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7620</wp:posOffset>
            </wp:positionV>
            <wp:extent cx="76835" cy="6858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6835" cy="68580"/>
                    </a:xfrm>
                    <a:prstGeom prst="rect">
                      <a:avLst/>
                    </a:prstGeom>
                    <a:noFill/>
                  </pic:spPr>
                </pic:pic>
              </a:graphicData>
            </a:graphic>
          </wp:anchor>
        </w:drawing>
      </w:r>
    </w:p>
    <w:p>
      <w:pPr>
        <w:spacing w:after="0" w:line="18" w:lineRule="exact"/>
        <w:rPr>
          <w:sz w:val="20"/>
          <w:szCs w:val="20"/>
          <w:color w:val="auto"/>
        </w:rPr>
      </w:pPr>
    </w:p>
    <w:p>
      <w:pPr>
        <w:ind w:left="340" w:right="420" w:firstLine="12"/>
        <w:spacing w:after="0" w:line="327" w:lineRule="auto"/>
        <w:rPr>
          <w:sz w:val="20"/>
          <w:szCs w:val="20"/>
          <w:color w:val="auto"/>
        </w:rPr>
      </w:pPr>
      <w:r>
        <w:rPr>
          <w:rFonts w:ascii="Arial" w:cs="Arial" w:eastAsia="Arial" w:hAnsi="Arial"/>
          <w:sz w:val="13"/>
          <w:szCs w:val="13"/>
          <w:b w:val="1"/>
          <w:bCs w:val="1"/>
          <w:color w:val="auto"/>
        </w:rPr>
        <w:t xml:space="preserve">Proxy Access, </w:t>
      </w:r>
      <w:r>
        <w:rPr>
          <w:rFonts w:ascii="Arial" w:cs="Arial" w:eastAsia="Arial" w:hAnsi="Arial"/>
          <w:sz w:val="13"/>
          <w:szCs w:val="13"/>
          <w:color w:val="auto"/>
        </w:rPr>
        <w:t>available to shareholders who meet certain ownership, retention</w:t>
      </w:r>
      <w:r>
        <w:rPr>
          <w:rFonts w:ascii="Arial" w:cs="Arial" w:eastAsia="Arial" w:hAnsi="Arial"/>
          <w:sz w:val="13"/>
          <w:szCs w:val="13"/>
          <w:b w:val="1"/>
          <w:bCs w:val="1"/>
          <w:color w:val="auto"/>
        </w:rPr>
        <w:t xml:space="preserve"> </w:t>
      </w:r>
      <w:r>
        <w:rPr>
          <w:rFonts w:ascii="Arial" w:cs="Arial" w:eastAsia="Arial" w:hAnsi="Arial"/>
          <w:sz w:val="13"/>
          <w:szCs w:val="13"/>
          <w:color w:val="auto"/>
        </w:rPr>
        <w:t>and other requirements set forth in our Articles of Association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7620</wp:posOffset>
            </wp:positionV>
            <wp:extent cx="76835" cy="6858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6835" cy="68580"/>
                    </a:xfrm>
                    <a:prstGeom prst="rect">
                      <a:avLst/>
                    </a:prstGeom>
                    <a:noFill/>
                  </pic:spPr>
                </pic:pic>
              </a:graphicData>
            </a:graphic>
          </wp:anchor>
        </w:drawing>
      </w:r>
    </w:p>
    <w:p>
      <w:pPr>
        <w:spacing w:after="0" w:line="18" w:lineRule="exact"/>
        <w:rPr>
          <w:sz w:val="20"/>
          <w:szCs w:val="20"/>
          <w:color w:val="auto"/>
        </w:rPr>
      </w:pPr>
    </w:p>
    <w:p>
      <w:pPr>
        <w:ind w:left="340" w:right="440" w:firstLine="12"/>
        <w:spacing w:after="0" w:line="327" w:lineRule="auto"/>
        <w:rPr>
          <w:sz w:val="20"/>
          <w:szCs w:val="20"/>
          <w:color w:val="auto"/>
        </w:rPr>
      </w:pPr>
      <w:r>
        <w:rPr>
          <w:rFonts w:ascii="Arial" w:cs="Arial" w:eastAsia="Arial" w:hAnsi="Arial"/>
          <w:sz w:val="13"/>
          <w:szCs w:val="13"/>
          <w:b w:val="1"/>
          <w:bCs w:val="1"/>
          <w:color w:val="auto"/>
        </w:rPr>
        <w:t xml:space="preserve">Share Ownership Guidelines, </w:t>
      </w:r>
      <w:r>
        <w:rPr>
          <w:rFonts w:ascii="Arial" w:cs="Arial" w:eastAsia="Arial" w:hAnsi="Arial"/>
          <w:sz w:val="13"/>
          <w:szCs w:val="13"/>
          <w:color w:val="auto"/>
        </w:rPr>
        <w:t>meaningful minimum share ownership levels for</w:t>
      </w:r>
      <w:r>
        <w:rPr>
          <w:rFonts w:ascii="Arial" w:cs="Arial" w:eastAsia="Arial" w:hAnsi="Arial"/>
          <w:sz w:val="13"/>
          <w:szCs w:val="13"/>
          <w:b w:val="1"/>
          <w:bCs w:val="1"/>
          <w:color w:val="auto"/>
        </w:rPr>
        <w:t xml:space="preserve"> </w:t>
      </w:r>
      <w:r>
        <w:rPr>
          <w:rFonts w:ascii="Arial" w:cs="Arial" w:eastAsia="Arial" w:hAnsi="Arial"/>
          <w:sz w:val="13"/>
          <w:szCs w:val="13"/>
          <w:color w:val="auto"/>
        </w:rPr>
        <w:t>directors and executive officers with a transition period for new appointments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71323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right"/>
        <w:ind w:right="20"/>
        <w:spacing w:after="0"/>
        <w:rPr>
          <w:sz w:val="20"/>
          <w:szCs w:val="20"/>
          <w:color w:val="auto"/>
        </w:rPr>
      </w:pPr>
      <w:r>
        <w:rPr>
          <w:rFonts w:ascii="Arial" w:cs="Arial" w:eastAsia="Arial" w:hAnsi="Arial"/>
          <w:sz w:val="16"/>
          <w:szCs w:val="16"/>
          <w:b w:val="1"/>
          <w:bCs w:val="1"/>
          <w:color w:val="auto"/>
        </w:rPr>
        <w:t>Proxy Statement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1404620</wp:posOffset>
            </wp:positionH>
            <wp:positionV relativeFrom="paragraph">
              <wp:posOffset>-124460</wp:posOffset>
            </wp:positionV>
            <wp:extent cx="102870" cy="11176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02870" cy="111760"/>
                    </a:xfrm>
                    <a:prstGeom prst="rect">
                      <a:avLst/>
                    </a:prstGeom>
                    <a:noFill/>
                  </pic:spPr>
                </pic:pic>
              </a:graphicData>
            </a:graphic>
          </wp:anchor>
        </w:drawing>
        <w:drawing>
          <wp:anchor simplePos="0" relativeHeight="251657728" behindDoc="1" locked="0" layoutInCell="0" allowOverlap="1">
            <wp:simplePos x="0" y="0"/>
            <wp:positionH relativeFrom="column">
              <wp:posOffset>-172085</wp:posOffset>
            </wp:positionH>
            <wp:positionV relativeFrom="paragraph">
              <wp:posOffset>843915</wp:posOffset>
            </wp:positionV>
            <wp:extent cx="77470" cy="6858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7470" cy="68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Company Strategy, </w:t>
      </w:r>
      <w:r>
        <w:rPr>
          <w:rFonts w:ascii="Arial" w:cs="Arial" w:eastAsia="Arial" w:hAnsi="Arial"/>
          <w:sz w:val="13"/>
          <w:szCs w:val="13"/>
          <w:color w:val="auto"/>
        </w:rPr>
        <w:t>reviewed and monitored throughout the year by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68580</wp:posOffset>
            </wp:positionV>
            <wp:extent cx="77470" cy="6858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7470" cy="68580"/>
                    </a:xfrm>
                    <a:prstGeom prst="rect">
                      <a:avLst/>
                    </a:prstGeom>
                    <a:noFill/>
                  </pic:spPr>
                </pic:pic>
              </a:graphicData>
            </a:graphic>
          </wp:anchor>
        </w:drawing>
      </w:r>
    </w:p>
    <w:p>
      <w:pPr>
        <w:spacing w:after="0" w:line="114"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 xml:space="preserve">Board and Committee Self-Assessments, </w:t>
      </w:r>
      <w:r>
        <w:rPr>
          <w:rFonts w:ascii="Arial" w:cs="Arial" w:eastAsia="Arial" w:hAnsi="Arial"/>
          <w:sz w:val="13"/>
          <w:szCs w:val="13"/>
          <w:color w:val="auto"/>
        </w:rPr>
        <w:t>conducted annually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60325</wp:posOffset>
            </wp:positionV>
            <wp:extent cx="77470" cy="6858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7470" cy="68580"/>
                    </a:xfrm>
                    <a:prstGeom prst="rect">
                      <a:avLst/>
                    </a:prstGeom>
                    <a:noFill/>
                  </pic:spPr>
                </pic:pic>
              </a:graphicData>
            </a:graphic>
          </wp:anchor>
        </w:drawing>
      </w:r>
    </w:p>
    <w:p>
      <w:pPr>
        <w:spacing w:after="0" w:line="10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Related Person Transactions Policy, </w:t>
      </w:r>
      <w:r>
        <w:rPr>
          <w:rFonts w:ascii="Arial" w:cs="Arial" w:eastAsia="Arial" w:hAnsi="Arial"/>
          <w:sz w:val="13"/>
          <w:szCs w:val="13"/>
          <w:color w:val="auto"/>
        </w:rPr>
        <w:t>designed to avoid conflicts of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68580</wp:posOffset>
            </wp:positionV>
            <wp:extent cx="77470" cy="6858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7470" cy="68580"/>
                    </a:xfrm>
                    <a:prstGeom prst="rect">
                      <a:avLst/>
                    </a:prstGeom>
                    <a:noFill/>
                  </pic:spPr>
                </pic:pic>
              </a:graphicData>
            </a:graphic>
          </wp:anchor>
        </w:drawing>
      </w:r>
    </w:p>
    <w:p>
      <w:pPr>
        <w:spacing w:after="0" w:line="114" w:lineRule="exact"/>
        <w:rPr>
          <w:sz w:val="20"/>
          <w:szCs w:val="20"/>
          <w:color w:val="auto"/>
        </w:rPr>
      </w:pPr>
    </w:p>
    <w:p>
      <w:pPr>
        <w:ind w:right="420" w:firstLine="12"/>
        <w:spacing w:after="0" w:line="293" w:lineRule="auto"/>
        <w:rPr>
          <w:sz w:val="20"/>
          <w:szCs w:val="20"/>
          <w:color w:val="auto"/>
        </w:rPr>
      </w:pPr>
      <w:r>
        <w:rPr>
          <w:rFonts w:ascii="Arial" w:cs="Arial" w:eastAsia="Arial" w:hAnsi="Arial"/>
          <w:sz w:val="13"/>
          <w:szCs w:val="13"/>
          <w:b w:val="1"/>
          <w:bCs w:val="1"/>
          <w:color w:val="auto"/>
        </w:rPr>
        <w:t xml:space="preserve">Overboarding Policy, </w:t>
      </w:r>
      <w:r>
        <w:rPr>
          <w:rFonts w:ascii="Arial" w:cs="Arial" w:eastAsia="Arial" w:hAnsi="Arial"/>
          <w:sz w:val="13"/>
          <w:szCs w:val="13"/>
          <w:color w:val="auto"/>
        </w:rPr>
        <w:t>limiting directors to serving on a total of four public</w:t>
      </w:r>
      <w:r>
        <w:rPr>
          <w:rFonts w:ascii="Arial" w:cs="Arial" w:eastAsia="Arial" w:hAnsi="Arial"/>
          <w:sz w:val="13"/>
          <w:szCs w:val="13"/>
          <w:b w:val="1"/>
          <w:bCs w:val="1"/>
          <w:color w:val="auto"/>
        </w:rPr>
        <w:t xml:space="preserve"> </w:t>
      </w:r>
      <w:r>
        <w:rPr>
          <w:rFonts w:ascii="Arial" w:cs="Arial" w:eastAsia="Arial" w:hAnsi="Arial"/>
          <w:sz w:val="13"/>
          <w:szCs w:val="13"/>
          <w:color w:val="auto"/>
        </w:rPr>
        <w:t>company boards or, in the case of a director serving as a CEO, a total of two public company boards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21590</wp:posOffset>
            </wp:positionV>
            <wp:extent cx="77470" cy="6858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7470" cy="68580"/>
                    </a:xfrm>
                    <a:prstGeom prst="rect">
                      <a:avLst/>
                    </a:prstGeom>
                    <a:noFill/>
                  </pic:spPr>
                </pic:pic>
              </a:graphicData>
            </a:graphic>
          </wp:anchor>
        </w:drawing>
      </w:r>
    </w:p>
    <w:p>
      <w:pPr>
        <w:spacing w:after="0" w:line="4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Compensation Recovery Policy (“Clawback Policy”), </w:t>
      </w:r>
      <w:r>
        <w:rPr>
          <w:rFonts w:ascii="Arial" w:cs="Arial" w:eastAsia="Arial" w:hAnsi="Arial"/>
          <w:sz w:val="13"/>
          <w:szCs w:val="13"/>
          <w:color w:val="auto"/>
        </w:rPr>
        <w:t>extending beyond the</w:t>
      </w:r>
    </w:p>
    <w:p>
      <w:pPr>
        <w:spacing w:after="0" w:line="37" w:lineRule="exact"/>
        <w:rPr>
          <w:sz w:val="20"/>
          <w:szCs w:val="20"/>
          <w:color w:val="auto"/>
        </w:rPr>
      </w:pPr>
    </w:p>
    <w:p>
      <w:pPr>
        <w:ind w:right="320"/>
        <w:spacing w:after="0" w:line="288" w:lineRule="auto"/>
        <w:rPr>
          <w:sz w:val="20"/>
          <w:szCs w:val="20"/>
          <w:color w:val="auto"/>
        </w:rPr>
      </w:pPr>
      <w:r>
        <w:rPr>
          <w:rFonts w:ascii="Arial" w:cs="Arial" w:eastAsia="Arial" w:hAnsi="Arial"/>
          <w:sz w:val="13"/>
          <w:szCs w:val="13"/>
          <w:color w:val="auto"/>
        </w:rPr>
        <w:t>minimum requirements of SEC rules and NYSE listing standards and covering time-vesting as well as performance-vesting awards</w:t>
      </w:r>
    </w:p>
    <w:p>
      <w:pPr>
        <w:spacing w:after="0" w:line="237" w:lineRule="exact"/>
        <w:rPr>
          <w:sz w:val="20"/>
          <w:szCs w:val="20"/>
          <w:color w:val="auto"/>
        </w:rPr>
      </w:pPr>
    </w:p>
    <w:p>
      <w:pPr>
        <w:sectPr>
          <w:pgSz w:w="11900" w:h="16838" w:orient="portrait"/>
          <w:cols w:equalWidth="0" w:num="2">
            <w:col w:w="5540" w:space="720"/>
            <w:col w:w="4980"/>
          </w:cols>
          <w:pgMar w:left="320" w:top="287" w:right="339" w:bottom="1108" w:gutter="0" w:footer="0" w:header="0"/>
        </w:sectPr>
      </w:pPr>
    </w:p>
    <w:p>
      <w:pPr>
        <w:spacing w:after="0" w:line="81" w:lineRule="exact"/>
        <w:rPr>
          <w:sz w:val="20"/>
          <w:szCs w:val="20"/>
          <w:color w:val="auto"/>
        </w:rPr>
      </w:pPr>
    </w:p>
    <w:p>
      <w:pPr>
        <w:spacing w:after="0"/>
        <w:rPr>
          <w:sz w:val="20"/>
          <w:szCs w:val="20"/>
          <w:color w:val="auto"/>
        </w:rPr>
      </w:pPr>
      <w:r>
        <w:rPr>
          <w:rFonts w:ascii="Arial" w:cs="Arial" w:eastAsia="Arial" w:hAnsi="Arial"/>
          <w:sz w:val="32"/>
          <w:szCs w:val="32"/>
          <w:color w:val="0C3471"/>
        </w:rPr>
        <w:t>Fiscal Year 2025 Executive Compensation</w:t>
      </w:r>
    </w:p>
    <w:p>
      <w:pPr>
        <w:spacing w:after="0" w:line="134" w:lineRule="exact"/>
        <w:rPr>
          <w:sz w:val="20"/>
          <w:szCs w:val="20"/>
          <w:color w:val="auto"/>
        </w:rPr>
      </w:pPr>
    </w:p>
    <w:p>
      <w:pPr>
        <w:ind w:right="20"/>
        <w:spacing w:after="0" w:line="302" w:lineRule="auto"/>
        <w:rPr>
          <w:sz w:val="20"/>
          <w:szCs w:val="20"/>
          <w:color w:val="auto"/>
        </w:rPr>
      </w:pPr>
      <w:r>
        <w:rPr>
          <w:rFonts w:ascii="Arial" w:cs="Arial" w:eastAsia="Arial" w:hAnsi="Arial"/>
          <w:sz w:val="13"/>
          <w:szCs w:val="13"/>
          <w:color w:val="auto"/>
        </w:rPr>
        <w:t>The Compensation Committee believes that the most effective executive compensation program aligns executive initiatives with shareholder interests. The Compensation Committee seeks to accomplish this objective by rewarding the achievement of specific annual, long-term, and strategic goals that create lasting shareholder value.</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29"/>
          <w:szCs w:val="29"/>
          <w:color w:val="64A70B"/>
        </w:rPr>
        <w:t>Elements of Compensation and Pay Mix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3" w:lineRule="exact"/>
        <w:rPr>
          <w:sz w:val="20"/>
          <w:szCs w:val="20"/>
          <w:color w:val="auto"/>
        </w:rPr>
      </w:pPr>
    </w:p>
    <w:p>
      <w:pPr>
        <w:ind w:right="180"/>
        <w:spacing w:after="0" w:line="288" w:lineRule="auto"/>
        <w:rPr>
          <w:sz w:val="20"/>
          <w:szCs w:val="20"/>
          <w:color w:val="auto"/>
        </w:rPr>
      </w:pPr>
      <w:r>
        <w:rPr>
          <w:rFonts w:ascii="Arial" w:cs="Arial" w:eastAsia="Arial" w:hAnsi="Arial"/>
          <w:sz w:val="13"/>
          <w:szCs w:val="13"/>
          <w:color w:val="auto"/>
        </w:rPr>
        <w:t>The graphics below describe the elements of our executive compensation program and illustrate the approximate targeted mix of fixed, annual, and long-term incentive compensation we provided in 2025 to our Chief Executive Officer and our other executive officers who are named in the Summary Compensation Table (the “Named Executive Officers” or “NEOs”). These graphics also illustrate the approximate amount of target direct compensation considered at risk. This summary of fiscal year 2025 compensation should be read in connection with the “Compensation Discussion and Analysis” (see page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5597525" cy="36601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597525" cy="3660140"/>
                    </a:xfrm>
                    <a:prstGeom prst="rect">
                      <a:avLst/>
                    </a:prstGeom>
                    <a:noFill/>
                  </pic:spPr>
                </pic:pic>
              </a:graphicData>
            </a:graphic>
          </wp:anchor>
        </w:drawing>
      </w:r>
    </w:p>
    <w:p>
      <w:pPr>
        <w:sectPr>
          <w:pgSz w:w="11900" w:h="16838" w:orient="portrait"/>
          <w:cols w:equalWidth="0" w:num="1">
            <w:col w:w="11240"/>
          </w:cols>
          <w:pgMar w:left="320" w:top="287" w:right="339" w:bottom="1108" w:gutter="0" w:footer="0" w:header="0"/>
          <w:type w:val="continuous"/>
        </w:sectPr>
      </w:pP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290"/>
        </w:trPr>
        <w:tc>
          <w:tcPr>
            <w:tcW w:w="2900" w:type="dxa"/>
            <w:vAlign w:val="bottom"/>
            <w:tcBorders>
              <w:bottom w:val="single" w:sz="8" w:color="0C3471"/>
            </w:tcBorders>
            <w:shd w:val="clear" w:color="auto" w:fill="0C3471"/>
          </w:tcPr>
          <w:p>
            <w:pPr>
              <w:ind w:left="120"/>
              <w:spacing w:after="0"/>
              <w:rPr>
                <w:sz w:val="20"/>
                <w:szCs w:val="20"/>
                <w:color w:val="auto"/>
              </w:rPr>
            </w:pPr>
            <w:r>
              <w:rPr>
                <w:rFonts w:ascii="Arial" w:cs="Arial" w:eastAsia="Arial" w:hAnsi="Arial"/>
                <w:sz w:val="16"/>
                <w:szCs w:val="16"/>
                <w:b w:val="1"/>
                <w:bCs w:val="1"/>
                <w:color w:val="FFFFFF"/>
              </w:rPr>
              <w:t>Purpose</w:t>
            </w:r>
          </w:p>
        </w:tc>
        <w:tc>
          <w:tcPr>
            <w:tcW w:w="5900" w:type="dxa"/>
            <w:vAlign w:val="bottom"/>
            <w:tcBorders>
              <w:bottom w:val="single" w:sz="8" w:color="0C3471"/>
            </w:tcBorders>
            <w:gridSpan w:val="2"/>
            <w:shd w:val="clear" w:color="auto" w:fill="0C3471"/>
          </w:tcPr>
          <w:p>
            <w:pPr>
              <w:ind w:left="20"/>
              <w:spacing w:after="0"/>
              <w:rPr>
                <w:sz w:val="20"/>
                <w:szCs w:val="20"/>
                <w:color w:val="auto"/>
              </w:rPr>
            </w:pPr>
            <w:r>
              <w:rPr>
                <w:rFonts w:ascii="Arial" w:cs="Arial" w:eastAsia="Arial" w:hAnsi="Arial"/>
                <w:sz w:val="16"/>
                <w:szCs w:val="16"/>
                <w:b w:val="1"/>
                <w:bCs w:val="1"/>
                <w:color w:val="FFFFFF"/>
              </w:rPr>
              <w:t>Featured</w:t>
            </w:r>
          </w:p>
        </w:tc>
        <w:tc>
          <w:tcPr>
            <w:tcW w:w="20" w:type="dxa"/>
            <w:vAlign w:val="bottom"/>
            <w:tcBorders>
              <w:bottom w:val="single" w:sz="8" w:color="0C3471"/>
            </w:tcBorders>
          </w:tcPr>
          <w:p>
            <w:pPr>
              <w:spacing w:after="0"/>
              <w:rPr>
                <w:sz w:val="24"/>
                <w:szCs w:val="24"/>
                <w:color w:val="auto"/>
              </w:rPr>
            </w:pPr>
          </w:p>
        </w:tc>
      </w:tr>
      <w:tr>
        <w:trPr>
          <w:trHeight w:val="235"/>
        </w:trPr>
        <w:tc>
          <w:tcPr>
            <w:tcW w:w="2900" w:type="dxa"/>
            <w:vAlign w:val="bottom"/>
          </w:tcPr>
          <w:p>
            <w:pPr>
              <w:ind w:left="120"/>
              <w:spacing w:after="0"/>
              <w:rPr>
                <w:sz w:val="20"/>
                <w:szCs w:val="20"/>
                <w:color w:val="auto"/>
              </w:rPr>
            </w:pPr>
            <w:r>
              <w:rPr>
                <w:rFonts w:ascii="Arial" w:cs="Arial" w:eastAsia="Arial" w:hAnsi="Arial"/>
                <w:sz w:val="16"/>
                <w:szCs w:val="16"/>
                <w:b w:val="1"/>
                <w:bCs w:val="1"/>
                <w:color w:val="0C3471"/>
              </w:rPr>
              <w:t>Base Salary</w:t>
            </w:r>
          </w:p>
        </w:tc>
        <w:tc>
          <w:tcPr>
            <w:tcW w:w="120" w:type="dxa"/>
            <w:vAlign w:val="bottom"/>
          </w:tcPr>
          <w:p>
            <w:pPr>
              <w:spacing w:after="0"/>
              <w:rPr>
                <w:sz w:val="20"/>
                <w:szCs w:val="20"/>
                <w:color w:val="auto"/>
              </w:rPr>
            </w:pPr>
          </w:p>
        </w:tc>
        <w:tc>
          <w:tcPr>
            <w:tcW w:w="57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51"/>
        </w:trPr>
        <w:tc>
          <w:tcPr>
            <w:tcW w:w="2900" w:type="dxa"/>
            <w:vAlign w:val="bottom"/>
          </w:tcPr>
          <w:p>
            <w:pPr>
              <w:ind w:left="120"/>
              <w:spacing w:after="0"/>
              <w:rPr>
                <w:sz w:val="20"/>
                <w:szCs w:val="20"/>
                <w:color w:val="auto"/>
              </w:rPr>
            </w:pPr>
            <w:r>
              <w:rPr>
                <w:rFonts w:ascii="Arial" w:cs="Arial" w:eastAsia="Arial" w:hAnsi="Arial"/>
                <w:sz w:val="13"/>
                <w:szCs w:val="13"/>
                <w:color w:val="auto"/>
              </w:rPr>
              <w:t>To provide fixed compensation competitive</w:t>
            </w:r>
          </w:p>
        </w:tc>
        <w:tc>
          <w:tcPr>
            <w:tcW w:w="120" w:type="dxa"/>
            <w:vAlign w:val="bottom"/>
          </w:tcPr>
          <w:p>
            <w:pPr>
              <w:ind w:left="20"/>
              <w:spacing w:after="0"/>
              <w:rPr>
                <w:sz w:val="20"/>
                <w:szCs w:val="20"/>
                <w:color w:val="auto"/>
              </w:rPr>
            </w:pPr>
            <w:r>
              <w:rPr>
                <w:rFonts w:ascii="Arial" w:cs="Arial" w:eastAsia="Arial" w:hAnsi="Arial"/>
                <w:sz w:val="13"/>
                <w:szCs w:val="13"/>
                <w:color w:val="64A70B"/>
              </w:rPr>
              <w:t>u</w:t>
            </w:r>
          </w:p>
        </w:tc>
        <w:tc>
          <w:tcPr>
            <w:tcW w:w="5780" w:type="dxa"/>
            <w:vAlign w:val="bottom"/>
          </w:tcPr>
          <w:p>
            <w:pPr>
              <w:ind w:left="40"/>
              <w:spacing w:after="0"/>
              <w:rPr>
                <w:sz w:val="20"/>
                <w:szCs w:val="20"/>
                <w:color w:val="auto"/>
              </w:rPr>
            </w:pPr>
            <w:r>
              <w:rPr>
                <w:rFonts w:ascii="Arial" w:cs="Arial" w:eastAsia="Arial" w:hAnsi="Arial"/>
                <w:sz w:val="13"/>
                <w:szCs w:val="13"/>
                <w:color w:val="auto"/>
              </w:rPr>
              <w:t>Determined based on numerous factors such as competitive market conditions, level of</w:t>
            </w:r>
          </w:p>
        </w:tc>
        <w:tc>
          <w:tcPr>
            <w:tcW w:w="20" w:type="dxa"/>
            <w:vAlign w:val="bottom"/>
          </w:tcPr>
          <w:p>
            <w:pPr>
              <w:spacing w:after="0"/>
              <w:rPr>
                <w:sz w:val="21"/>
                <w:szCs w:val="21"/>
                <w:color w:val="auto"/>
              </w:rPr>
            </w:pPr>
          </w:p>
        </w:tc>
      </w:tr>
      <w:tr>
        <w:trPr>
          <w:trHeight w:val="176"/>
        </w:trPr>
        <w:tc>
          <w:tcPr>
            <w:tcW w:w="2900" w:type="dxa"/>
            <w:vAlign w:val="bottom"/>
          </w:tcPr>
          <w:p>
            <w:pPr>
              <w:ind w:left="120"/>
              <w:spacing w:after="0"/>
              <w:rPr>
                <w:sz w:val="20"/>
                <w:szCs w:val="20"/>
                <w:color w:val="auto"/>
              </w:rPr>
            </w:pPr>
            <w:r>
              <w:rPr>
                <w:rFonts w:ascii="Arial" w:cs="Arial" w:eastAsia="Arial" w:hAnsi="Arial"/>
                <w:sz w:val="13"/>
                <w:szCs w:val="13"/>
                <w:color w:val="auto"/>
              </w:rPr>
              <w:t>in the marketplace</w:t>
            </w:r>
          </w:p>
        </w:tc>
        <w:tc>
          <w:tcPr>
            <w:tcW w:w="120" w:type="dxa"/>
            <w:vAlign w:val="bottom"/>
          </w:tcPr>
          <w:p>
            <w:pPr>
              <w:spacing w:after="0"/>
              <w:rPr>
                <w:sz w:val="15"/>
                <w:szCs w:val="15"/>
                <w:color w:val="auto"/>
              </w:rPr>
            </w:pPr>
          </w:p>
        </w:tc>
        <w:tc>
          <w:tcPr>
            <w:tcW w:w="5780" w:type="dxa"/>
            <w:vAlign w:val="bottom"/>
          </w:tcPr>
          <w:p>
            <w:pPr>
              <w:ind w:left="80"/>
              <w:spacing w:after="0"/>
              <w:rPr>
                <w:sz w:val="20"/>
                <w:szCs w:val="20"/>
                <w:color w:val="auto"/>
              </w:rPr>
            </w:pPr>
            <w:r>
              <w:rPr>
                <w:rFonts w:ascii="Arial" w:cs="Arial" w:eastAsia="Arial" w:hAnsi="Arial"/>
                <w:sz w:val="13"/>
                <w:szCs w:val="13"/>
                <w:color w:val="auto"/>
              </w:rPr>
              <w:t>responsibility, experience, and individual performance</w:t>
            </w:r>
          </w:p>
        </w:tc>
        <w:tc>
          <w:tcPr>
            <w:tcW w:w="20" w:type="dxa"/>
            <w:vAlign w:val="bottom"/>
          </w:tcPr>
          <w:p>
            <w:pPr>
              <w:spacing w:after="0"/>
              <w:rPr>
                <w:sz w:val="15"/>
                <w:szCs w:val="15"/>
                <w:color w:val="auto"/>
              </w:rPr>
            </w:pPr>
          </w:p>
        </w:tc>
      </w:tr>
      <w:tr>
        <w:trPr>
          <w:trHeight w:val="120"/>
        </w:trPr>
        <w:tc>
          <w:tcPr>
            <w:tcW w:w="2900" w:type="dxa"/>
            <w:vAlign w:val="bottom"/>
            <w:tcBorders>
              <w:bottom w:val="single" w:sz="8" w:color="BCBEC0"/>
            </w:tcBorders>
          </w:tcPr>
          <w:p>
            <w:pPr>
              <w:spacing w:after="0"/>
              <w:rPr>
                <w:sz w:val="10"/>
                <w:szCs w:val="10"/>
                <w:color w:val="auto"/>
              </w:rPr>
            </w:pPr>
          </w:p>
        </w:tc>
        <w:tc>
          <w:tcPr>
            <w:tcW w:w="120" w:type="dxa"/>
            <w:vAlign w:val="bottom"/>
            <w:tcBorders>
              <w:bottom w:val="single" w:sz="8" w:color="BCBEC0"/>
            </w:tcBorders>
          </w:tcPr>
          <w:p>
            <w:pPr>
              <w:spacing w:after="0"/>
              <w:rPr>
                <w:sz w:val="10"/>
                <w:szCs w:val="10"/>
                <w:color w:val="auto"/>
              </w:rPr>
            </w:pPr>
          </w:p>
        </w:tc>
        <w:tc>
          <w:tcPr>
            <w:tcW w:w="5780" w:type="dxa"/>
            <w:vAlign w:val="bottom"/>
            <w:tcBorders>
              <w:bottom w:val="single" w:sz="8" w:color="BCBEC0"/>
            </w:tcBorders>
          </w:tcPr>
          <w:p>
            <w:pPr>
              <w:spacing w:after="0"/>
              <w:rPr>
                <w:sz w:val="10"/>
                <w:szCs w:val="10"/>
                <w:color w:val="auto"/>
              </w:rPr>
            </w:pPr>
          </w:p>
        </w:tc>
        <w:tc>
          <w:tcPr>
            <w:tcW w:w="20" w:type="dxa"/>
            <w:vAlign w:val="bottom"/>
            <w:tcBorders>
              <w:bottom w:val="single" w:sz="8" w:color="BCBEC0"/>
            </w:tcBorders>
          </w:tcPr>
          <w:p>
            <w:pPr>
              <w:spacing w:after="0"/>
              <w:rPr>
                <w:sz w:val="10"/>
                <w:szCs w:val="10"/>
                <w:color w:val="auto"/>
              </w:rPr>
            </w:pPr>
          </w:p>
        </w:tc>
      </w:tr>
      <w:tr>
        <w:trPr>
          <w:trHeight w:val="270"/>
        </w:trPr>
        <w:tc>
          <w:tcPr>
            <w:tcW w:w="2900" w:type="dxa"/>
            <w:vAlign w:val="bottom"/>
          </w:tcPr>
          <w:p>
            <w:pPr>
              <w:ind w:left="120"/>
              <w:spacing w:after="0"/>
              <w:rPr>
                <w:sz w:val="20"/>
                <w:szCs w:val="20"/>
                <w:color w:val="auto"/>
              </w:rPr>
            </w:pPr>
            <w:r>
              <w:rPr>
                <w:rFonts w:ascii="Arial" w:cs="Arial" w:eastAsia="Arial" w:hAnsi="Arial"/>
                <w:sz w:val="16"/>
                <w:szCs w:val="16"/>
                <w:b w:val="1"/>
                <w:bCs w:val="1"/>
                <w:color w:val="0C3471"/>
              </w:rPr>
              <w:t>Annual Incentives</w:t>
            </w:r>
          </w:p>
        </w:tc>
        <w:tc>
          <w:tcPr>
            <w:tcW w:w="120" w:type="dxa"/>
            <w:vAlign w:val="bottom"/>
          </w:tcPr>
          <w:p>
            <w:pPr>
              <w:spacing w:after="0"/>
              <w:rPr>
                <w:sz w:val="23"/>
                <w:szCs w:val="23"/>
                <w:color w:val="auto"/>
              </w:rPr>
            </w:pPr>
          </w:p>
        </w:tc>
        <w:tc>
          <w:tcPr>
            <w:tcW w:w="578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51"/>
        </w:trPr>
        <w:tc>
          <w:tcPr>
            <w:tcW w:w="2900" w:type="dxa"/>
            <w:vAlign w:val="bottom"/>
          </w:tcPr>
          <w:p>
            <w:pPr>
              <w:ind w:left="120"/>
              <w:spacing w:after="0"/>
              <w:rPr>
                <w:sz w:val="20"/>
                <w:szCs w:val="20"/>
                <w:color w:val="auto"/>
              </w:rPr>
            </w:pPr>
            <w:r>
              <w:rPr>
                <w:rFonts w:ascii="Arial" w:cs="Arial" w:eastAsia="Arial" w:hAnsi="Arial"/>
                <w:sz w:val="13"/>
                <w:szCs w:val="13"/>
                <w:color w:val="auto"/>
              </w:rPr>
              <w:t>To reward short-term performance against</w:t>
            </w:r>
          </w:p>
        </w:tc>
        <w:tc>
          <w:tcPr>
            <w:tcW w:w="120" w:type="dxa"/>
            <w:vAlign w:val="bottom"/>
          </w:tcPr>
          <w:p>
            <w:pPr>
              <w:ind w:left="20"/>
              <w:spacing w:after="0"/>
              <w:rPr>
                <w:sz w:val="20"/>
                <w:szCs w:val="20"/>
                <w:color w:val="auto"/>
              </w:rPr>
            </w:pPr>
            <w:r>
              <w:rPr>
                <w:rFonts w:ascii="Arial" w:cs="Arial" w:eastAsia="Arial" w:hAnsi="Arial"/>
                <w:sz w:val="13"/>
                <w:szCs w:val="13"/>
                <w:color w:val="64A70B"/>
              </w:rPr>
              <w:t>u</w:t>
            </w:r>
          </w:p>
        </w:tc>
        <w:tc>
          <w:tcPr>
            <w:tcW w:w="5780" w:type="dxa"/>
            <w:vAlign w:val="bottom"/>
          </w:tcPr>
          <w:p>
            <w:pPr>
              <w:ind w:left="40"/>
              <w:spacing w:after="0"/>
              <w:rPr>
                <w:sz w:val="20"/>
                <w:szCs w:val="20"/>
                <w:color w:val="auto"/>
              </w:rPr>
            </w:pPr>
            <w:r>
              <w:rPr>
                <w:rFonts w:ascii="Arial" w:cs="Arial" w:eastAsia="Arial" w:hAnsi="Arial"/>
                <w:sz w:val="13"/>
                <w:szCs w:val="13"/>
                <w:color w:val="auto"/>
              </w:rPr>
              <w:t>Paid after end of one-year performance period</w:t>
            </w:r>
          </w:p>
        </w:tc>
        <w:tc>
          <w:tcPr>
            <w:tcW w:w="20" w:type="dxa"/>
            <w:vAlign w:val="bottom"/>
          </w:tcPr>
          <w:p>
            <w:pPr>
              <w:spacing w:after="0"/>
              <w:rPr>
                <w:sz w:val="21"/>
                <w:szCs w:val="21"/>
                <w:color w:val="auto"/>
              </w:rPr>
            </w:pPr>
          </w:p>
        </w:tc>
      </w:tr>
      <w:tr>
        <w:trPr>
          <w:trHeight w:val="175"/>
        </w:trPr>
        <w:tc>
          <w:tcPr>
            <w:tcW w:w="2900" w:type="dxa"/>
            <w:vAlign w:val="bottom"/>
          </w:tcPr>
          <w:p>
            <w:pPr>
              <w:ind w:left="120"/>
              <w:spacing w:after="0"/>
              <w:rPr>
                <w:sz w:val="20"/>
                <w:szCs w:val="20"/>
                <w:color w:val="auto"/>
              </w:rPr>
            </w:pPr>
            <w:r>
              <w:rPr>
                <w:rFonts w:ascii="Arial" w:cs="Arial" w:eastAsia="Arial" w:hAnsi="Arial"/>
                <w:sz w:val="13"/>
                <w:szCs w:val="13"/>
                <w:color w:val="auto"/>
              </w:rPr>
              <w:t>specific financial targets</w:t>
            </w:r>
          </w:p>
        </w:tc>
        <w:tc>
          <w:tcPr>
            <w:tcW w:w="120" w:type="dxa"/>
            <w:vAlign w:val="bottom"/>
          </w:tcPr>
          <w:p>
            <w:pPr>
              <w:ind w:left="20"/>
              <w:spacing w:after="0"/>
              <w:rPr>
                <w:sz w:val="20"/>
                <w:szCs w:val="20"/>
                <w:color w:val="auto"/>
              </w:rPr>
            </w:pPr>
            <w:r>
              <w:rPr>
                <w:rFonts w:ascii="Arial" w:cs="Arial" w:eastAsia="Arial" w:hAnsi="Arial"/>
                <w:sz w:val="13"/>
                <w:szCs w:val="13"/>
                <w:color w:val="64A70B"/>
              </w:rPr>
              <w:t>u</w:t>
            </w:r>
          </w:p>
        </w:tc>
        <w:tc>
          <w:tcPr>
            <w:tcW w:w="5780" w:type="dxa"/>
            <w:vAlign w:val="bottom"/>
          </w:tcPr>
          <w:p>
            <w:pPr>
              <w:ind w:left="40"/>
              <w:spacing w:after="0"/>
              <w:rPr>
                <w:sz w:val="20"/>
                <w:szCs w:val="20"/>
                <w:color w:val="auto"/>
              </w:rPr>
            </w:pPr>
            <w:r>
              <w:rPr>
                <w:rFonts w:ascii="Arial" w:cs="Arial" w:eastAsia="Arial" w:hAnsi="Arial"/>
                <w:sz w:val="13"/>
                <w:szCs w:val="13"/>
                <w:color w:val="auto"/>
              </w:rPr>
              <w:t>Based on achievement against annual company-wide and/or segment financial performance</w:t>
            </w:r>
          </w:p>
        </w:tc>
        <w:tc>
          <w:tcPr>
            <w:tcW w:w="20" w:type="dxa"/>
            <w:vAlign w:val="bottom"/>
          </w:tcPr>
          <w:p>
            <w:pPr>
              <w:spacing w:after="0"/>
              <w:rPr>
                <w:sz w:val="15"/>
                <w:szCs w:val="15"/>
                <w:color w:val="auto"/>
              </w:rPr>
            </w:pPr>
          </w:p>
        </w:tc>
      </w:tr>
      <w:tr>
        <w:trPr>
          <w:trHeight w:val="176"/>
        </w:trPr>
        <w:tc>
          <w:tcPr>
            <w:tcW w:w="2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780" w:type="dxa"/>
            <w:vAlign w:val="bottom"/>
          </w:tcPr>
          <w:p>
            <w:pPr>
              <w:ind w:left="80"/>
              <w:spacing w:after="0"/>
              <w:rPr>
                <w:sz w:val="20"/>
                <w:szCs w:val="20"/>
                <w:color w:val="auto"/>
              </w:rPr>
            </w:pPr>
            <w:r>
              <w:rPr>
                <w:rFonts w:ascii="Arial" w:cs="Arial" w:eastAsia="Arial" w:hAnsi="Arial"/>
                <w:sz w:val="13"/>
                <w:szCs w:val="13"/>
                <w:color w:val="auto"/>
              </w:rPr>
              <w:t>targets</w:t>
            </w:r>
          </w:p>
        </w:tc>
        <w:tc>
          <w:tcPr>
            <w:tcW w:w="20" w:type="dxa"/>
            <w:vAlign w:val="bottom"/>
          </w:tcPr>
          <w:p>
            <w:pPr>
              <w:spacing w:after="0"/>
              <w:rPr>
                <w:sz w:val="15"/>
                <w:szCs w:val="15"/>
                <w:color w:val="auto"/>
              </w:rPr>
            </w:pPr>
          </w:p>
        </w:tc>
      </w:tr>
      <w:tr>
        <w:trPr>
          <w:trHeight w:val="189"/>
        </w:trPr>
        <w:tc>
          <w:tcPr>
            <w:tcW w:w="2900" w:type="dxa"/>
            <w:vAlign w:val="bottom"/>
          </w:tcPr>
          <w:p>
            <w:pPr>
              <w:spacing w:after="0"/>
              <w:rPr>
                <w:sz w:val="16"/>
                <w:szCs w:val="16"/>
                <w:color w:val="auto"/>
              </w:rPr>
            </w:pPr>
          </w:p>
        </w:tc>
        <w:tc>
          <w:tcPr>
            <w:tcW w:w="120" w:type="dxa"/>
            <w:vAlign w:val="bottom"/>
          </w:tcPr>
          <w:p>
            <w:pPr>
              <w:ind w:left="20"/>
              <w:spacing w:after="0"/>
              <w:rPr>
                <w:sz w:val="20"/>
                <w:szCs w:val="20"/>
                <w:color w:val="auto"/>
              </w:rPr>
            </w:pPr>
            <w:r>
              <w:rPr>
                <w:rFonts w:ascii="Arial" w:cs="Arial" w:eastAsia="Arial" w:hAnsi="Arial"/>
                <w:sz w:val="13"/>
                <w:szCs w:val="13"/>
                <w:color w:val="64A70B"/>
              </w:rPr>
              <w:t>u</w:t>
            </w:r>
          </w:p>
        </w:tc>
        <w:tc>
          <w:tcPr>
            <w:tcW w:w="5780" w:type="dxa"/>
            <w:vAlign w:val="bottom"/>
          </w:tcPr>
          <w:p>
            <w:pPr>
              <w:ind w:left="40"/>
              <w:spacing w:after="0"/>
              <w:rPr>
                <w:sz w:val="20"/>
                <w:szCs w:val="20"/>
                <w:color w:val="auto"/>
              </w:rPr>
            </w:pPr>
            <w:r>
              <w:rPr>
                <w:rFonts w:ascii="Arial" w:cs="Arial" w:eastAsia="Arial" w:hAnsi="Arial"/>
                <w:sz w:val="13"/>
                <w:szCs w:val="13"/>
                <w:color w:val="auto"/>
              </w:rPr>
              <w:t>Payout range of 50% of target (at threshold) to 200% of target (at maximum)</w:t>
            </w:r>
          </w:p>
        </w:tc>
        <w:tc>
          <w:tcPr>
            <w:tcW w:w="20" w:type="dxa"/>
            <w:vAlign w:val="bottom"/>
          </w:tcPr>
          <w:p>
            <w:pPr>
              <w:spacing w:after="0"/>
              <w:rPr>
                <w:sz w:val="16"/>
                <w:szCs w:val="16"/>
                <w:color w:val="auto"/>
              </w:rPr>
            </w:pPr>
          </w:p>
        </w:tc>
      </w:tr>
      <w:tr>
        <w:trPr>
          <w:trHeight w:val="175"/>
        </w:trPr>
        <w:tc>
          <w:tcPr>
            <w:tcW w:w="2900" w:type="dxa"/>
            <w:vAlign w:val="bottom"/>
          </w:tcPr>
          <w:p>
            <w:pPr>
              <w:spacing w:after="0"/>
              <w:rPr>
                <w:sz w:val="15"/>
                <w:szCs w:val="15"/>
                <w:color w:val="auto"/>
              </w:rPr>
            </w:pPr>
          </w:p>
        </w:tc>
        <w:tc>
          <w:tcPr>
            <w:tcW w:w="120" w:type="dxa"/>
            <w:vAlign w:val="bottom"/>
          </w:tcPr>
          <w:p>
            <w:pPr>
              <w:ind w:left="20"/>
              <w:spacing w:after="0"/>
              <w:rPr>
                <w:sz w:val="20"/>
                <w:szCs w:val="20"/>
                <w:color w:val="auto"/>
              </w:rPr>
            </w:pPr>
            <w:r>
              <w:rPr>
                <w:rFonts w:ascii="Arial" w:cs="Arial" w:eastAsia="Arial" w:hAnsi="Arial"/>
                <w:sz w:val="13"/>
                <w:szCs w:val="13"/>
                <w:color w:val="64A70B"/>
              </w:rPr>
              <w:t>u</w:t>
            </w:r>
          </w:p>
        </w:tc>
        <w:tc>
          <w:tcPr>
            <w:tcW w:w="5780" w:type="dxa"/>
            <w:vAlign w:val="bottom"/>
          </w:tcPr>
          <w:p>
            <w:pPr>
              <w:ind w:left="40"/>
              <w:spacing w:after="0"/>
              <w:rPr>
                <w:sz w:val="20"/>
                <w:szCs w:val="20"/>
                <w:color w:val="auto"/>
              </w:rPr>
            </w:pPr>
            <w:r>
              <w:rPr>
                <w:rFonts w:ascii="Arial" w:cs="Arial" w:eastAsia="Arial" w:hAnsi="Arial"/>
                <w:sz w:val="13"/>
                <w:szCs w:val="13"/>
                <w:color w:val="auto"/>
              </w:rPr>
              <w:t>Payout subject to a +/- 10% modifier to address progress towards our three new</w:t>
            </w:r>
          </w:p>
        </w:tc>
        <w:tc>
          <w:tcPr>
            <w:tcW w:w="20" w:type="dxa"/>
            <w:vAlign w:val="bottom"/>
          </w:tcPr>
          <w:p>
            <w:pPr>
              <w:spacing w:after="0"/>
              <w:rPr>
                <w:sz w:val="15"/>
                <w:szCs w:val="15"/>
                <w:color w:val="auto"/>
              </w:rPr>
            </w:pPr>
          </w:p>
        </w:tc>
      </w:tr>
      <w:tr>
        <w:trPr>
          <w:trHeight w:val="176"/>
        </w:trPr>
        <w:tc>
          <w:tcPr>
            <w:tcW w:w="2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780" w:type="dxa"/>
            <w:vAlign w:val="bottom"/>
          </w:tcPr>
          <w:p>
            <w:pPr>
              <w:ind w:left="80"/>
              <w:spacing w:after="0"/>
              <w:rPr>
                <w:sz w:val="20"/>
                <w:szCs w:val="20"/>
                <w:color w:val="auto"/>
              </w:rPr>
            </w:pPr>
            <w:r>
              <w:rPr>
                <w:rFonts w:ascii="Arial" w:cs="Arial" w:eastAsia="Arial" w:hAnsi="Arial"/>
                <w:sz w:val="13"/>
                <w:szCs w:val="13"/>
                <w:color w:val="auto"/>
              </w:rPr>
              <w:t>sustainability strategic targets announced in, and for, 2025</w:t>
            </w:r>
          </w:p>
        </w:tc>
        <w:tc>
          <w:tcPr>
            <w:tcW w:w="2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8" w:lineRule="exact"/>
        <w:rPr>
          <w:sz w:val="20"/>
          <w:szCs w:val="20"/>
          <w:color w:val="auto"/>
        </w:rPr>
      </w:pPr>
    </w:p>
    <w:p>
      <w:pPr>
        <w:ind w:left="360"/>
        <w:spacing w:after="0"/>
        <w:rPr>
          <w:sz w:val="20"/>
          <w:szCs w:val="20"/>
          <w:color w:val="auto"/>
        </w:rPr>
      </w:pPr>
      <w:r>
        <w:rPr>
          <w:rFonts w:ascii="Arial" w:cs="Arial" w:eastAsia="Arial" w:hAnsi="Arial"/>
          <w:sz w:val="13"/>
          <w:szCs w:val="13"/>
          <w:b w:val="1"/>
          <w:bCs w:val="1"/>
          <w:color w:val="auto"/>
        </w:rPr>
        <w:t>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-85090</wp:posOffset>
            </wp:positionH>
            <wp:positionV relativeFrom="paragraph">
              <wp:posOffset>43180</wp:posOffset>
            </wp:positionV>
            <wp:extent cx="822960" cy="82296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822960" cy="822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Wingdings" w:cs="Wingdings" w:eastAsia="Wingdings" w:hAnsi="Wingdings"/>
          <w:sz w:val="22"/>
          <w:szCs w:val="22"/>
          <w:b w:val="1"/>
          <w:bCs w:val="1"/>
          <w:color w:val="64B140"/>
        </w:rPr>
        <w:t xml:space="preserve">n </w:t>
      </w:r>
      <w:r>
        <w:rPr>
          <w:rFonts w:ascii="Arial" w:cs="Arial" w:eastAsia="Arial" w:hAnsi="Arial"/>
          <w:sz w:val="11"/>
          <w:szCs w:val="11"/>
          <w:color w:val="000000"/>
        </w:rPr>
        <w:t>Base Salary</w:t>
      </w:r>
    </w:p>
    <w:p>
      <w:pPr>
        <w:spacing w:after="0" w:line="92" w:lineRule="exact"/>
        <w:rPr>
          <w:sz w:val="20"/>
          <w:szCs w:val="20"/>
          <w:color w:val="auto"/>
        </w:rPr>
      </w:pPr>
    </w:p>
    <w:p>
      <w:pPr>
        <w:jc w:val="right"/>
        <w:ind w:right="640"/>
        <w:spacing w:after="0"/>
        <w:rPr>
          <w:sz w:val="20"/>
          <w:szCs w:val="20"/>
          <w:color w:val="auto"/>
        </w:rPr>
      </w:pPr>
      <w:r>
        <w:rPr>
          <w:rFonts w:ascii="Arial" w:cs="Arial" w:eastAsia="Arial" w:hAnsi="Arial"/>
          <w:sz w:val="13"/>
          <w:szCs w:val="13"/>
          <w:color w:val="auto"/>
        </w:rPr>
        <w:t>Management</w:t>
      </w:r>
    </w:p>
    <w:p>
      <w:pPr>
        <w:jc w:val="center"/>
        <w:ind w:right="860"/>
        <w:spacing w:after="0" w:line="185" w:lineRule="auto"/>
        <w:rPr>
          <w:sz w:val="20"/>
          <w:szCs w:val="20"/>
          <w:color w:val="auto"/>
        </w:rPr>
      </w:pPr>
      <w:r>
        <w:rPr>
          <w:rFonts w:ascii="Wingdings" w:cs="Wingdings" w:eastAsia="Wingdings" w:hAnsi="Wingdings"/>
          <w:sz w:val="16"/>
          <w:szCs w:val="16"/>
          <w:b w:val="1"/>
          <w:bCs w:val="1"/>
          <w:color w:val="CED6E3"/>
        </w:rPr>
        <w:t xml:space="preserve">n </w:t>
      </w:r>
      <w:r>
        <w:rPr>
          <w:rFonts w:ascii="Arial" w:cs="Arial" w:eastAsia="Arial" w:hAnsi="Arial"/>
          <w:sz w:val="9"/>
          <w:szCs w:val="9"/>
          <w:color w:val="000000"/>
        </w:rPr>
        <w:t>Incentive</w:t>
      </w:r>
    </w:p>
    <w:p>
      <w:pPr>
        <w:spacing w:after="0" w:line="1" w:lineRule="exact"/>
        <w:rPr>
          <w:sz w:val="20"/>
          <w:szCs w:val="20"/>
          <w:color w:val="auto"/>
        </w:rPr>
      </w:pPr>
    </w:p>
    <w:p>
      <w:pPr>
        <w:sectPr>
          <w:pgSz w:w="11900" w:h="16838" w:orient="portrait"/>
          <w:cols w:equalWidth="0" w:num="2">
            <w:col w:w="8900" w:space="720"/>
            <w:col w:w="1620"/>
          </w:cols>
          <w:pgMar w:left="320" w:top="287" w:right="339" w:bottom="1108" w:gutter="0" w:footer="0" w:header="0"/>
          <w:type w:val="continuous"/>
        </w:sectPr>
      </w:pPr>
    </w:p>
    <w:p>
      <w:pPr>
        <w:ind w:left="120"/>
        <w:spacing w:after="0"/>
        <w:rPr>
          <w:sz w:val="20"/>
          <w:szCs w:val="20"/>
          <w:color w:val="auto"/>
        </w:rPr>
      </w:pPr>
      <w:r>
        <w:rPr>
          <w:rFonts w:ascii="Arial" w:cs="Arial" w:eastAsia="Arial" w:hAnsi="Arial"/>
          <w:sz w:val="16"/>
          <w:szCs w:val="16"/>
          <w:b w:val="1"/>
          <w:bCs w:val="1"/>
          <w:color w:val="0C3471"/>
        </w:rPr>
        <w:t>Long-Term Incentives</w:t>
      </w:r>
    </w:p>
    <w:p>
      <w:pPr>
        <w:spacing w:after="0" w:line="112" w:lineRule="exact"/>
        <w:rPr>
          <w:sz w:val="20"/>
          <w:szCs w:val="20"/>
          <w:color w:val="auto"/>
        </w:rPr>
      </w:pPr>
    </w:p>
    <w:p>
      <w:pPr>
        <w:ind w:left="120"/>
        <w:spacing w:after="0" w:line="302" w:lineRule="auto"/>
        <w:rPr>
          <w:sz w:val="20"/>
          <w:szCs w:val="20"/>
          <w:color w:val="auto"/>
        </w:rPr>
      </w:pPr>
      <w:r>
        <w:rPr>
          <w:rFonts w:ascii="Arial" w:cs="Arial" w:eastAsia="Arial" w:hAnsi="Arial"/>
          <w:sz w:val="13"/>
          <w:szCs w:val="13"/>
          <w:color w:val="auto"/>
        </w:rPr>
        <w:t>To link management incentives to long-term value creation and shareholder return</w:t>
      </w:r>
    </w:p>
    <w:p>
      <w:pPr>
        <w:spacing w:after="0" w:line="20" w:lineRule="exact"/>
        <w:rPr>
          <w:sz w:val="20"/>
          <w:szCs w:val="20"/>
          <w:color w:val="auto"/>
        </w:rPr>
      </w:pPr>
      <w:r>
        <w:rPr>
          <w:sz w:val="20"/>
          <w:szCs w:val="20"/>
          <w:color w:val="auto"/>
        </w:rPr>
        <w:br w:type="column"/>
      </w:r>
    </w:p>
    <w:p>
      <w:pPr>
        <w:spacing w:after="0" w:line="286" w:lineRule="exact"/>
        <w:rPr>
          <w:sz w:val="20"/>
          <w:szCs w:val="20"/>
          <w:color w:val="auto"/>
        </w:rPr>
      </w:pPr>
    </w:p>
    <w:p>
      <w:pPr>
        <w:ind w:left="5"/>
        <w:spacing w:after="0"/>
        <w:rPr>
          <w:sz w:val="20"/>
          <w:szCs w:val="20"/>
          <w:color w:val="auto"/>
        </w:rPr>
      </w:pPr>
      <w:r>
        <w:rPr>
          <w:rFonts w:ascii="Arial" w:cs="Arial" w:eastAsia="Arial" w:hAnsi="Arial"/>
          <w:sz w:val="13"/>
          <w:szCs w:val="13"/>
          <w:b w:val="1"/>
          <w:bCs w:val="1"/>
          <w:color w:val="auto"/>
        </w:rPr>
        <w:t>CEO</w:t>
      </w:r>
    </w:p>
    <w:p>
      <w:pPr>
        <w:spacing w:after="0" w:line="42" w:lineRule="exact"/>
        <w:rPr>
          <w:sz w:val="20"/>
          <w:szCs w:val="20"/>
          <w:color w:val="auto"/>
        </w:rPr>
      </w:pPr>
    </w:p>
    <w:p>
      <w:pPr>
        <w:ind w:left="185" w:right="400" w:hanging="185"/>
        <w:spacing w:after="0" w:line="281" w:lineRule="auto"/>
        <w:tabs>
          <w:tab w:leader="none" w:pos="142" w:val="left"/>
        </w:tabs>
        <w:numPr>
          <w:ilvl w:val="0"/>
          <w:numId w:val="13"/>
        </w:numPr>
        <w:rPr>
          <w:rFonts w:ascii="Arial" w:cs="Arial" w:eastAsia="Arial" w:hAnsi="Arial"/>
          <w:sz w:val="13"/>
          <w:szCs w:val="13"/>
          <w:color w:val="64A70B"/>
        </w:rPr>
      </w:pPr>
      <w:r>
        <w:rPr>
          <w:rFonts w:ascii="Arial" w:cs="Arial" w:eastAsia="Arial" w:hAnsi="Arial"/>
          <w:sz w:val="13"/>
          <w:szCs w:val="13"/>
          <w:color w:val="auto"/>
        </w:rPr>
        <w:t>75% performance share units, an increase from 50% in 2024, based on achievement against three-year financial performance targets paid after end of three-year performance period</w:t>
      </w:r>
    </w:p>
    <w:p>
      <w:pPr>
        <w:spacing w:after="0" w:line="1" w:lineRule="exact"/>
        <w:rPr>
          <w:rFonts w:ascii="Arial" w:cs="Arial" w:eastAsia="Arial" w:hAnsi="Arial"/>
          <w:sz w:val="13"/>
          <w:szCs w:val="13"/>
          <w:color w:val="64A70B"/>
        </w:rPr>
      </w:pPr>
    </w:p>
    <w:p>
      <w:pPr>
        <w:ind w:left="145" w:hanging="145"/>
        <w:spacing w:after="0"/>
        <w:tabs>
          <w:tab w:leader="none" w:pos="145" w:val="left"/>
        </w:tabs>
        <w:numPr>
          <w:ilvl w:val="0"/>
          <w:numId w:val="13"/>
        </w:numPr>
        <w:rPr>
          <w:rFonts w:ascii="Arial" w:cs="Arial" w:eastAsia="Arial" w:hAnsi="Arial"/>
          <w:sz w:val="13"/>
          <w:szCs w:val="13"/>
          <w:color w:val="64A70B"/>
        </w:rPr>
      </w:pPr>
      <w:r>
        <w:rPr>
          <w:rFonts w:ascii="Arial" w:cs="Arial" w:eastAsia="Arial" w:hAnsi="Arial"/>
          <w:sz w:val="13"/>
          <w:szCs w:val="13"/>
          <w:color w:val="auto"/>
        </w:rPr>
        <w:t>25% stock options with a 10-year term vesting ratably on first three grant date anniversaries</w:t>
      </w:r>
    </w:p>
    <w:p>
      <w:pPr>
        <w:spacing w:after="0" w:line="350" w:lineRule="exact"/>
        <w:rPr>
          <w:sz w:val="20"/>
          <w:szCs w:val="20"/>
          <w:color w:val="auto"/>
        </w:rPr>
      </w:pPr>
    </w:p>
    <w:p>
      <w:pPr>
        <w:ind w:left="5"/>
        <w:spacing w:after="0"/>
        <w:rPr>
          <w:sz w:val="20"/>
          <w:szCs w:val="20"/>
          <w:color w:val="auto"/>
        </w:rPr>
      </w:pPr>
      <w:r>
        <w:rPr>
          <w:rFonts w:ascii="Arial" w:cs="Arial" w:eastAsia="Arial" w:hAnsi="Arial"/>
          <w:sz w:val="13"/>
          <w:szCs w:val="13"/>
          <w:color w:val="auto"/>
        </w:rPr>
        <w:t>Other NEOs</w:t>
      </w:r>
    </w:p>
    <w:p>
      <w:pPr>
        <w:spacing w:after="0" w:line="40" w:lineRule="exact"/>
        <w:rPr>
          <w:sz w:val="20"/>
          <w:szCs w:val="20"/>
          <w:color w:val="auto"/>
        </w:rPr>
      </w:pPr>
    </w:p>
    <w:p>
      <w:pPr>
        <w:ind w:left="185" w:right="660" w:hanging="185"/>
        <w:spacing w:after="0" w:line="281" w:lineRule="auto"/>
        <w:tabs>
          <w:tab w:leader="none" w:pos="142" w:val="left"/>
        </w:tabs>
        <w:numPr>
          <w:ilvl w:val="0"/>
          <w:numId w:val="14"/>
        </w:numPr>
        <w:rPr>
          <w:rFonts w:ascii="Arial" w:cs="Arial" w:eastAsia="Arial" w:hAnsi="Arial"/>
          <w:sz w:val="13"/>
          <w:szCs w:val="13"/>
          <w:color w:val="64A70B"/>
        </w:rPr>
      </w:pPr>
      <w:r>
        <w:rPr>
          <w:rFonts w:ascii="Arial" w:cs="Arial" w:eastAsia="Arial" w:hAnsi="Arial"/>
          <w:sz w:val="13"/>
          <w:szCs w:val="13"/>
          <w:color w:val="auto"/>
        </w:rPr>
        <w:t>50% performance share units based on achievement against three-year financial performance targets paid after end of three-year performance period</w:t>
      </w:r>
    </w:p>
    <w:p>
      <w:pPr>
        <w:ind w:left="145" w:hanging="145"/>
        <w:spacing w:after="0"/>
        <w:tabs>
          <w:tab w:leader="none" w:pos="145" w:val="left"/>
        </w:tabs>
        <w:numPr>
          <w:ilvl w:val="0"/>
          <w:numId w:val="14"/>
        </w:numPr>
        <w:rPr>
          <w:rFonts w:ascii="Arial" w:cs="Arial" w:eastAsia="Arial" w:hAnsi="Arial"/>
          <w:sz w:val="13"/>
          <w:szCs w:val="13"/>
          <w:color w:val="64A70B"/>
        </w:rPr>
      </w:pPr>
      <w:r>
        <w:rPr>
          <w:rFonts w:ascii="Arial" w:cs="Arial" w:eastAsia="Arial" w:hAnsi="Arial"/>
          <w:sz w:val="13"/>
          <w:szCs w:val="13"/>
          <w:color w:val="auto"/>
        </w:rPr>
        <w:t>25% stock options with a 10-year term vesting ratably on first three grant date anniversaries</w:t>
      </w:r>
    </w:p>
    <w:p>
      <w:pPr>
        <w:spacing w:after="0" w:line="39" w:lineRule="exact"/>
        <w:rPr>
          <w:rFonts w:ascii="Arial" w:cs="Arial" w:eastAsia="Arial" w:hAnsi="Arial"/>
          <w:sz w:val="13"/>
          <w:szCs w:val="13"/>
          <w:color w:val="64A70B"/>
        </w:rPr>
      </w:pPr>
    </w:p>
    <w:p>
      <w:pPr>
        <w:ind w:left="145" w:hanging="145"/>
        <w:spacing w:after="0"/>
        <w:tabs>
          <w:tab w:leader="none" w:pos="145" w:val="left"/>
        </w:tabs>
        <w:numPr>
          <w:ilvl w:val="0"/>
          <w:numId w:val="14"/>
        </w:numPr>
        <w:rPr>
          <w:rFonts w:ascii="Arial" w:cs="Arial" w:eastAsia="Arial" w:hAnsi="Arial"/>
          <w:sz w:val="13"/>
          <w:szCs w:val="13"/>
          <w:color w:val="64A70B"/>
        </w:rPr>
      </w:pPr>
      <w:r>
        <w:rPr>
          <w:rFonts w:ascii="Arial" w:cs="Arial" w:eastAsia="Arial" w:hAnsi="Arial"/>
          <w:sz w:val="13"/>
          <w:szCs w:val="13"/>
          <w:color w:val="auto"/>
        </w:rPr>
        <w:t>25% restricted stock units vesting ratably on first three grant date anniversaries</w:t>
      </w:r>
    </w:p>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ind w:left="640"/>
        <w:spacing w:after="0"/>
        <w:rPr>
          <w:sz w:val="20"/>
          <w:szCs w:val="20"/>
          <w:color w:val="auto"/>
        </w:rPr>
      </w:pPr>
      <w:r>
        <w:rPr>
          <w:rFonts w:ascii="Arial" w:cs="Arial" w:eastAsia="Arial" w:hAnsi="Arial"/>
          <w:sz w:val="13"/>
          <w:szCs w:val="13"/>
          <w:color w:val="auto"/>
        </w:rPr>
        <w:t>Plan</w:t>
      </w:r>
    </w:p>
    <w:p>
      <w:pPr>
        <w:spacing w:after="0" w:line="16" w:lineRule="exact"/>
        <w:rPr>
          <w:sz w:val="20"/>
          <w:szCs w:val="20"/>
          <w:color w:val="auto"/>
        </w:rPr>
      </w:pPr>
    </w:p>
    <w:p>
      <w:pPr>
        <w:ind w:left="640"/>
        <w:spacing w:after="0"/>
        <w:rPr>
          <w:sz w:val="20"/>
          <w:szCs w:val="20"/>
          <w:color w:val="auto"/>
        </w:rPr>
      </w:pPr>
      <w:r>
        <w:rPr>
          <w:rFonts w:ascii="Arial" w:cs="Arial" w:eastAsia="Arial" w:hAnsi="Arial"/>
          <w:sz w:val="13"/>
          <w:szCs w:val="13"/>
          <w:color w:val="auto"/>
        </w:rPr>
        <w:t>(Annual</w:t>
      </w:r>
    </w:p>
    <w:p>
      <w:pPr>
        <w:spacing w:after="0" w:line="7" w:lineRule="exact"/>
        <w:rPr>
          <w:sz w:val="20"/>
          <w:szCs w:val="20"/>
          <w:color w:val="auto"/>
        </w:rPr>
      </w:pPr>
    </w:p>
    <w:p>
      <w:pPr>
        <w:ind w:left="640"/>
        <w:spacing w:after="0"/>
        <w:rPr>
          <w:sz w:val="20"/>
          <w:szCs w:val="20"/>
          <w:color w:val="auto"/>
        </w:rPr>
      </w:pPr>
      <w:r>
        <w:rPr>
          <w:rFonts w:ascii="Arial" w:cs="Arial" w:eastAsia="Arial" w:hAnsi="Arial"/>
          <w:sz w:val="13"/>
          <w:szCs w:val="13"/>
          <w:color w:val="auto"/>
        </w:rPr>
        <w:t>Incentive)</w:t>
      </w:r>
    </w:p>
    <w:p>
      <w:pPr>
        <w:ind w:left="380"/>
        <w:spacing w:after="0" w:line="226" w:lineRule="auto"/>
        <w:rPr>
          <w:sz w:val="20"/>
          <w:szCs w:val="20"/>
          <w:color w:val="auto"/>
        </w:rPr>
      </w:pPr>
      <w:r>
        <w:rPr>
          <w:rFonts w:ascii="Wingdings" w:cs="Wingdings" w:eastAsia="Wingdings" w:hAnsi="Wingdings"/>
          <w:sz w:val="27"/>
          <w:szCs w:val="27"/>
          <w:b w:val="1"/>
          <w:bCs w:val="1"/>
          <w:color w:val="0C3471"/>
        </w:rPr>
        <w:t xml:space="preserve">n </w:t>
      </w:r>
      <w:r>
        <w:rPr>
          <w:rFonts w:ascii="Arial" w:cs="Arial" w:eastAsia="Arial" w:hAnsi="Arial"/>
          <w:sz w:val="12"/>
          <w:szCs w:val="12"/>
          <w:color w:val="000000"/>
        </w:rPr>
        <w:t>Long-Term</w:t>
      </w:r>
    </w:p>
    <w:p>
      <w:pPr>
        <w:ind w:left="640"/>
        <w:spacing w:after="0"/>
        <w:rPr>
          <w:sz w:val="20"/>
          <w:szCs w:val="20"/>
          <w:color w:val="auto"/>
        </w:rPr>
      </w:pPr>
      <w:r>
        <w:rPr>
          <w:rFonts w:ascii="Arial" w:cs="Arial" w:eastAsia="Arial" w:hAnsi="Arial"/>
          <w:sz w:val="13"/>
          <w:szCs w:val="13"/>
          <w:color w:val="auto"/>
        </w:rPr>
        <w:t>Incentives</w:t>
      </w:r>
    </w:p>
    <w:p>
      <w:pPr>
        <w:spacing w:after="0" w:line="31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AVERAGE OF OTHER NEOs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155575</wp:posOffset>
            </wp:positionH>
            <wp:positionV relativeFrom="paragraph">
              <wp:posOffset>43180</wp:posOffset>
            </wp:positionV>
            <wp:extent cx="822960" cy="82296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822960" cy="822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640" w:right="640" w:hanging="264"/>
        <w:spacing w:after="0" w:line="283" w:lineRule="auto"/>
        <w:tabs>
          <w:tab w:leader="none" w:pos="640" w:val="left"/>
        </w:tabs>
        <w:numPr>
          <w:ilvl w:val="0"/>
          <w:numId w:val="15"/>
        </w:numPr>
        <w:rPr>
          <w:rFonts w:ascii="Wingdings" w:cs="Wingdings" w:eastAsia="Wingdings" w:hAnsi="Wingdings"/>
          <w:sz w:val="26"/>
          <w:szCs w:val="26"/>
          <w:b w:val="1"/>
          <w:bCs w:val="1"/>
          <w:color w:val="64B140"/>
        </w:rPr>
      </w:pPr>
      <w:r>
        <w:rPr>
          <w:rFonts w:ascii="Arial" w:cs="Arial" w:eastAsia="Arial" w:hAnsi="Arial"/>
          <w:sz w:val="12"/>
          <w:szCs w:val="12"/>
          <w:color w:val="auto"/>
        </w:rPr>
        <w:t>Base Salary Management</w:t>
      </w:r>
    </w:p>
    <w:p>
      <w:pPr>
        <w:ind w:left="640" w:right="820" w:hanging="264"/>
        <w:spacing w:after="0" w:line="216" w:lineRule="auto"/>
        <w:tabs>
          <w:tab w:leader="none" w:pos="640" w:val="left"/>
        </w:tabs>
        <w:numPr>
          <w:ilvl w:val="0"/>
          <w:numId w:val="15"/>
        </w:numPr>
        <w:rPr>
          <w:rFonts w:ascii="Wingdings" w:cs="Wingdings" w:eastAsia="Wingdings" w:hAnsi="Wingdings"/>
          <w:sz w:val="26"/>
          <w:szCs w:val="26"/>
          <w:b w:val="1"/>
          <w:bCs w:val="1"/>
          <w:color w:val="CED6E3"/>
        </w:rPr>
      </w:pPr>
      <w:r>
        <w:rPr>
          <w:rFonts w:ascii="Arial" w:cs="Arial" w:eastAsia="Arial" w:hAnsi="Arial"/>
          <w:sz w:val="12"/>
          <w:szCs w:val="12"/>
          <w:color w:val="auto"/>
        </w:rPr>
        <w:t>Incentive Plan (Annual Incentive)</w:t>
      </w:r>
    </w:p>
    <w:p>
      <w:pPr>
        <w:spacing w:after="0" w:line="133" w:lineRule="exact"/>
        <w:rPr>
          <w:rFonts w:ascii="Wingdings" w:cs="Wingdings" w:eastAsia="Wingdings" w:hAnsi="Wingdings"/>
          <w:sz w:val="26"/>
          <w:szCs w:val="26"/>
          <w:b w:val="1"/>
          <w:bCs w:val="1"/>
          <w:color w:val="CED6E3"/>
        </w:rPr>
      </w:pPr>
    </w:p>
    <w:p>
      <w:pPr>
        <w:jc w:val="both"/>
        <w:ind w:left="640" w:right="760" w:hanging="264"/>
        <w:spacing w:after="0" w:line="184" w:lineRule="auto"/>
        <w:tabs>
          <w:tab w:leader="none" w:pos="640" w:val="left"/>
        </w:tabs>
        <w:numPr>
          <w:ilvl w:val="0"/>
          <w:numId w:val="15"/>
        </w:numPr>
        <w:rPr>
          <w:rFonts w:ascii="Wingdings" w:cs="Wingdings" w:eastAsia="Wingdings" w:hAnsi="Wingdings"/>
          <w:sz w:val="26"/>
          <w:szCs w:val="26"/>
          <w:b w:val="1"/>
          <w:bCs w:val="1"/>
          <w:color w:val="0C3471"/>
        </w:rPr>
      </w:pPr>
      <w:r>
        <w:rPr>
          <w:rFonts w:ascii="Arial" w:cs="Arial" w:eastAsia="Arial" w:hAnsi="Arial"/>
          <w:sz w:val="12"/>
          <w:szCs w:val="12"/>
          <w:color w:val="auto"/>
        </w:rPr>
        <w:t>Long-Term Incentives</w:t>
      </w:r>
    </w:p>
    <w:p>
      <w:pPr>
        <w:spacing w:after="0" w:line="200" w:lineRule="exact"/>
        <w:rPr>
          <w:sz w:val="20"/>
          <w:szCs w:val="20"/>
          <w:color w:val="auto"/>
        </w:rPr>
      </w:pPr>
    </w:p>
    <w:p>
      <w:pPr>
        <w:sectPr>
          <w:pgSz w:w="11900" w:h="16838" w:orient="portrait"/>
          <w:cols w:equalWidth="0" w:num="3">
            <w:col w:w="2660" w:space="255"/>
            <w:col w:w="5625" w:space="700"/>
            <w:col w:w="2000"/>
          </w:cols>
          <w:pgMar w:left="320" w:top="287" w:right="339" w:bottom="1108" w:gutter="0" w:footer="0" w:header="0"/>
          <w:type w:val="continuous"/>
        </w:sectPr>
      </w:pPr>
    </w:p>
    <w:p>
      <w:pPr>
        <w:spacing w:after="0" w:line="200" w:lineRule="exact"/>
        <w:rPr>
          <w:sz w:val="20"/>
          <w:szCs w:val="20"/>
          <w:color w:val="auto"/>
        </w:rPr>
      </w:pP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10840" w:type="dxa"/>
            <w:vAlign w:val="bottom"/>
          </w:tcPr>
          <w:p>
            <w:pPr>
              <w:ind w:left="8260"/>
              <w:spacing w:after="0"/>
              <w:rPr>
                <w:sz w:val="20"/>
                <w:szCs w:val="20"/>
                <w:color w:val="auto"/>
              </w:rPr>
            </w:pPr>
            <w:r>
              <w:rPr>
                <w:rFonts w:ascii="Arial" w:cs="Arial" w:eastAsia="Arial" w:hAnsi="Arial"/>
                <w:sz w:val="16"/>
                <w:szCs w:val="16"/>
                <w:b w:val="1"/>
                <w:bCs w:val="1"/>
                <w:color w:val="auto"/>
              </w:rPr>
              <w:t xml:space="preserve">2026 Proxy Statement </w:t>
            </w:r>
            <w:r>
              <w:rPr>
                <w:rFonts w:ascii="Arial" w:cs="Arial" w:eastAsia="Arial" w:hAnsi="Arial"/>
                <w:sz w:val="16"/>
                <w:szCs w:val="16"/>
                <w:b w:val="1"/>
                <w:bCs w:val="1"/>
                <w:color w:val="0C3471"/>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Pentair</w:t>
            </w:r>
          </w:p>
        </w:tc>
        <w:tc>
          <w:tcPr>
            <w:tcW w:w="400" w:type="dxa"/>
            <w:vAlign w:val="bottom"/>
          </w:tcPr>
          <w:p>
            <w:pPr>
              <w:jc w:val="right"/>
              <w:spacing w:after="0"/>
              <w:rPr>
                <w:sz w:val="20"/>
                <w:szCs w:val="20"/>
                <w:color w:val="auto"/>
              </w:rPr>
            </w:pPr>
            <w:r>
              <w:rPr>
                <w:rFonts w:ascii="Arial" w:cs="Arial" w:eastAsia="Arial" w:hAnsi="Arial"/>
                <w:sz w:val="16"/>
                <w:szCs w:val="16"/>
                <w:b w:val="1"/>
                <w:bCs w:val="1"/>
                <w:color w:val="auto"/>
              </w:rPr>
              <w:t>7</w:t>
            </w:r>
          </w:p>
        </w:tc>
      </w:tr>
      <w:tr>
        <w:trPr>
          <w:trHeight w:val="325"/>
        </w:trPr>
        <w:tc>
          <w:tcPr>
            <w:tcW w:w="108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87" w:right="339" w:bottom="1108" w:gutter="0" w:footer="0" w:header="0"/>
          <w:type w:val="continuous"/>
        </w:sectPr>
      </w:pPr>
    </w:p>
    <w:bookmarkStart w:id="9" w:name="page10"/>
    <w:bookmarkEnd w:id="9"/>
    <w:p>
      <w:pPr>
        <w:ind w:left="40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233680</wp:posOffset>
            </wp:positionH>
            <wp:positionV relativeFrom="page">
              <wp:posOffset>191770</wp:posOffset>
            </wp:positionV>
            <wp:extent cx="102870" cy="11112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clrChange>
                        <a:clrFrom>
                          <a:srgbClr val="FFFFFF"/>
                        </a:clrFrom>
                        <a:clrTo>
                          <a:srgbClr val="FFFFFF">
                            <a:alpha val="0"/>
                          </a:srgbClr>
                        </a:clrTo>
                      </a:clrChange>
                      <a:extLst>
                        <a:ext uri="{28A0092B-C50C-407E-A947-70E740481C1C}"/>
                      </a:extLst>
                    </a:blip>
                    <a:srcRect/>
                    <a:stretch>
                      <a:fillRect/>
                    </a:stretch>
                  </pic:blipFill>
                  <pic:spPr bwMode="auto">
                    <a:xfrm>
                      <a:off x="0" y="0"/>
                      <a:ext cx="102870" cy="111125"/>
                    </a:xfrm>
                    <a:prstGeom prst="rect">
                      <a:avLst/>
                    </a:prstGeom>
                    <a:noFill/>
                  </pic:spPr>
                </pic:pic>
              </a:graphicData>
            </a:graphic>
          </wp:anchor>
        </w:drawing>
        <w:t>Proxy Statement Summary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32"/>
          <w:szCs w:val="32"/>
          <w:color w:val="0C3471"/>
        </w:rPr>
        <w:t>Shareholder Engagement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118745</wp:posOffset>
            </wp:positionV>
            <wp:extent cx="4003040" cy="20231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4003040" cy="2023110"/>
                    </a:xfrm>
                    <a:prstGeom prst="rect">
                      <a:avLst/>
                    </a:prstGeom>
                    <a:noFill/>
                  </pic:spPr>
                </pic:pic>
              </a:graphicData>
            </a:graphic>
          </wp:anchor>
        </w:drawing>
      </w:r>
    </w:p>
    <w:p>
      <w:pPr>
        <w:sectPr>
          <w:pgSz w:w="11900" w:h="16838" w:orient="portrait"/>
          <w:cols w:equalWidth="0" w:num="1">
            <w:col w:w="11240"/>
          </w:cols>
          <w:pgMar w:left="320" w:top="31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C3471"/>
        </w:rPr>
        <w:t>ENGAGEMENT</w:t>
      </w:r>
    </w:p>
    <w:p>
      <w:pPr>
        <w:spacing w:after="0" w:line="235" w:lineRule="exact"/>
        <w:rPr>
          <w:sz w:val="20"/>
          <w:szCs w:val="20"/>
          <w:color w:val="auto"/>
        </w:rPr>
      </w:pPr>
    </w:p>
    <w:p>
      <w:pPr>
        <w:ind w:left="20"/>
        <w:spacing w:after="0" w:line="257" w:lineRule="auto"/>
        <w:rPr>
          <w:sz w:val="20"/>
          <w:szCs w:val="20"/>
          <w:color w:val="auto"/>
        </w:rPr>
      </w:pPr>
      <w:r>
        <w:rPr>
          <w:rFonts w:ascii="Arial" w:cs="Arial" w:eastAsia="Arial" w:hAnsi="Arial"/>
          <w:sz w:val="16"/>
          <w:szCs w:val="16"/>
          <w:color w:val="auto"/>
        </w:rPr>
        <w:t>In the fall of 2025, we reached out to our largest shareholders representing approximately 56% of our outstanding shares to engage on corporate governance, executive compensation, and sustainability matters.</w:t>
      </w:r>
    </w:p>
    <w:p>
      <w:pPr>
        <w:spacing w:after="0" w:line="70" w:lineRule="exact"/>
        <w:rPr>
          <w:sz w:val="20"/>
          <w:szCs w:val="20"/>
          <w:color w:val="auto"/>
        </w:rPr>
      </w:pPr>
    </w:p>
    <w:p>
      <w:pPr>
        <w:ind w:left="20" w:right="40"/>
        <w:spacing w:after="0" w:line="250" w:lineRule="auto"/>
        <w:rPr>
          <w:sz w:val="20"/>
          <w:szCs w:val="20"/>
          <w:color w:val="auto"/>
        </w:rPr>
      </w:pPr>
      <w:r>
        <w:rPr>
          <w:rFonts w:ascii="Arial" w:cs="Arial" w:eastAsia="Arial" w:hAnsi="Arial"/>
          <w:sz w:val="16"/>
          <w:szCs w:val="16"/>
          <w:color w:val="auto"/>
        </w:rPr>
        <w:t>We engaged with shareholders who accepted our invitation, representing approximately 34% of our outstanding shares. This shareholder engagement was conducted by our independent Chair of the Board, David A. Jones, and members of management, including our Executive Vice President and Chief Human Resources Officer, Executive Vice President, General Counsel and Secretary, Vice President of Investor Relations and Vice President of Sustainability.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color w:val="0C3471"/>
        </w:rPr>
        <w:t>FEEDBACK</w:t>
      </w:r>
    </w:p>
    <w:p>
      <w:pPr>
        <w:spacing w:after="0" w:line="235" w:lineRule="exact"/>
        <w:rPr>
          <w:sz w:val="20"/>
          <w:szCs w:val="20"/>
          <w:color w:val="auto"/>
        </w:rPr>
      </w:pPr>
    </w:p>
    <w:p>
      <w:pPr>
        <w:jc w:val="both"/>
        <w:ind w:right="40"/>
        <w:spacing w:after="0" w:line="257" w:lineRule="auto"/>
        <w:rPr>
          <w:sz w:val="20"/>
          <w:szCs w:val="20"/>
          <w:color w:val="auto"/>
        </w:rPr>
      </w:pPr>
      <w:r>
        <w:rPr>
          <w:rFonts w:ascii="Arial" w:cs="Arial" w:eastAsia="Arial" w:hAnsi="Arial"/>
          <w:sz w:val="16"/>
          <w:szCs w:val="16"/>
          <w:color w:val="auto"/>
        </w:rPr>
        <w:t>Based on our shareholder engagement, and other feedback from investors throughout the year, we believe we continue to be focused on what matters to our shareholders, including:</w:t>
      </w:r>
    </w:p>
    <w:p>
      <w:pPr>
        <w:spacing w:after="0" w:line="70" w:lineRule="exact"/>
        <w:rPr>
          <w:sz w:val="20"/>
          <w:szCs w:val="20"/>
          <w:color w:val="auto"/>
        </w:rPr>
      </w:pPr>
    </w:p>
    <w:p>
      <w:pPr>
        <w:ind w:left="180" w:hanging="150"/>
        <w:spacing w:after="0"/>
        <w:tabs>
          <w:tab w:leader="none" w:pos="180" w:val="left"/>
        </w:tabs>
        <w:numPr>
          <w:ilvl w:val="0"/>
          <w:numId w:val="16"/>
        </w:numPr>
        <w:rPr>
          <w:rFonts w:ascii="Arial" w:cs="Arial" w:eastAsia="Arial" w:hAnsi="Arial"/>
          <w:sz w:val="13"/>
          <w:szCs w:val="13"/>
          <w:color w:val="64A70B"/>
        </w:rPr>
      </w:pPr>
      <w:r>
        <w:rPr>
          <w:rFonts w:ascii="Arial" w:cs="Arial" w:eastAsia="Arial" w:hAnsi="Arial"/>
          <w:sz w:val="16"/>
          <w:szCs w:val="16"/>
          <w:color w:val="auto"/>
        </w:rPr>
        <w:t>creating and delivering value for our customers and shareholders,</w:t>
      </w:r>
    </w:p>
    <w:p>
      <w:pPr>
        <w:spacing w:after="0" w:line="72" w:lineRule="exact"/>
        <w:rPr>
          <w:rFonts w:ascii="Arial" w:cs="Arial" w:eastAsia="Arial" w:hAnsi="Arial"/>
          <w:sz w:val="13"/>
          <w:szCs w:val="13"/>
          <w:color w:val="64A70B"/>
        </w:rPr>
      </w:pPr>
    </w:p>
    <w:p>
      <w:pPr>
        <w:ind w:left="180" w:hanging="150"/>
        <w:spacing w:after="0"/>
        <w:tabs>
          <w:tab w:leader="none" w:pos="180" w:val="left"/>
        </w:tabs>
        <w:numPr>
          <w:ilvl w:val="0"/>
          <w:numId w:val="16"/>
        </w:numPr>
        <w:rPr>
          <w:rFonts w:ascii="Arial" w:cs="Arial" w:eastAsia="Arial" w:hAnsi="Arial"/>
          <w:sz w:val="13"/>
          <w:szCs w:val="13"/>
          <w:color w:val="64A70B"/>
        </w:rPr>
      </w:pPr>
      <w:r>
        <w:rPr>
          <w:rFonts w:ascii="Arial" w:cs="Arial" w:eastAsia="Arial" w:hAnsi="Arial"/>
          <w:sz w:val="16"/>
          <w:szCs w:val="16"/>
          <w:color w:val="auto"/>
        </w:rPr>
        <w:t>maintaining strong corporate governance, and</w:t>
      </w:r>
    </w:p>
    <w:p>
      <w:pPr>
        <w:spacing w:after="0" w:line="72" w:lineRule="exact"/>
        <w:rPr>
          <w:rFonts w:ascii="Arial" w:cs="Arial" w:eastAsia="Arial" w:hAnsi="Arial"/>
          <w:sz w:val="13"/>
          <w:szCs w:val="13"/>
          <w:color w:val="64A70B"/>
        </w:rPr>
      </w:pPr>
    </w:p>
    <w:p>
      <w:pPr>
        <w:ind w:left="220" w:right="240" w:hanging="190"/>
        <w:spacing w:after="0" w:line="266" w:lineRule="auto"/>
        <w:tabs>
          <w:tab w:leader="none" w:pos="177" w:val="left"/>
        </w:tabs>
        <w:numPr>
          <w:ilvl w:val="0"/>
          <w:numId w:val="16"/>
        </w:numPr>
        <w:rPr>
          <w:rFonts w:ascii="Arial" w:cs="Arial" w:eastAsia="Arial" w:hAnsi="Arial"/>
          <w:sz w:val="13"/>
          <w:szCs w:val="13"/>
          <w:color w:val="64A70B"/>
        </w:rPr>
      </w:pPr>
      <w:r>
        <w:rPr>
          <w:rFonts w:ascii="Arial" w:cs="Arial" w:eastAsia="Arial" w:hAnsi="Arial"/>
          <w:sz w:val="16"/>
          <w:szCs w:val="16"/>
          <w:color w:val="auto"/>
        </w:rPr>
        <w:t>innovating on products and solutions to benefit people and the planet, including focusing on our sustainability efforts to drive resilient business operations.</w:t>
      </w:r>
    </w:p>
    <w:p>
      <w:pPr>
        <w:spacing w:after="0" w:line="416" w:lineRule="exact"/>
        <w:rPr>
          <w:sz w:val="20"/>
          <w:szCs w:val="20"/>
          <w:color w:val="auto"/>
        </w:rPr>
      </w:pPr>
    </w:p>
    <w:p>
      <w:pPr>
        <w:sectPr>
          <w:pgSz w:w="11900" w:h="16838" w:orient="portrait"/>
          <w:cols w:equalWidth="0" w:num="2">
            <w:col w:w="5380" w:space="440"/>
            <w:col w:w="5420"/>
          </w:cols>
          <w:pgMar w:left="320" w:top="314" w:right="339" w:bottom="1440" w:gutter="0" w:footer="0" w:header="0"/>
          <w:type w:val="continuous"/>
        </w:sectPr>
      </w:pPr>
    </w:p>
    <w:p>
      <w:pPr>
        <w:spacing w:after="0" w:line="10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Fall 2025 Shareholder Engagement Outreach Efforts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73"/>
        </w:trPr>
        <w:tc>
          <w:tcPr>
            <w:tcW w:w="5620" w:type="dxa"/>
            <w:vAlign w:val="bottom"/>
            <w:tcBorders>
              <w:top w:val="single" w:sz="8" w:color="012169"/>
            </w:tcBorders>
            <w:shd w:val="clear" w:color="auto" w:fill="E7EBF1"/>
          </w:tcPr>
          <w:p>
            <w:pPr>
              <w:jc w:val="center"/>
              <w:spacing w:after="0"/>
              <w:rPr>
                <w:sz w:val="20"/>
                <w:szCs w:val="20"/>
                <w:color w:val="auto"/>
              </w:rPr>
            </w:pPr>
            <w:r>
              <w:rPr>
                <w:rFonts w:ascii="Arial" w:cs="Arial" w:eastAsia="Arial" w:hAnsi="Arial"/>
                <w:sz w:val="18"/>
                <w:szCs w:val="18"/>
                <w:b w:val="1"/>
                <w:bCs w:val="1"/>
                <w:color w:val="0C3471"/>
              </w:rPr>
              <w:t>Meeting Requested:</w:t>
            </w:r>
          </w:p>
        </w:tc>
        <w:tc>
          <w:tcPr>
            <w:tcW w:w="5620" w:type="dxa"/>
            <w:vAlign w:val="bottom"/>
            <w:tcBorders>
              <w:top w:val="single" w:sz="8" w:color="E7EBF1"/>
            </w:tcBorders>
            <w:shd w:val="clear" w:color="auto" w:fill="E7EBF1"/>
          </w:tcPr>
          <w:p>
            <w:pPr>
              <w:jc w:val="center"/>
              <w:spacing w:after="0"/>
              <w:rPr>
                <w:sz w:val="20"/>
                <w:szCs w:val="20"/>
                <w:color w:val="auto"/>
              </w:rPr>
            </w:pPr>
            <w:r>
              <w:rPr>
                <w:rFonts w:ascii="Arial" w:cs="Arial" w:eastAsia="Arial" w:hAnsi="Arial"/>
                <w:sz w:val="18"/>
                <w:szCs w:val="18"/>
                <w:b w:val="1"/>
                <w:bCs w:val="1"/>
                <w:color w:val="0C3471"/>
                <w:w w:val="99"/>
              </w:rPr>
              <w:t>Engagement Meeting:</w:t>
            </w:r>
          </w:p>
        </w:tc>
      </w:tr>
      <w:tr>
        <w:trPr>
          <w:trHeight w:val="437"/>
        </w:trPr>
        <w:tc>
          <w:tcPr>
            <w:tcW w:w="5620" w:type="dxa"/>
            <w:vAlign w:val="bottom"/>
            <w:shd w:val="clear" w:color="auto" w:fill="E7EBF1"/>
          </w:tcPr>
          <w:p>
            <w:pPr>
              <w:jc w:val="center"/>
              <w:spacing w:after="0"/>
              <w:rPr>
                <w:sz w:val="20"/>
                <w:szCs w:val="20"/>
                <w:color w:val="auto"/>
              </w:rPr>
            </w:pPr>
            <w:r>
              <w:rPr>
                <w:rFonts w:ascii="Arial" w:cs="Arial" w:eastAsia="Arial" w:hAnsi="Arial"/>
                <w:sz w:val="36"/>
                <w:szCs w:val="36"/>
                <w:b w:val="1"/>
                <w:bCs w:val="1"/>
                <w:color w:val="0C3471"/>
                <w:w w:val="99"/>
              </w:rPr>
              <w:t>56.2%</w:t>
            </w:r>
          </w:p>
        </w:tc>
        <w:tc>
          <w:tcPr>
            <w:tcW w:w="5620" w:type="dxa"/>
            <w:vAlign w:val="bottom"/>
            <w:shd w:val="clear" w:color="auto" w:fill="E7EBF1"/>
          </w:tcPr>
          <w:p>
            <w:pPr>
              <w:jc w:val="center"/>
              <w:spacing w:after="0"/>
              <w:rPr>
                <w:sz w:val="20"/>
                <w:szCs w:val="20"/>
                <w:color w:val="auto"/>
              </w:rPr>
            </w:pPr>
            <w:r>
              <w:rPr>
                <w:rFonts w:ascii="Arial" w:cs="Arial" w:eastAsia="Arial" w:hAnsi="Arial"/>
                <w:sz w:val="36"/>
                <w:szCs w:val="36"/>
                <w:b w:val="1"/>
                <w:bCs w:val="1"/>
                <w:color w:val="0C3471"/>
                <w:w w:val="99"/>
              </w:rPr>
              <w:t>33.5%</w:t>
            </w:r>
          </w:p>
        </w:tc>
      </w:tr>
      <w:tr>
        <w:trPr>
          <w:trHeight w:val="247"/>
        </w:trPr>
        <w:tc>
          <w:tcPr>
            <w:tcW w:w="5620" w:type="dxa"/>
            <w:vAlign w:val="bottom"/>
            <w:shd w:val="clear" w:color="auto" w:fill="E7EBF1"/>
          </w:tcPr>
          <w:p>
            <w:pPr>
              <w:jc w:val="center"/>
              <w:spacing w:after="0"/>
              <w:rPr>
                <w:sz w:val="20"/>
                <w:szCs w:val="20"/>
                <w:color w:val="auto"/>
              </w:rPr>
            </w:pPr>
            <w:r>
              <w:rPr>
                <w:rFonts w:ascii="Arial" w:cs="Arial" w:eastAsia="Arial" w:hAnsi="Arial"/>
                <w:sz w:val="18"/>
                <w:szCs w:val="18"/>
                <w:b w:val="1"/>
                <w:bCs w:val="1"/>
                <w:color w:val="0C3471"/>
                <w:w w:val="99"/>
              </w:rPr>
              <w:t>of Outstanding Shares</w:t>
            </w:r>
          </w:p>
        </w:tc>
        <w:tc>
          <w:tcPr>
            <w:tcW w:w="5620" w:type="dxa"/>
            <w:vAlign w:val="bottom"/>
            <w:shd w:val="clear" w:color="auto" w:fill="E7EBF1"/>
          </w:tcPr>
          <w:p>
            <w:pPr>
              <w:jc w:val="center"/>
              <w:spacing w:after="0"/>
              <w:rPr>
                <w:sz w:val="20"/>
                <w:szCs w:val="20"/>
                <w:color w:val="auto"/>
              </w:rPr>
            </w:pPr>
            <w:r>
              <w:rPr>
                <w:rFonts w:ascii="Arial" w:cs="Arial" w:eastAsia="Arial" w:hAnsi="Arial"/>
                <w:sz w:val="18"/>
                <w:szCs w:val="18"/>
                <w:b w:val="1"/>
                <w:bCs w:val="1"/>
                <w:color w:val="0C3471"/>
              </w:rPr>
              <w:t>of Outstanding Shares</w:t>
            </w:r>
          </w:p>
        </w:tc>
      </w:tr>
      <w:tr>
        <w:trPr>
          <w:trHeight w:val="69"/>
        </w:trPr>
        <w:tc>
          <w:tcPr>
            <w:tcW w:w="5620" w:type="dxa"/>
            <w:vAlign w:val="bottom"/>
            <w:tcBorders>
              <w:bottom w:val="single" w:sz="8" w:color="012169"/>
            </w:tcBorders>
            <w:shd w:val="clear" w:color="auto" w:fill="E7EBF1"/>
          </w:tcPr>
          <w:p>
            <w:pPr>
              <w:spacing w:after="0"/>
              <w:rPr>
                <w:sz w:val="6"/>
                <w:szCs w:val="6"/>
                <w:color w:val="auto"/>
              </w:rPr>
            </w:pPr>
          </w:p>
        </w:tc>
        <w:tc>
          <w:tcPr>
            <w:tcW w:w="5620" w:type="dxa"/>
            <w:vAlign w:val="bottom"/>
            <w:tcBorders>
              <w:bottom w:val="single" w:sz="8" w:color="012169"/>
            </w:tcBorders>
            <w:shd w:val="clear" w:color="auto" w:fill="E7EBF1"/>
          </w:tcPr>
          <w:p>
            <w:pPr>
              <w:spacing w:after="0"/>
              <w:rPr>
                <w:sz w:val="6"/>
                <w:szCs w:val="6"/>
                <w:color w:val="auto"/>
              </w:rPr>
            </w:pPr>
          </w:p>
        </w:tc>
      </w:tr>
    </w:tbl>
    <w:p>
      <w:pPr>
        <w:spacing w:after="0" w:line="175" w:lineRule="exact"/>
        <w:rPr>
          <w:sz w:val="20"/>
          <w:szCs w:val="20"/>
          <w:color w:val="auto"/>
        </w:rPr>
      </w:pPr>
    </w:p>
    <w:p>
      <w:pPr>
        <w:ind w:right="120"/>
        <w:spacing w:after="0" w:line="257" w:lineRule="auto"/>
        <w:rPr>
          <w:sz w:val="20"/>
          <w:szCs w:val="20"/>
          <w:color w:val="auto"/>
        </w:rPr>
      </w:pPr>
      <w:r>
        <w:rPr>
          <w:rFonts w:ascii="Arial" w:cs="Arial" w:eastAsia="Arial" w:hAnsi="Arial"/>
          <w:sz w:val="16"/>
          <w:szCs w:val="16"/>
          <w:color w:val="auto"/>
        </w:rPr>
        <w:t>The Board values the input of our shareholders and makes changes to our corporate governance, executive compensation and other practices that are in the best interests of our company and all shareholders based on shareholder engagement. In response to shareholder engagement during 2025, the Board took the following actions:</w:t>
      </w:r>
    </w:p>
    <w:p>
      <w:pPr>
        <w:spacing w:after="0" w:line="70" w:lineRule="exact"/>
        <w:rPr>
          <w:sz w:val="20"/>
          <w:szCs w:val="20"/>
          <w:color w:val="auto"/>
        </w:rPr>
      </w:pPr>
    </w:p>
    <w:p>
      <w:pPr>
        <w:ind w:left="360" w:hanging="158"/>
        <w:spacing w:after="0"/>
        <w:tabs>
          <w:tab w:leader="none" w:pos="360" w:val="left"/>
        </w:tabs>
        <w:numPr>
          <w:ilvl w:val="0"/>
          <w:numId w:val="17"/>
        </w:numPr>
        <w:rPr>
          <w:rFonts w:ascii="Arial" w:cs="Arial" w:eastAsia="Arial" w:hAnsi="Arial"/>
          <w:sz w:val="13"/>
          <w:szCs w:val="13"/>
          <w:color w:val="64A70B"/>
        </w:rPr>
      </w:pPr>
      <w:r>
        <w:rPr>
          <w:rFonts w:ascii="Arial" w:cs="Arial" w:eastAsia="Arial" w:hAnsi="Arial"/>
          <w:sz w:val="16"/>
          <w:szCs w:val="16"/>
          <w:color w:val="auto"/>
        </w:rPr>
        <w:t>Provided additional disclosure about the Board’s oversight of emerging risks, including Artificial Intelligence (AI) (see page 23 for more information)</w:t>
      </w:r>
    </w:p>
    <w:p>
      <w:pPr>
        <w:spacing w:after="0" w:line="72" w:lineRule="exact"/>
        <w:rPr>
          <w:rFonts w:ascii="Arial" w:cs="Arial" w:eastAsia="Arial" w:hAnsi="Arial"/>
          <w:sz w:val="13"/>
          <w:szCs w:val="13"/>
          <w:color w:val="64A70B"/>
        </w:rPr>
      </w:pPr>
    </w:p>
    <w:p>
      <w:pPr>
        <w:ind w:left="360" w:hanging="158"/>
        <w:spacing w:after="0"/>
        <w:tabs>
          <w:tab w:leader="none" w:pos="360" w:val="left"/>
        </w:tabs>
        <w:numPr>
          <w:ilvl w:val="0"/>
          <w:numId w:val="17"/>
        </w:numPr>
        <w:rPr>
          <w:rFonts w:ascii="Arial" w:cs="Arial" w:eastAsia="Arial" w:hAnsi="Arial"/>
          <w:sz w:val="13"/>
          <w:szCs w:val="13"/>
          <w:color w:val="64A70B"/>
        </w:rPr>
      </w:pPr>
      <w:r>
        <w:rPr>
          <w:rFonts w:ascii="Arial" w:cs="Arial" w:eastAsia="Arial" w:hAnsi="Arial"/>
          <w:sz w:val="16"/>
          <w:szCs w:val="16"/>
          <w:color w:val="auto"/>
        </w:rPr>
        <w:t>Added a director skills matrix (see page 11 for more information)</w:t>
      </w:r>
    </w:p>
    <w:p>
      <w:pPr>
        <w:spacing w:after="0" w:line="72" w:lineRule="exact"/>
        <w:rPr>
          <w:rFonts w:ascii="Arial" w:cs="Arial" w:eastAsia="Arial" w:hAnsi="Arial"/>
          <w:sz w:val="13"/>
          <w:szCs w:val="13"/>
          <w:color w:val="64A70B"/>
        </w:rPr>
      </w:pPr>
    </w:p>
    <w:p>
      <w:pPr>
        <w:ind w:left="400" w:right="160" w:hanging="198"/>
        <w:spacing w:after="0" w:line="286" w:lineRule="auto"/>
        <w:tabs>
          <w:tab w:leader="none" w:pos="357" w:val="left"/>
        </w:tabs>
        <w:numPr>
          <w:ilvl w:val="0"/>
          <w:numId w:val="17"/>
        </w:numPr>
        <w:rPr>
          <w:rFonts w:ascii="Arial" w:cs="Arial" w:eastAsia="Arial" w:hAnsi="Arial"/>
          <w:sz w:val="13"/>
          <w:szCs w:val="13"/>
          <w:color w:val="64A70B"/>
        </w:rPr>
      </w:pPr>
      <w:r>
        <w:rPr>
          <w:rFonts w:ascii="Arial" w:cs="Arial" w:eastAsia="Arial" w:hAnsi="Arial"/>
          <w:sz w:val="16"/>
          <w:szCs w:val="16"/>
          <w:color w:val="auto"/>
        </w:rPr>
        <w:t>Expanded our Clawback Policy to include cancellation or recoupment of time-vesting and performance-vesting equity awards in certain circumstances (see page 54 for more information)</w:t>
      </w:r>
    </w:p>
    <w:p>
      <w:pPr>
        <w:spacing w:after="0" w:line="7" w:lineRule="exact"/>
        <w:rPr>
          <w:rFonts w:ascii="Arial" w:cs="Arial" w:eastAsia="Arial" w:hAnsi="Arial"/>
          <w:sz w:val="13"/>
          <w:szCs w:val="13"/>
          <w:color w:val="64A70B"/>
        </w:rPr>
      </w:pPr>
    </w:p>
    <w:p>
      <w:pPr>
        <w:ind w:left="360" w:hanging="158"/>
        <w:spacing w:after="0"/>
        <w:tabs>
          <w:tab w:leader="none" w:pos="360" w:val="left"/>
        </w:tabs>
        <w:numPr>
          <w:ilvl w:val="0"/>
          <w:numId w:val="17"/>
        </w:numPr>
        <w:rPr>
          <w:rFonts w:ascii="Arial" w:cs="Arial" w:eastAsia="Arial" w:hAnsi="Arial"/>
          <w:sz w:val="13"/>
          <w:szCs w:val="13"/>
          <w:color w:val="64A70B"/>
        </w:rPr>
      </w:pPr>
      <w:r>
        <w:rPr>
          <w:rFonts w:ascii="Arial" w:cs="Arial" w:eastAsia="Arial" w:hAnsi="Arial"/>
          <w:sz w:val="16"/>
          <w:szCs w:val="16"/>
          <w:color w:val="auto"/>
        </w:rPr>
        <w:t>Provided additional disclosure addressing the sustainability modifier to our MIP (see page 48 for more information)</w:t>
      </w:r>
    </w:p>
    <w:p>
      <w:pPr>
        <w:spacing w:after="0" w:line="157"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Say-on-Pay</w:t>
      </w:r>
    </w:p>
    <w:p>
      <w:pPr>
        <w:spacing w:after="0" w:line="74" w:lineRule="exact"/>
        <w:rPr>
          <w:sz w:val="20"/>
          <w:szCs w:val="20"/>
          <w:color w:val="auto"/>
        </w:rPr>
      </w:pPr>
    </w:p>
    <w:p>
      <w:pPr>
        <w:ind w:right="80"/>
        <w:spacing w:after="0" w:line="249" w:lineRule="auto"/>
        <w:rPr>
          <w:sz w:val="20"/>
          <w:szCs w:val="20"/>
          <w:color w:val="auto"/>
        </w:rPr>
      </w:pPr>
      <w:r>
        <w:rPr>
          <w:rFonts w:ascii="Arial" w:cs="Arial" w:eastAsia="Arial" w:hAnsi="Arial"/>
          <w:sz w:val="16"/>
          <w:szCs w:val="16"/>
          <w:color w:val="auto"/>
        </w:rPr>
        <w:t>Shareholder support of our executive compensation program was reflected in our 2025 say-on-pay vote with 83.6% of votes cast in favor of our proposal. In 2025, the Compensation Committee maintained the majority of changes adopted over the last several years, which reflected the Committee’s focus on pay for performance, shareholder feedback, and industry and market practices. While overall shareholder support for our executive compensation program expressed through our 2025 say-on-pay vote remained positive last year, in response to a year-over-year change in the level of support, the Compensation Committee requested that we engage with shareholders we identified as having failed to support our say-on-pay vote and to consider whether any responsive actions were advisable based on their input. As a result of the targeted engagement, the Compensation Committee reviewed our Clawback Policy and determined it was advisable to expand the policy beyond what is required under SEC rules and NYSE listing standards to cover time-vesting as well as performance-vesting awards (see page 54 for more information). Additionally, we have added disclosure addressing the sustainability modifier to our MIP (see page 48 for more information).</w:t>
      </w:r>
    </w:p>
    <w:p>
      <w:pPr>
        <w:spacing w:after="0" w:line="100" w:lineRule="exact"/>
        <w:rPr>
          <w:sz w:val="20"/>
          <w:szCs w:val="20"/>
          <w:color w:val="auto"/>
        </w:rPr>
      </w:pPr>
    </w:p>
    <w:p>
      <w:pPr>
        <w:ind w:left="20"/>
        <w:spacing w:after="0"/>
        <w:rPr>
          <w:sz w:val="20"/>
          <w:szCs w:val="20"/>
          <w:color w:val="auto"/>
        </w:rPr>
      </w:pPr>
      <w:r>
        <w:rPr>
          <w:rFonts w:ascii="Arial" w:cs="Arial" w:eastAsia="Arial" w:hAnsi="Arial"/>
          <w:sz w:val="29"/>
          <w:szCs w:val="29"/>
          <w:color w:val="64A70B"/>
        </w:rPr>
        <w:t>Communicating with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2" w:lineRule="exact"/>
        <w:rPr>
          <w:sz w:val="20"/>
          <w:szCs w:val="20"/>
          <w:color w:val="auto"/>
        </w:rPr>
      </w:pPr>
    </w:p>
    <w:p>
      <w:pPr>
        <w:spacing w:after="0" w:line="257" w:lineRule="auto"/>
        <w:rPr>
          <w:sz w:val="20"/>
          <w:szCs w:val="20"/>
          <w:color w:val="auto"/>
        </w:rPr>
      </w:pPr>
      <w:r>
        <w:rPr>
          <w:rFonts w:ascii="Arial" w:cs="Arial" w:eastAsia="Arial" w:hAnsi="Arial"/>
          <w:sz w:val="16"/>
          <w:szCs w:val="16"/>
          <w:color w:val="auto"/>
        </w:rPr>
        <w:t>Interested parties may communicate with the Board, non-employee directors as a group, or any individual director, including the Chair, by sending a letter addressed to the relevant party, c/o Corporate Secretary, Pentair plc, Regal House, 70 London Road, Twickenham, London, TW1 3QS, United Kingdom. Any such communications will be forwarded to the relevant addressee(s).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600" w:hanging="574"/>
        <w:spacing w:after="0"/>
        <w:tabs>
          <w:tab w:leader="none" w:pos="600" w:val="left"/>
        </w:tabs>
        <w:numPr>
          <w:ilvl w:val="0"/>
          <w:numId w:val="18"/>
        </w:numPr>
        <w:rPr>
          <w:rFonts w:ascii="Arial" w:cs="Arial" w:eastAsia="Arial" w:hAnsi="Arial"/>
          <w:sz w:val="16"/>
          <w:szCs w:val="16"/>
          <w:b w:val="1"/>
          <w:bCs w:val="1"/>
          <w:color w:val="auto"/>
        </w:rPr>
      </w:pPr>
      <w:r>
        <w:rPr>
          <w:rFonts w:ascii="Arial" w:cs="Arial" w:eastAsia="Arial" w:hAnsi="Arial"/>
          <w:sz w:val="16"/>
          <w:szCs w:val="16"/>
          <w:color w:val="auto"/>
        </w:rPr>
        <w:t xml:space="preserve">Pentair </w:t>
      </w:r>
      <w:r>
        <w:rPr>
          <w:rFonts w:ascii="Arial" w:cs="Arial" w:eastAsia="Arial" w:hAnsi="Arial"/>
          <w:sz w:val="16"/>
          <w:szCs w:val="16"/>
          <w:b w:val="1"/>
          <w:bCs w:val="1"/>
          <w:color w:val="0C3471"/>
        </w:rPr>
        <w:t>|</w:t>
      </w:r>
      <w:r>
        <w:rPr>
          <w:rFonts w:ascii="Arial" w:cs="Arial" w:eastAsia="Arial" w:hAnsi="Arial"/>
          <w:sz w:val="16"/>
          <w:szCs w:val="16"/>
          <w:color w:val="auto"/>
        </w:rPr>
        <w:t xml:space="preserve"> </w:t>
      </w:r>
      <w:r>
        <w:rPr>
          <w:rFonts w:ascii="Arial" w:cs="Arial" w:eastAsia="Arial" w:hAnsi="Arial"/>
          <w:sz w:val="16"/>
          <w:szCs w:val="16"/>
          <w:b w:val="1"/>
          <w:bCs w:val="1"/>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213995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4" w:right="339" w:bottom="1440" w:gutter="0" w:footer="0" w:header="0"/>
          <w:type w:val="continuous"/>
        </w:sectPr>
      </w:pPr>
    </w:p>
    <w:bookmarkStart w:id="10" w:name="page11"/>
    <w:bookmarkEnd w:id="10"/>
    <w:p>
      <w:pPr>
        <w:spacing w:after="0" w:line="18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860425</wp:posOffset>
            </wp:positionV>
            <wp:extent cx="7132320" cy="403733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4037330"/>
                    </a:xfrm>
                    <a:prstGeom prst="rect">
                      <a:avLst/>
                    </a:prstGeom>
                    <a:noFill/>
                  </pic:spPr>
                </pic:pic>
              </a:graphicData>
            </a:graphic>
          </wp:anchor>
        </w:drawing>
      </w:r>
    </w:p>
    <w:p>
      <w:pPr>
        <w:ind w:left="360"/>
        <w:spacing w:after="0"/>
        <w:rPr>
          <w:sz w:val="20"/>
          <w:szCs w:val="20"/>
          <w:color w:val="auto"/>
        </w:rPr>
      </w:pPr>
      <w:r>
        <w:rPr>
          <w:rFonts w:ascii="Arial" w:cs="Arial" w:eastAsia="Arial" w:hAnsi="Arial"/>
          <w:sz w:val="25"/>
          <w:szCs w:val="25"/>
          <w:b w:val="1"/>
          <w:bCs w:val="1"/>
          <w:color w:val="auto"/>
        </w:rPr>
        <w:t>PROPOSAL 1</w:t>
      </w:r>
    </w:p>
    <w:p>
      <w:pPr>
        <w:spacing w:after="0" w:line="86" w:lineRule="exact"/>
        <w:rPr>
          <w:sz w:val="20"/>
          <w:szCs w:val="20"/>
          <w:color w:val="auto"/>
        </w:rPr>
      </w:pPr>
    </w:p>
    <w:p>
      <w:pPr>
        <w:ind w:left="360"/>
        <w:spacing w:after="0"/>
        <w:rPr>
          <w:sz w:val="20"/>
          <w:szCs w:val="20"/>
          <w:color w:val="auto"/>
        </w:rPr>
      </w:pPr>
      <w:r>
        <w:rPr>
          <w:rFonts w:ascii="Arial" w:cs="Arial" w:eastAsia="Arial" w:hAnsi="Arial"/>
          <w:sz w:val="37"/>
          <w:szCs w:val="37"/>
          <w:color w:val="0C3471"/>
        </w:rPr>
        <w:t>Re-Elect Director Nominees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460"/>
        <w:spacing w:after="0" w:line="286" w:lineRule="auto"/>
        <w:rPr>
          <w:sz w:val="20"/>
          <w:szCs w:val="20"/>
          <w:color w:val="auto"/>
        </w:rPr>
      </w:pPr>
      <w:r>
        <w:rPr>
          <w:rFonts w:ascii="Arial" w:cs="Arial" w:eastAsia="Arial" w:hAnsi="Arial"/>
          <w:sz w:val="13"/>
          <w:szCs w:val="13"/>
          <w:color w:val="auto"/>
        </w:rPr>
        <w:t xml:space="preserve">The Board recommends a vote </w:t>
      </w:r>
      <w:r>
        <w:rPr>
          <w:rFonts w:ascii="Arial" w:cs="Arial" w:eastAsia="Arial" w:hAnsi="Arial"/>
          <w:sz w:val="13"/>
          <w:szCs w:val="13"/>
          <w:b w:val="1"/>
          <w:bCs w:val="1"/>
          <w:color w:val="0C3471"/>
        </w:rPr>
        <w:t>FOR</w:t>
      </w:r>
      <w:r>
        <w:rPr>
          <w:rFonts w:ascii="Arial" w:cs="Arial" w:eastAsia="Arial" w:hAnsi="Arial"/>
          <w:sz w:val="13"/>
          <w:szCs w:val="13"/>
          <w:color w:val="auto"/>
        </w:rPr>
        <w:t xml:space="preserve"> each director nominee.</w:t>
      </w:r>
    </w:p>
    <w:p>
      <w:pPr>
        <w:spacing w:after="0" w:line="204" w:lineRule="exact"/>
        <w:rPr>
          <w:sz w:val="20"/>
          <w:szCs w:val="20"/>
          <w:color w:val="auto"/>
        </w:rPr>
      </w:pPr>
    </w:p>
    <w:p>
      <w:pPr>
        <w:sectPr>
          <w:pgSz w:w="11900" w:h="16838" w:orient="portrait"/>
          <w:cols w:equalWidth="0" w:num="2">
            <w:col w:w="7280" w:space="720"/>
            <w:col w:w="3240"/>
          </w:cols>
          <w:pgMar w:left="320" w:top="1440" w:right="339" w:bottom="1440" w:gutter="0" w:footer="0" w:header="0"/>
        </w:sectPr>
      </w:pPr>
    </w:p>
    <w:p>
      <w:pPr>
        <w:spacing w:after="0" w:line="78" w:lineRule="exact"/>
        <w:rPr>
          <w:sz w:val="20"/>
          <w:szCs w:val="20"/>
          <w:color w:val="auto"/>
        </w:rPr>
      </w:pPr>
    </w:p>
    <w:p>
      <w:pPr>
        <w:ind w:left="360" w:right="700"/>
        <w:spacing w:after="0" w:line="321" w:lineRule="auto"/>
        <w:rPr>
          <w:sz w:val="20"/>
          <w:szCs w:val="20"/>
          <w:color w:val="auto"/>
        </w:rPr>
      </w:pPr>
      <w:r>
        <w:rPr>
          <w:rFonts w:ascii="Arial" w:cs="Arial" w:eastAsia="Arial" w:hAnsi="Arial"/>
          <w:sz w:val="16"/>
          <w:szCs w:val="16"/>
          <w:color w:val="auto"/>
        </w:rPr>
        <w:t>Our Board currently has ten members. The size of our Board is limited to no fewer than seven and no more than eleven members. The term of David A. Jones, a current Director, will expire at the Annual General Meeting.</w:t>
      </w:r>
    </w:p>
    <w:p>
      <w:pPr>
        <w:spacing w:after="0" w:line="34" w:lineRule="exact"/>
        <w:rPr>
          <w:sz w:val="20"/>
          <w:szCs w:val="20"/>
          <w:color w:val="auto"/>
        </w:rPr>
      </w:pPr>
    </w:p>
    <w:p>
      <w:pPr>
        <w:ind w:left="360" w:right="420"/>
        <w:spacing w:after="0" w:line="287" w:lineRule="auto"/>
        <w:rPr>
          <w:sz w:val="20"/>
          <w:szCs w:val="20"/>
          <w:color w:val="auto"/>
        </w:rPr>
      </w:pPr>
      <w:r>
        <w:rPr>
          <w:rFonts w:ascii="Arial" w:cs="Arial" w:eastAsia="Arial" w:hAnsi="Arial"/>
          <w:sz w:val="16"/>
          <w:szCs w:val="16"/>
          <w:color w:val="auto"/>
        </w:rPr>
        <w:t>Accordingly, the Board has set the number of directors that will constitute the Board effective at the Annual General Meeting at nine. On the recommendation of the Governance Committee, our Board has nominated the nine director nominees named in the resolutions below, all of whom are current directors, for re-election for a one-year term expiring on completion of the 2027 Annual General Meeting. If any of the director nominees should become unable to accept election, your proxy or proxies may vote for other persons selected by the Board. Management has no reason to believe that any of the director nominees named below will be unable to serve his or her full term if elected.</w:t>
      </w:r>
    </w:p>
    <w:p>
      <w:pPr>
        <w:spacing w:after="0" w:line="61" w:lineRule="exact"/>
        <w:rPr>
          <w:sz w:val="20"/>
          <w:szCs w:val="20"/>
          <w:color w:val="auto"/>
        </w:rPr>
      </w:pPr>
    </w:p>
    <w:p>
      <w:pPr>
        <w:ind w:left="360" w:right="660"/>
        <w:spacing w:after="0" w:line="292" w:lineRule="auto"/>
        <w:rPr>
          <w:sz w:val="20"/>
          <w:szCs w:val="20"/>
          <w:color w:val="auto"/>
        </w:rPr>
      </w:pPr>
      <w:r>
        <w:rPr>
          <w:rFonts w:ascii="Arial" w:cs="Arial" w:eastAsia="Arial" w:hAnsi="Arial"/>
          <w:sz w:val="16"/>
          <w:szCs w:val="16"/>
          <w:color w:val="auto"/>
        </w:rPr>
        <w:t>Biographies of the director nominees follow. These biographies include each director’s age (as of the date of the filing of this Proxy Statement); business experience; directorships in public companies and other organizations within the past five years; and a discussion of the specific experience, qualifications, attributes or skills that led to the conclusion that each should serve as a director.</w:t>
      </w:r>
    </w:p>
    <w:p>
      <w:pPr>
        <w:spacing w:after="0" w:line="7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text of the resolutions with respect to Proposal 1 is as follows:</w:t>
      </w:r>
    </w:p>
    <w:p>
      <w:pPr>
        <w:spacing w:after="0" w:line="200" w:lineRule="exact"/>
        <w:rPr>
          <w:sz w:val="20"/>
          <w:szCs w:val="20"/>
          <w:color w:val="auto"/>
        </w:rPr>
      </w:pPr>
    </w:p>
    <w:p>
      <w:pPr>
        <w:spacing w:after="0" w:line="210" w:lineRule="exact"/>
        <w:rPr>
          <w:sz w:val="20"/>
          <w:szCs w:val="20"/>
          <w:color w:val="auto"/>
        </w:rPr>
      </w:pPr>
    </w:p>
    <w:p>
      <w:pPr>
        <w:ind w:left="360" w:right="600"/>
        <w:spacing w:after="0" w:line="321" w:lineRule="auto"/>
        <w:rPr>
          <w:sz w:val="20"/>
          <w:szCs w:val="20"/>
          <w:color w:val="auto"/>
        </w:rPr>
      </w:pPr>
      <w:r>
        <w:rPr>
          <w:rFonts w:ascii="Arial" w:cs="Arial" w:eastAsia="Arial" w:hAnsi="Arial"/>
          <w:sz w:val="16"/>
          <w:szCs w:val="16"/>
          <w:color w:val="auto"/>
        </w:rPr>
        <w:t>“IT IS RESOLVED, by separate resolutions to re-elect the following nine director nominees for a term expiring on completion of the 2027 Annual General Meeting:</w:t>
      </w:r>
    </w:p>
    <w:p>
      <w:pPr>
        <w:spacing w:after="0" w:line="196" w:lineRule="exact"/>
        <w:rPr>
          <w:sz w:val="20"/>
          <w:szCs w:val="20"/>
          <w:color w:val="auto"/>
        </w:rPr>
      </w:pPr>
    </w:p>
    <w:tbl>
      <w:tblPr>
        <w:tblLayout w:type="fixed"/>
        <w:tblInd w:w="340" w:type="dxa"/>
        <w:tblCellMar>
          <w:top w:w="0" w:type="dxa"/>
          <w:left w:w="0" w:type="dxa"/>
          <w:bottom w:w="0" w:type="dxa"/>
          <w:right w:w="0" w:type="dxa"/>
        </w:tblCellMar>
      </w:tblPr>
      <w:tr>
        <w:trPr>
          <w:trHeight w:val="215"/>
        </w:trPr>
        <w:tc>
          <w:tcPr>
            <w:tcW w:w="260" w:type="dxa"/>
            <w:vAlign w:val="bottom"/>
          </w:tcPr>
          <w:p>
            <w:pPr>
              <w:ind w:left="160"/>
              <w:spacing w:after="0"/>
              <w:rPr>
                <w:sz w:val="20"/>
                <w:szCs w:val="20"/>
                <w:color w:val="auto"/>
              </w:rPr>
            </w:pPr>
            <w:r>
              <w:rPr>
                <w:rFonts w:ascii="Arial" w:cs="Arial" w:eastAsia="Arial" w:hAnsi="Arial"/>
                <w:sz w:val="13"/>
                <w:szCs w:val="13"/>
                <w:color w:val="64A70B"/>
              </w:rPr>
              <w:t>u</w:t>
            </w:r>
          </w:p>
        </w:tc>
        <w:tc>
          <w:tcPr>
            <w:tcW w:w="2700" w:type="dxa"/>
            <w:vAlign w:val="bottom"/>
          </w:tcPr>
          <w:p>
            <w:pPr>
              <w:ind w:left="40"/>
              <w:spacing w:after="0"/>
              <w:rPr>
                <w:sz w:val="20"/>
                <w:szCs w:val="20"/>
                <w:color w:val="auto"/>
              </w:rPr>
            </w:pPr>
            <w:r>
              <w:rPr>
                <w:rFonts w:ascii="Arial" w:cs="Arial" w:eastAsia="Arial" w:hAnsi="Arial"/>
                <w:sz w:val="16"/>
                <w:szCs w:val="16"/>
                <w:color w:val="auto"/>
              </w:rPr>
              <w:t>Mona Abutaleb Stephenson</w:t>
            </w:r>
          </w:p>
        </w:tc>
        <w:tc>
          <w:tcPr>
            <w:tcW w:w="760" w:type="dxa"/>
            <w:vAlign w:val="bottom"/>
          </w:tcPr>
          <w:p>
            <w:pPr>
              <w:ind w:left="640"/>
              <w:spacing w:after="0"/>
              <w:rPr>
                <w:sz w:val="20"/>
                <w:szCs w:val="20"/>
                <w:color w:val="auto"/>
              </w:rPr>
            </w:pPr>
            <w:r>
              <w:rPr>
                <w:rFonts w:ascii="Arial" w:cs="Arial" w:eastAsia="Arial" w:hAnsi="Arial"/>
                <w:sz w:val="13"/>
                <w:szCs w:val="13"/>
                <w:color w:val="64A70B"/>
              </w:rPr>
              <w:t>u</w:t>
            </w:r>
          </w:p>
        </w:tc>
        <w:tc>
          <w:tcPr>
            <w:tcW w:w="2380" w:type="dxa"/>
            <w:vAlign w:val="bottom"/>
          </w:tcPr>
          <w:p>
            <w:pPr>
              <w:ind w:left="40"/>
              <w:spacing w:after="0"/>
              <w:rPr>
                <w:sz w:val="20"/>
                <w:szCs w:val="20"/>
                <w:color w:val="auto"/>
              </w:rPr>
            </w:pPr>
            <w:r>
              <w:rPr>
                <w:rFonts w:ascii="Arial" w:cs="Arial" w:eastAsia="Arial" w:hAnsi="Arial"/>
                <w:sz w:val="16"/>
                <w:szCs w:val="16"/>
                <w:color w:val="auto"/>
              </w:rPr>
              <w:t>T. Michael Glenn</w:t>
            </w:r>
          </w:p>
        </w:tc>
        <w:tc>
          <w:tcPr>
            <w:tcW w:w="1080" w:type="dxa"/>
            <w:vAlign w:val="bottom"/>
          </w:tcPr>
          <w:p>
            <w:pPr>
              <w:ind w:left="980"/>
              <w:spacing w:after="0"/>
              <w:rPr>
                <w:sz w:val="20"/>
                <w:szCs w:val="20"/>
                <w:color w:val="auto"/>
              </w:rPr>
            </w:pPr>
            <w:r>
              <w:rPr>
                <w:rFonts w:ascii="Arial" w:cs="Arial" w:eastAsia="Arial" w:hAnsi="Arial"/>
                <w:sz w:val="13"/>
                <w:szCs w:val="13"/>
                <w:color w:val="64A70B"/>
              </w:rPr>
              <w:t>u</w:t>
            </w:r>
          </w:p>
        </w:tc>
        <w:tc>
          <w:tcPr>
            <w:tcW w:w="3360" w:type="dxa"/>
            <w:vAlign w:val="bottom"/>
          </w:tcPr>
          <w:p>
            <w:pPr>
              <w:ind w:left="40"/>
              <w:spacing w:after="0"/>
              <w:rPr>
                <w:sz w:val="20"/>
                <w:szCs w:val="20"/>
                <w:color w:val="auto"/>
              </w:rPr>
            </w:pPr>
            <w:r>
              <w:rPr>
                <w:rFonts w:ascii="Arial" w:cs="Arial" w:eastAsia="Arial" w:hAnsi="Arial"/>
                <w:sz w:val="16"/>
                <w:szCs w:val="16"/>
                <w:color w:val="auto"/>
              </w:rPr>
              <w:t>Michael T. Speetzen</w:t>
            </w:r>
          </w:p>
        </w:tc>
      </w:tr>
      <w:tr>
        <w:trPr>
          <w:trHeight w:val="284"/>
        </w:trPr>
        <w:tc>
          <w:tcPr>
            <w:tcW w:w="260" w:type="dxa"/>
            <w:vAlign w:val="bottom"/>
          </w:tcPr>
          <w:p>
            <w:pPr>
              <w:ind w:left="160"/>
              <w:spacing w:after="0"/>
              <w:rPr>
                <w:sz w:val="20"/>
                <w:szCs w:val="20"/>
                <w:color w:val="auto"/>
              </w:rPr>
            </w:pPr>
            <w:r>
              <w:rPr>
                <w:rFonts w:ascii="Arial" w:cs="Arial" w:eastAsia="Arial" w:hAnsi="Arial"/>
                <w:sz w:val="13"/>
                <w:szCs w:val="13"/>
                <w:color w:val="64A70B"/>
              </w:rPr>
              <w:t>u</w:t>
            </w:r>
          </w:p>
        </w:tc>
        <w:tc>
          <w:tcPr>
            <w:tcW w:w="2700" w:type="dxa"/>
            <w:vAlign w:val="bottom"/>
          </w:tcPr>
          <w:p>
            <w:pPr>
              <w:ind w:left="40"/>
              <w:spacing w:after="0"/>
              <w:rPr>
                <w:sz w:val="20"/>
                <w:szCs w:val="20"/>
                <w:color w:val="auto"/>
              </w:rPr>
            </w:pPr>
            <w:r>
              <w:rPr>
                <w:rFonts w:ascii="Arial" w:cs="Arial" w:eastAsia="Arial" w:hAnsi="Arial"/>
                <w:sz w:val="16"/>
                <w:szCs w:val="16"/>
                <w:color w:val="auto"/>
              </w:rPr>
              <w:t>Melissa Barra</w:t>
            </w:r>
          </w:p>
        </w:tc>
        <w:tc>
          <w:tcPr>
            <w:tcW w:w="760" w:type="dxa"/>
            <w:vAlign w:val="bottom"/>
          </w:tcPr>
          <w:p>
            <w:pPr>
              <w:ind w:left="640"/>
              <w:spacing w:after="0"/>
              <w:rPr>
                <w:sz w:val="20"/>
                <w:szCs w:val="20"/>
                <w:color w:val="auto"/>
              </w:rPr>
            </w:pPr>
            <w:r>
              <w:rPr>
                <w:rFonts w:ascii="Arial" w:cs="Arial" w:eastAsia="Arial" w:hAnsi="Arial"/>
                <w:sz w:val="13"/>
                <w:szCs w:val="13"/>
                <w:color w:val="64A70B"/>
              </w:rPr>
              <w:t>u</w:t>
            </w:r>
          </w:p>
        </w:tc>
        <w:tc>
          <w:tcPr>
            <w:tcW w:w="2380" w:type="dxa"/>
            <w:vAlign w:val="bottom"/>
          </w:tcPr>
          <w:p>
            <w:pPr>
              <w:ind w:left="40"/>
              <w:spacing w:after="0"/>
              <w:rPr>
                <w:sz w:val="20"/>
                <w:szCs w:val="20"/>
                <w:color w:val="auto"/>
              </w:rPr>
            </w:pPr>
            <w:r>
              <w:rPr>
                <w:rFonts w:ascii="Arial" w:cs="Arial" w:eastAsia="Arial" w:hAnsi="Arial"/>
                <w:sz w:val="16"/>
                <w:szCs w:val="16"/>
                <w:color w:val="auto"/>
              </w:rPr>
              <w:t>Theodore L. Harris</w:t>
            </w:r>
          </w:p>
        </w:tc>
        <w:tc>
          <w:tcPr>
            <w:tcW w:w="1080" w:type="dxa"/>
            <w:vAlign w:val="bottom"/>
          </w:tcPr>
          <w:p>
            <w:pPr>
              <w:ind w:left="980"/>
              <w:spacing w:after="0"/>
              <w:rPr>
                <w:sz w:val="20"/>
                <w:szCs w:val="20"/>
                <w:color w:val="auto"/>
              </w:rPr>
            </w:pPr>
            <w:r>
              <w:rPr>
                <w:rFonts w:ascii="Arial" w:cs="Arial" w:eastAsia="Arial" w:hAnsi="Arial"/>
                <w:sz w:val="13"/>
                <w:szCs w:val="13"/>
                <w:color w:val="64A70B"/>
              </w:rPr>
              <w:t>u</w:t>
            </w:r>
          </w:p>
        </w:tc>
        <w:tc>
          <w:tcPr>
            <w:tcW w:w="3360" w:type="dxa"/>
            <w:vAlign w:val="bottom"/>
          </w:tcPr>
          <w:p>
            <w:pPr>
              <w:ind w:left="40"/>
              <w:spacing w:after="0"/>
              <w:rPr>
                <w:sz w:val="20"/>
                <w:szCs w:val="20"/>
                <w:color w:val="auto"/>
              </w:rPr>
            </w:pPr>
            <w:r>
              <w:rPr>
                <w:rFonts w:ascii="Arial" w:cs="Arial" w:eastAsia="Arial" w:hAnsi="Arial"/>
                <w:sz w:val="16"/>
                <w:szCs w:val="16"/>
                <w:color w:val="auto"/>
              </w:rPr>
              <w:t>John L. Stauch</w:t>
            </w:r>
          </w:p>
        </w:tc>
      </w:tr>
      <w:tr>
        <w:trPr>
          <w:trHeight w:val="324"/>
        </w:trPr>
        <w:tc>
          <w:tcPr>
            <w:tcW w:w="260" w:type="dxa"/>
            <w:vAlign w:val="bottom"/>
          </w:tcPr>
          <w:p>
            <w:pPr>
              <w:ind w:left="160"/>
              <w:spacing w:after="0"/>
              <w:rPr>
                <w:sz w:val="20"/>
                <w:szCs w:val="20"/>
                <w:color w:val="auto"/>
              </w:rPr>
            </w:pPr>
            <w:r>
              <w:rPr>
                <w:rFonts w:ascii="Arial" w:cs="Arial" w:eastAsia="Arial" w:hAnsi="Arial"/>
                <w:sz w:val="13"/>
                <w:szCs w:val="13"/>
                <w:color w:val="64A70B"/>
              </w:rPr>
              <w:t>u</w:t>
            </w:r>
          </w:p>
        </w:tc>
        <w:tc>
          <w:tcPr>
            <w:tcW w:w="2700" w:type="dxa"/>
            <w:vAlign w:val="bottom"/>
          </w:tcPr>
          <w:p>
            <w:pPr>
              <w:ind w:left="40"/>
              <w:spacing w:after="0"/>
              <w:rPr>
                <w:sz w:val="20"/>
                <w:szCs w:val="20"/>
                <w:color w:val="auto"/>
              </w:rPr>
            </w:pPr>
            <w:r>
              <w:rPr>
                <w:rFonts w:ascii="Arial" w:cs="Arial" w:eastAsia="Arial" w:hAnsi="Arial"/>
                <w:sz w:val="16"/>
                <w:szCs w:val="16"/>
                <w:color w:val="auto"/>
              </w:rPr>
              <w:t>Tracey C. Doi</w:t>
            </w:r>
          </w:p>
        </w:tc>
        <w:tc>
          <w:tcPr>
            <w:tcW w:w="760" w:type="dxa"/>
            <w:vAlign w:val="bottom"/>
          </w:tcPr>
          <w:p>
            <w:pPr>
              <w:ind w:left="640"/>
              <w:spacing w:after="0"/>
              <w:rPr>
                <w:sz w:val="20"/>
                <w:szCs w:val="20"/>
                <w:color w:val="auto"/>
              </w:rPr>
            </w:pPr>
            <w:r>
              <w:rPr>
                <w:rFonts w:ascii="Arial" w:cs="Arial" w:eastAsia="Arial" w:hAnsi="Arial"/>
                <w:sz w:val="13"/>
                <w:szCs w:val="13"/>
                <w:color w:val="64A70B"/>
              </w:rPr>
              <w:t>u</w:t>
            </w:r>
          </w:p>
        </w:tc>
        <w:tc>
          <w:tcPr>
            <w:tcW w:w="2380" w:type="dxa"/>
            <w:vAlign w:val="bottom"/>
          </w:tcPr>
          <w:p>
            <w:pPr>
              <w:ind w:left="40"/>
              <w:spacing w:after="0"/>
              <w:rPr>
                <w:sz w:val="20"/>
                <w:szCs w:val="20"/>
                <w:color w:val="auto"/>
              </w:rPr>
            </w:pPr>
            <w:r>
              <w:rPr>
                <w:rFonts w:ascii="Arial" w:cs="Arial" w:eastAsia="Arial" w:hAnsi="Arial"/>
                <w:sz w:val="16"/>
                <w:szCs w:val="16"/>
                <w:color w:val="auto"/>
              </w:rPr>
              <w:t>Gregory E. Knight</w:t>
            </w:r>
          </w:p>
        </w:tc>
        <w:tc>
          <w:tcPr>
            <w:tcW w:w="1080" w:type="dxa"/>
            <w:vAlign w:val="bottom"/>
          </w:tcPr>
          <w:p>
            <w:pPr>
              <w:ind w:left="980"/>
              <w:spacing w:after="0"/>
              <w:rPr>
                <w:sz w:val="20"/>
                <w:szCs w:val="20"/>
                <w:color w:val="auto"/>
              </w:rPr>
            </w:pPr>
            <w:r>
              <w:rPr>
                <w:rFonts w:ascii="Arial" w:cs="Arial" w:eastAsia="Arial" w:hAnsi="Arial"/>
                <w:sz w:val="13"/>
                <w:szCs w:val="13"/>
                <w:color w:val="64A70B"/>
              </w:rPr>
              <w:t>u</w:t>
            </w:r>
          </w:p>
        </w:tc>
        <w:tc>
          <w:tcPr>
            <w:tcW w:w="3360" w:type="dxa"/>
            <w:vAlign w:val="bottom"/>
          </w:tcPr>
          <w:p>
            <w:pPr>
              <w:ind w:left="40"/>
              <w:spacing w:after="0"/>
              <w:rPr>
                <w:sz w:val="20"/>
                <w:szCs w:val="20"/>
                <w:color w:val="auto"/>
              </w:rPr>
            </w:pPr>
            <w:r>
              <w:rPr>
                <w:rFonts w:ascii="Arial" w:cs="Arial" w:eastAsia="Arial" w:hAnsi="Arial"/>
                <w:sz w:val="16"/>
                <w:szCs w:val="16"/>
                <w:color w:val="auto"/>
              </w:rPr>
              <w:t>Billie I. Williamson.”</w:t>
            </w:r>
          </w:p>
        </w:tc>
      </w:tr>
      <w:tr>
        <w:trPr>
          <w:trHeight w:val="205"/>
        </w:trPr>
        <w:tc>
          <w:tcPr>
            <w:tcW w:w="26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360" w:type="dxa"/>
            <w:vAlign w:val="bottom"/>
          </w:tcPr>
          <w:p>
            <w:pPr>
              <w:spacing w:after="0"/>
              <w:rPr>
                <w:sz w:val="17"/>
                <w:szCs w:val="17"/>
                <w:color w:val="auto"/>
              </w:rPr>
            </w:pPr>
          </w:p>
        </w:tc>
      </w:tr>
      <w:tr>
        <w:trPr>
          <w:trHeight w:val="270"/>
        </w:trPr>
        <w:tc>
          <w:tcPr>
            <w:tcW w:w="260" w:type="dxa"/>
            <w:vAlign w:val="bottom"/>
            <w:shd w:val="clear" w:color="auto" w:fill="E7EBF1"/>
          </w:tcPr>
          <w:p>
            <w:pPr>
              <w:spacing w:after="0"/>
              <w:rPr>
                <w:sz w:val="23"/>
                <w:szCs w:val="23"/>
                <w:color w:val="auto"/>
              </w:rPr>
            </w:pPr>
          </w:p>
        </w:tc>
        <w:tc>
          <w:tcPr>
            <w:tcW w:w="2700" w:type="dxa"/>
            <w:vAlign w:val="bottom"/>
            <w:shd w:val="clear" w:color="auto" w:fill="E7EBF1"/>
          </w:tcPr>
          <w:p>
            <w:pPr>
              <w:spacing w:after="0"/>
              <w:rPr>
                <w:sz w:val="23"/>
                <w:szCs w:val="23"/>
                <w:color w:val="auto"/>
              </w:rPr>
            </w:pPr>
          </w:p>
        </w:tc>
        <w:tc>
          <w:tcPr>
            <w:tcW w:w="760" w:type="dxa"/>
            <w:vAlign w:val="bottom"/>
            <w:shd w:val="clear" w:color="auto" w:fill="E7EBF1"/>
          </w:tcPr>
          <w:p>
            <w:pPr>
              <w:spacing w:after="0"/>
              <w:rPr>
                <w:sz w:val="23"/>
                <w:szCs w:val="23"/>
                <w:color w:val="auto"/>
              </w:rPr>
            </w:pPr>
          </w:p>
        </w:tc>
        <w:tc>
          <w:tcPr>
            <w:tcW w:w="2380" w:type="dxa"/>
            <w:vAlign w:val="bottom"/>
            <w:shd w:val="clear" w:color="auto" w:fill="E7EBF1"/>
          </w:tcPr>
          <w:p>
            <w:pPr>
              <w:spacing w:after="0"/>
              <w:rPr>
                <w:sz w:val="23"/>
                <w:szCs w:val="23"/>
                <w:color w:val="auto"/>
              </w:rPr>
            </w:pPr>
          </w:p>
        </w:tc>
        <w:tc>
          <w:tcPr>
            <w:tcW w:w="1080" w:type="dxa"/>
            <w:vAlign w:val="bottom"/>
            <w:shd w:val="clear" w:color="auto" w:fill="E7EBF1"/>
          </w:tcPr>
          <w:p>
            <w:pPr>
              <w:spacing w:after="0"/>
              <w:rPr>
                <w:sz w:val="23"/>
                <w:szCs w:val="23"/>
                <w:color w:val="auto"/>
              </w:rPr>
            </w:pPr>
          </w:p>
        </w:tc>
        <w:tc>
          <w:tcPr>
            <w:tcW w:w="3360" w:type="dxa"/>
            <w:vAlign w:val="bottom"/>
            <w:shd w:val="clear" w:color="auto" w:fill="E7EBF1"/>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6858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68580"/>
                    </a:xfrm>
                    <a:prstGeom prst="rect">
                      <a:avLst/>
                    </a:prstGeom>
                    <a:noFill/>
                  </pic:spPr>
                </pic:pic>
              </a:graphicData>
            </a:graphic>
          </wp:anchor>
        </w:drawing>
      </w:r>
    </w:p>
    <w:p>
      <w:pPr>
        <w:spacing w:after="0"/>
        <w:rPr>
          <w:sz w:val="20"/>
          <w:szCs w:val="20"/>
          <w:color w:val="auto"/>
        </w:rPr>
      </w:pPr>
      <w:r>
        <w:rPr>
          <w:sz w:val="1"/>
          <w:szCs w:val="1"/>
          <w:color w:val="auto"/>
        </w:rPr>
        <w:drawing>
          <wp:inline distT="0" distB="0" distL="0" distR="0">
            <wp:extent cx="214630" cy="333375"/>
            <wp:effectExtent l="0" t="0" r="0" b="0"/>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14630" cy="333375"/>
                    </a:xfrm>
                    <a:prstGeom prst="rect">
                      <a:avLst/>
                    </a:prstGeom>
                    <a:noFill/>
                    <a:ln>
                      <a:noFill/>
                    </a:ln>
                  </pic:spPr>
                </pic:pic>
              </a:graphicData>
            </a:graphic>
          </wp:inline>
        </w:drawing>
      </w:r>
      <w:r>
        <w:rPr>
          <w:rFonts w:ascii="Arial" w:cs="Arial" w:eastAsia="Arial" w:hAnsi="Arial"/>
          <w:sz w:val="22"/>
          <w:szCs w:val="22"/>
          <w:color w:val="FFFFFF"/>
        </w:rPr>
        <w:t xml:space="preserve">The Board recommends a vote </w:t>
      </w:r>
      <w:r>
        <w:rPr>
          <w:rFonts w:ascii="Arial" w:cs="Arial" w:eastAsia="Arial" w:hAnsi="Arial"/>
          <w:sz w:val="22"/>
          <w:szCs w:val="22"/>
          <w:b w:val="1"/>
          <w:bCs w:val="1"/>
          <w:color w:val="FFFFFF"/>
        </w:rPr>
        <w:t>FOR</w:t>
      </w:r>
      <w:r>
        <w:rPr>
          <w:rFonts w:ascii="Arial" w:cs="Arial" w:eastAsia="Arial" w:hAnsi="Arial"/>
          <w:sz w:val="22"/>
          <w:szCs w:val="22"/>
          <w:color w:val="FFFFFF"/>
        </w:rPr>
        <w:t xml:space="preserve"> re-election of each director nominee.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-294005</wp:posOffset>
            </wp:positionV>
            <wp:extent cx="6917690" cy="3003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917690" cy="300355"/>
                    </a:xfrm>
                    <a:prstGeom prst="rect">
                      <a:avLst/>
                    </a:prstGeom>
                    <a:noFill/>
                  </pic:spPr>
                </pic:pic>
              </a:graphicData>
            </a:graphic>
          </wp:anchor>
        </w:drawing>
      </w:r>
    </w:p>
    <w:p>
      <w:pPr>
        <w:spacing w:after="0" w:line="200" w:lineRule="exact"/>
        <w:rPr>
          <w:sz w:val="20"/>
          <w:szCs w:val="20"/>
          <w:color w:val="auto"/>
        </w:rPr>
      </w:pP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10840" w:type="dxa"/>
            <w:vAlign w:val="bottom"/>
          </w:tcPr>
          <w:p>
            <w:pPr>
              <w:ind w:left="8260"/>
              <w:spacing w:after="0"/>
              <w:rPr>
                <w:sz w:val="20"/>
                <w:szCs w:val="20"/>
                <w:color w:val="auto"/>
              </w:rPr>
            </w:pPr>
            <w:r>
              <w:rPr>
                <w:rFonts w:ascii="Arial" w:cs="Arial" w:eastAsia="Arial" w:hAnsi="Arial"/>
                <w:sz w:val="16"/>
                <w:szCs w:val="16"/>
                <w:b w:val="1"/>
                <w:bCs w:val="1"/>
                <w:color w:val="auto"/>
              </w:rPr>
              <w:t xml:space="preserve">2026 Proxy Statement </w:t>
            </w:r>
            <w:r>
              <w:rPr>
                <w:rFonts w:ascii="Arial" w:cs="Arial" w:eastAsia="Arial" w:hAnsi="Arial"/>
                <w:sz w:val="16"/>
                <w:szCs w:val="16"/>
                <w:b w:val="1"/>
                <w:bCs w:val="1"/>
                <w:color w:val="0C3471"/>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Pentair</w:t>
            </w:r>
          </w:p>
        </w:tc>
        <w:tc>
          <w:tcPr>
            <w:tcW w:w="400" w:type="dxa"/>
            <w:vAlign w:val="bottom"/>
          </w:tcPr>
          <w:p>
            <w:pPr>
              <w:jc w:val="right"/>
              <w:spacing w:after="0"/>
              <w:rPr>
                <w:sz w:val="20"/>
                <w:szCs w:val="20"/>
                <w:color w:val="auto"/>
              </w:rPr>
            </w:pPr>
            <w:r>
              <w:rPr>
                <w:rFonts w:ascii="Arial" w:cs="Arial" w:eastAsia="Arial" w:hAnsi="Arial"/>
                <w:sz w:val="16"/>
                <w:szCs w:val="16"/>
                <w:b w:val="1"/>
                <w:bCs w:val="1"/>
                <w:color w:val="auto"/>
              </w:rPr>
              <w:t>9</w:t>
            </w:r>
          </w:p>
        </w:tc>
      </w:tr>
      <w:tr>
        <w:trPr>
          <w:trHeight w:val="325"/>
        </w:trPr>
        <w:tc>
          <w:tcPr>
            <w:tcW w:w="108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1" w:name="page12"/>
    <w:bookmarkEnd w:id="11"/>
    <w:p>
      <w:pPr>
        <w:ind w:left="1080"/>
        <w:spacing w:after="0"/>
        <w:rPr>
          <w:sz w:val="20"/>
          <w:szCs w:val="20"/>
          <w:color w:val="auto"/>
        </w:rPr>
      </w:pPr>
      <w:r>
        <w:rPr>
          <w:rFonts w:ascii="Arial" w:cs="Arial" w:eastAsia="Arial" w:hAnsi="Arial"/>
          <w:sz w:val="43"/>
          <w:szCs w:val="43"/>
          <w:b w:val="1"/>
          <w:bCs w:val="1"/>
          <w:color w:val="0C3471"/>
        </w:rPr>
        <w:t>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-277495</wp:posOffset>
            </wp:positionV>
            <wp:extent cx="445770" cy="47180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445770" cy="471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32"/>
          <w:szCs w:val="32"/>
          <w:color w:val="0C3471"/>
        </w:rPr>
        <w:t>2026 Board Nominees</w:t>
      </w:r>
    </w:p>
    <w:p>
      <w:pPr>
        <w:spacing w:after="0" w:line="357" w:lineRule="exact"/>
        <w:rPr>
          <w:sz w:val="20"/>
          <w:szCs w:val="20"/>
          <w:color w:val="auto"/>
        </w:rPr>
      </w:pPr>
    </w:p>
    <w:p>
      <w:pPr>
        <w:ind w:left="20"/>
        <w:spacing w:after="0"/>
        <w:rPr>
          <w:sz w:val="20"/>
          <w:szCs w:val="20"/>
          <w:color w:val="auto"/>
        </w:rPr>
      </w:pPr>
      <w:r>
        <w:rPr>
          <w:rFonts w:ascii="Arial" w:cs="Arial" w:eastAsia="Arial" w:hAnsi="Arial"/>
          <w:sz w:val="28"/>
          <w:szCs w:val="28"/>
          <w:color w:val="64A70B"/>
        </w:rPr>
        <w:t>Director Qualifications, Skills and Expertise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13232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1352" w:right="479" w:bottom="1440" w:gutter="0" w:footer="0" w:header="0"/>
        </w:sectPr>
      </w:pPr>
    </w:p>
    <w:p>
      <w:pPr>
        <w:spacing w:after="0" w:line="200" w:lineRule="exact"/>
        <w:rPr>
          <w:sz w:val="20"/>
          <w:szCs w:val="20"/>
          <w:color w:val="auto"/>
        </w:rPr>
      </w:pPr>
    </w:p>
    <w:p>
      <w:pPr>
        <w:spacing w:after="0" w:line="239"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The Governance Committee and the Board recognize that the Board’s contributions and effectiveness depend on the character and abilities of each director individually as well as on their collective strengths. Accordingly, the Governance Committee and the Board evaluate candidates based on several criteria. The Governance Committee and the Board seek to establish a core of strategic and business advisers with financial and management expertise. In addition, the Governance Committee and the Board consider the tenure of incumbent directors, with the goal of having a mix of shorter-tenured directors who provide fresh perspectives and longer-tenured directors who provide institutional knowledge regarding our company and our business. Directors are also chosen with a view to bringing to the Board a diversity of skills, qualifications, experiences, perspectives and backgrounds. The Board has no express policy regarding diversity of age, gender, race, ethnicity, and other characteristics.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Tenure</w:t>
      </w:r>
    </w:p>
    <w:p>
      <w:pPr>
        <w:spacing w:after="0" w:line="126" w:lineRule="exact"/>
        <w:rPr>
          <w:sz w:val="20"/>
          <w:szCs w:val="20"/>
          <w:color w:val="auto"/>
        </w:rPr>
      </w:pPr>
    </w:p>
    <w:p>
      <w:pPr>
        <w:jc w:val="center"/>
        <w:spacing w:after="0" w:line="304" w:lineRule="auto"/>
        <w:rPr>
          <w:sz w:val="20"/>
          <w:szCs w:val="20"/>
          <w:color w:val="auto"/>
        </w:rPr>
      </w:pPr>
      <w:r>
        <w:rPr>
          <w:rFonts w:ascii="Arial" w:cs="Arial" w:eastAsia="Arial" w:hAnsi="Arial"/>
          <w:sz w:val="16"/>
          <w:szCs w:val="16"/>
          <w:color w:val="auto"/>
        </w:rPr>
        <w:t>Our board refreshment has resulted in the following mix of director tenure: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633730</wp:posOffset>
            </wp:positionH>
            <wp:positionV relativeFrom="paragraph">
              <wp:posOffset>64770</wp:posOffset>
            </wp:positionV>
            <wp:extent cx="1054100" cy="1054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054100" cy="1054100"/>
                    </a:xfrm>
                    <a:prstGeom prst="rect">
                      <a:avLst/>
                    </a:prstGeom>
                    <a:noFill/>
                  </pic:spPr>
                </pic:pic>
              </a:graphicData>
            </a:graphic>
          </wp:anchor>
        </w:drawing>
      </w:r>
    </w:p>
    <w:p>
      <w:pPr>
        <w:spacing w:after="0" w:line="1700" w:lineRule="exact"/>
        <w:rPr>
          <w:sz w:val="20"/>
          <w:szCs w:val="20"/>
          <w:color w:val="auto"/>
        </w:rPr>
      </w:pPr>
    </w:p>
    <w:p>
      <w:pPr>
        <w:sectPr>
          <w:pgSz w:w="11900" w:h="16838" w:orient="portrait"/>
          <w:cols w:equalWidth="0" w:num="2">
            <w:col w:w="6920" w:space="500"/>
            <w:col w:w="3680"/>
          </w:cols>
          <w:pgMar w:left="320" w:top="1352" w:right="479" w:bottom="1440" w:gutter="0" w:footer="0" w:header="0"/>
          <w:type w:val="continuous"/>
        </w:sectPr>
      </w:pPr>
    </w:p>
    <w:p>
      <w:pPr>
        <w:spacing w:after="0" w:line="385" w:lineRule="exact"/>
        <w:rPr>
          <w:sz w:val="20"/>
          <w:szCs w:val="20"/>
          <w:color w:val="auto"/>
        </w:rPr>
      </w:pPr>
    </w:p>
    <w:p>
      <w:pPr>
        <w:spacing w:after="0"/>
        <w:rPr>
          <w:sz w:val="20"/>
          <w:szCs w:val="20"/>
          <w:color w:val="auto"/>
        </w:rPr>
      </w:pPr>
      <w:r>
        <w:rPr>
          <w:rFonts w:ascii="Arial" w:cs="Arial" w:eastAsia="Arial" w:hAnsi="Arial"/>
          <w:sz w:val="16"/>
          <w:szCs w:val="16"/>
          <w:color w:val="auto"/>
        </w:rPr>
        <w:t>When considering candidates for election as directors, the Governance Committee and the Board are guided by the following principles, found in our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Corporate Governance Principles:</w:t>
      </w:r>
    </w:p>
    <w:p>
      <w:pPr>
        <w:spacing w:after="0" w:line="140" w:lineRule="exact"/>
        <w:rPr>
          <w:sz w:val="20"/>
          <w:szCs w:val="20"/>
          <w:color w:val="auto"/>
        </w:rPr>
      </w:pPr>
    </w:p>
    <w:p>
      <w:pPr>
        <w:ind w:left="160" w:hanging="152"/>
        <w:spacing w:after="0"/>
        <w:tabs>
          <w:tab w:leader="none" w:pos="160" w:val="left"/>
        </w:tabs>
        <w:numPr>
          <w:ilvl w:val="0"/>
          <w:numId w:val="19"/>
        </w:numPr>
        <w:rPr>
          <w:rFonts w:ascii="Arial" w:cs="Arial" w:eastAsia="Arial" w:hAnsi="Arial"/>
          <w:sz w:val="13"/>
          <w:szCs w:val="13"/>
          <w:color w:val="64A70B"/>
        </w:rPr>
      </w:pPr>
      <w:r>
        <w:rPr>
          <w:rFonts w:ascii="Arial" w:cs="Arial" w:eastAsia="Arial" w:hAnsi="Arial"/>
          <w:sz w:val="16"/>
          <w:szCs w:val="16"/>
          <w:color w:val="auto"/>
        </w:rPr>
        <w:t>at least a majority of the Board must consist of independent directors;</w:t>
      </w:r>
    </w:p>
    <w:p>
      <w:pPr>
        <w:spacing w:after="0" w:line="99" w:lineRule="exact"/>
        <w:rPr>
          <w:rFonts w:ascii="Arial" w:cs="Arial" w:eastAsia="Arial" w:hAnsi="Arial"/>
          <w:sz w:val="13"/>
          <w:szCs w:val="13"/>
          <w:color w:val="64A70B"/>
        </w:rPr>
      </w:pPr>
    </w:p>
    <w:p>
      <w:pPr>
        <w:ind w:left="160" w:hanging="152"/>
        <w:spacing w:after="0"/>
        <w:tabs>
          <w:tab w:leader="none" w:pos="160" w:val="left"/>
        </w:tabs>
        <w:numPr>
          <w:ilvl w:val="0"/>
          <w:numId w:val="19"/>
        </w:numPr>
        <w:rPr>
          <w:rFonts w:ascii="Arial" w:cs="Arial" w:eastAsia="Arial" w:hAnsi="Arial"/>
          <w:sz w:val="13"/>
          <w:szCs w:val="13"/>
          <w:color w:val="64A70B"/>
        </w:rPr>
      </w:pPr>
      <w:r>
        <w:rPr>
          <w:rFonts w:ascii="Arial" w:cs="Arial" w:eastAsia="Arial" w:hAnsi="Arial"/>
          <w:sz w:val="16"/>
          <w:szCs w:val="16"/>
          <w:color w:val="auto"/>
        </w:rPr>
        <w:t>each director should be an individual of the highest character and integrity and have an inquiring mind, vision and the ability to work well with others;</w:t>
      </w:r>
    </w:p>
    <w:p>
      <w:pPr>
        <w:spacing w:after="0" w:line="86" w:lineRule="exact"/>
        <w:rPr>
          <w:rFonts w:ascii="Arial" w:cs="Arial" w:eastAsia="Arial" w:hAnsi="Arial"/>
          <w:sz w:val="13"/>
          <w:szCs w:val="13"/>
          <w:color w:val="64A70B"/>
        </w:rPr>
      </w:pPr>
    </w:p>
    <w:p>
      <w:pPr>
        <w:ind w:left="200" w:hanging="192"/>
        <w:spacing w:after="0" w:line="321" w:lineRule="auto"/>
        <w:tabs>
          <w:tab w:leader="none" w:pos="157" w:val="left"/>
        </w:tabs>
        <w:numPr>
          <w:ilvl w:val="0"/>
          <w:numId w:val="19"/>
        </w:numPr>
        <w:rPr>
          <w:rFonts w:ascii="Arial" w:cs="Arial" w:eastAsia="Arial" w:hAnsi="Arial"/>
          <w:sz w:val="13"/>
          <w:szCs w:val="13"/>
          <w:color w:val="64A70B"/>
        </w:rPr>
      </w:pPr>
      <w:r>
        <w:rPr>
          <w:rFonts w:ascii="Arial" w:cs="Arial" w:eastAsia="Arial" w:hAnsi="Arial"/>
          <w:sz w:val="16"/>
          <w:szCs w:val="16"/>
          <w:color w:val="auto"/>
        </w:rPr>
        <w:t>each director should be free of any conflict of interest that would violate any applicable law or regulation or interfere with the proper performance of his or her responsibilities as a director;</w:t>
      </w:r>
    </w:p>
    <w:p>
      <w:pPr>
        <w:spacing w:after="0" w:line="7" w:lineRule="exact"/>
        <w:rPr>
          <w:rFonts w:ascii="Arial" w:cs="Arial" w:eastAsia="Arial" w:hAnsi="Arial"/>
          <w:sz w:val="13"/>
          <w:szCs w:val="13"/>
          <w:color w:val="64A70B"/>
        </w:rPr>
      </w:pPr>
    </w:p>
    <w:p>
      <w:pPr>
        <w:ind w:left="160" w:hanging="152"/>
        <w:spacing w:after="0"/>
        <w:tabs>
          <w:tab w:leader="none" w:pos="160" w:val="left"/>
        </w:tabs>
        <w:numPr>
          <w:ilvl w:val="0"/>
          <w:numId w:val="19"/>
        </w:numPr>
        <w:rPr>
          <w:rFonts w:ascii="Arial" w:cs="Arial" w:eastAsia="Arial" w:hAnsi="Arial"/>
          <w:sz w:val="13"/>
          <w:szCs w:val="13"/>
          <w:color w:val="64A70B"/>
        </w:rPr>
      </w:pPr>
      <w:r>
        <w:rPr>
          <w:rFonts w:ascii="Arial" w:cs="Arial" w:eastAsia="Arial" w:hAnsi="Arial"/>
          <w:sz w:val="16"/>
          <w:szCs w:val="16"/>
          <w:color w:val="auto"/>
        </w:rPr>
        <w:t>each director should possess substantial and significant experience that could be of particular importance to us in the performance of his or her duties;</w:t>
      </w:r>
    </w:p>
    <w:p>
      <w:pPr>
        <w:spacing w:after="0" w:line="99" w:lineRule="exact"/>
        <w:rPr>
          <w:rFonts w:ascii="Arial" w:cs="Arial" w:eastAsia="Arial" w:hAnsi="Arial"/>
          <w:sz w:val="13"/>
          <w:szCs w:val="13"/>
          <w:color w:val="64A70B"/>
        </w:rPr>
      </w:pPr>
    </w:p>
    <w:p>
      <w:pPr>
        <w:ind w:left="160" w:hanging="152"/>
        <w:spacing w:after="0"/>
        <w:tabs>
          <w:tab w:leader="none" w:pos="160" w:val="left"/>
        </w:tabs>
        <w:numPr>
          <w:ilvl w:val="0"/>
          <w:numId w:val="19"/>
        </w:numPr>
        <w:rPr>
          <w:rFonts w:ascii="Arial" w:cs="Arial" w:eastAsia="Arial" w:hAnsi="Arial"/>
          <w:sz w:val="13"/>
          <w:szCs w:val="13"/>
          <w:color w:val="64A70B"/>
        </w:rPr>
      </w:pPr>
      <w:r>
        <w:rPr>
          <w:rFonts w:ascii="Arial" w:cs="Arial" w:eastAsia="Arial" w:hAnsi="Arial"/>
          <w:sz w:val="16"/>
          <w:szCs w:val="16"/>
          <w:color w:val="auto"/>
        </w:rPr>
        <w:t>each director should have sufficient time available to devote to our affairs in order to carry out the responsibilities of a director; and</w:t>
      </w:r>
    </w:p>
    <w:p>
      <w:pPr>
        <w:spacing w:after="0" w:line="99" w:lineRule="exact"/>
        <w:rPr>
          <w:rFonts w:ascii="Arial" w:cs="Arial" w:eastAsia="Arial" w:hAnsi="Arial"/>
          <w:sz w:val="13"/>
          <w:szCs w:val="13"/>
          <w:color w:val="64A70B"/>
        </w:rPr>
      </w:pPr>
    </w:p>
    <w:p>
      <w:pPr>
        <w:ind w:left="200" w:right="260" w:hanging="192"/>
        <w:spacing w:after="0" w:line="304" w:lineRule="auto"/>
        <w:tabs>
          <w:tab w:leader="none" w:pos="157" w:val="left"/>
        </w:tabs>
        <w:numPr>
          <w:ilvl w:val="0"/>
          <w:numId w:val="19"/>
        </w:numPr>
        <w:rPr>
          <w:rFonts w:ascii="Arial" w:cs="Arial" w:eastAsia="Arial" w:hAnsi="Arial"/>
          <w:sz w:val="13"/>
          <w:szCs w:val="13"/>
          <w:color w:val="64A70B"/>
        </w:rPr>
      </w:pPr>
      <w:r>
        <w:rPr>
          <w:rFonts w:ascii="Arial" w:cs="Arial" w:eastAsia="Arial" w:hAnsi="Arial"/>
          <w:sz w:val="16"/>
          <w:szCs w:val="16"/>
          <w:color w:val="auto"/>
        </w:rPr>
        <w:t>each director should have the capacity and desire to represent the balanced, best interests of the shareholders as a whole and not primarily a special interest group or constituency and be committed to enhancing long-term shareholder value.</w:t>
      </w:r>
    </w:p>
    <w:p>
      <w:pPr>
        <w:spacing w:after="0" w:line="60"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The Governance Committee in the first instance is charged with observing these policies and strives in reviewing each candidate to assess the fit of his or her qualifications with the needs of the Board and our company at that time, given the then-current mix of directors’ attributes. Board composition, effectiveness and processes are all subject areas of our annual Board self-assessment, which is described in more detail below under “Board and Committee Self-Assessments.”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0" w:hanging="574"/>
        <w:spacing w:after="0"/>
        <w:tabs>
          <w:tab w:leader="none" w:pos="600" w:val="left"/>
        </w:tabs>
        <w:numPr>
          <w:ilvl w:val="0"/>
          <w:numId w:val="20"/>
        </w:numPr>
        <w:rPr>
          <w:rFonts w:ascii="Arial" w:cs="Arial" w:eastAsia="Arial" w:hAnsi="Arial"/>
          <w:sz w:val="16"/>
          <w:szCs w:val="16"/>
          <w:b w:val="1"/>
          <w:bCs w:val="1"/>
          <w:color w:val="auto"/>
        </w:rPr>
      </w:pPr>
      <w:r>
        <w:rPr>
          <w:rFonts w:ascii="Arial" w:cs="Arial" w:eastAsia="Arial" w:hAnsi="Arial"/>
          <w:sz w:val="16"/>
          <w:szCs w:val="16"/>
          <w:color w:val="auto"/>
        </w:rPr>
        <w:t xml:space="preserve">Pentair </w:t>
      </w:r>
      <w:r>
        <w:rPr>
          <w:rFonts w:ascii="Arial" w:cs="Arial" w:eastAsia="Arial" w:hAnsi="Arial"/>
          <w:sz w:val="16"/>
          <w:szCs w:val="16"/>
          <w:b w:val="1"/>
          <w:bCs w:val="1"/>
          <w:color w:val="0C3471"/>
        </w:rPr>
        <w:t>|</w:t>
      </w:r>
      <w:r>
        <w:rPr>
          <w:rFonts w:ascii="Arial" w:cs="Arial" w:eastAsia="Arial" w:hAnsi="Arial"/>
          <w:sz w:val="16"/>
          <w:szCs w:val="16"/>
          <w:color w:val="auto"/>
        </w:rPr>
        <w:t xml:space="preserve"> </w:t>
      </w:r>
      <w:r>
        <w:rPr>
          <w:rFonts w:ascii="Arial" w:cs="Arial" w:eastAsia="Arial" w:hAnsi="Arial"/>
          <w:sz w:val="16"/>
          <w:szCs w:val="16"/>
          <w:b w:val="1"/>
          <w:bCs w:val="1"/>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205105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352" w:right="479" w:bottom="1440" w:gutter="0" w:footer="0" w:header="0"/>
          <w:type w:val="continuous"/>
        </w:sectPr>
      </w:pPr>
    </w:p>
    <w:bookmarkStart w:id="12" w:name="page13"/>
    <w:bookmarkEnd w:id="12"/>
    <w:p>
      <w:pPr>
        <w:jc w:val="right"/>
        <w:ind w:right="2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6080125</wp:posOffset>
            </wp:positionH>
            <wp:positionV relativeFrom="page">
              <wp:posOffset>191770</wp:posOffset>
            </wp:positionV>
            <wp:extent cx="102870" cy="11112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clrChange>
                        <a:clrFrom>
                          <a:srgbClr val="FFFFFF"/>
                        </a:clrFrom>
                        <a:clrTo>
                          <a:srgbClr val="FFFFFF">
                            <a:alpha val="0"/>
                          </a:srgbClr>
                        </a:clrTo>
                      </a:clrChange>
                      <a:extLst>
                        <a:ext uri="{28A0092B-C50C-407E-A947-70E740481C1C}"/>
                      </a:extLst>
                    </a:blip>
                    <a:srcRect/>
                    <a:stretch>
                      <a:fillRect/>
                    </a:stretch>
                  </pic:blipFill>
                  <pic:spPr bwMode="auto">
                    <a:xfrm>
                      <a:off x="0" y="0"/>
                      <a:ext cx="102870" cy="111125"/>
                    </a:xfrm>
                    <a:prstGeom prst="rect">
                      <a:avLst/>
                    </a:prstGeom>
                    <a:noFill/>
                  </pic:spPr>
                </pic:pic>
              </a:graphicData>
            </a:graphic>
          </wp:anchor>
        </w:drawing>
        <w:t>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140"/>
        <w:spacing w:after="0" w:line="282" w:lineRule="auto"/>
        <w:rPr>
          <w:sz w:val="20"/>
          <w:szCs w:val="20"/>
          <w:color w:val="auto"/>
        </w:rPr>
      </w:pPr>
      <w:r>
        <w:rPr>
          <w:rFonts w:ascii="Arial" w:cs="Arial" w:eastAsia="Arial" w:hAnsi="Arial"/>
          <w:sz w:val="16"/>
          <w:szCs w:val="16"/>
          <w:color w:val="auto"/>
        </w:rPr>
        <w:t>Our directors bring to the Board a balanced mix of skills, qualifications and experience that enable the Board to effectively oversee our long-term business strategy. The skills matrix below provides an overview of the areas in which our directors possess significant or deep experience and reflects the most significant skills that the Board considers in connection with board refreshment, succession planning and director nomination. The list is not comprehensive of the diverse skills that our director nominees bring to the Board, and the experience of individual directors is described in their respective biographies on the following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85725</wp:posOffset>
            </wp:positionV>
            <wp:extent cx="6120765" cy="5143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120765" cy="514350"/>
                    </a:xfrm>
                    <a:prstGeom prst="rect">
                      <a:avLst/>
                    </a:prstGeom>
                    <a:noFill/>
                  </pic:spPr>
                </pic:pic>
              </a:graphicData>
            </a:graphic>
          </wp:anchor>
        </w:drawing>
      </w:r>
    </w:p>
    <w:p>
      <w:pPr>
        <w:sectPr>
          <w:pgSz w:w="11900" w:h="16838" w:orient="portrait"/>
          <w:cols w:equalWidth="0" w:num="1">
            <w:col w:w="11240"/>
          </w:cols>
          <w:pgMar w:left="320" w:top="31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940"/>
        <w:spacing w:after="0"/>
        <w:rPr>
          <w:sz w:val="20"/>
          <w:szCs w:val="20"/>
          <w:color w:val="auto"/>
        </w:rPr>
      </w:pPr>
      <w:r>
        <w:rPr>
          <w:rFonts w:ascii="Arial" w:cs="Arial" w:eastAsia="Arial" w:hAnsi="Arial"/>
          <w:sz w:val="20"/>
          <w:szCs w:val="20"/>
          <w:b w:val="1"/>
          <w:bCs w:val="1"/>
          <w:color w:val="auto"/>
        </w:rPr>
        <w:t>Executive Leadership</w:t>
      </w:r>
    </w:p>
    <w:p>
      <w:pPr>
        <w:spacing w:after="0" w:line="108" w:lineRule="exact"/>
        <w:rPr>
          <w:sz w:val="20"/>
          <w:szCs w:val="20"/>
          <w:color w:val="auto"/>
        </w:rPr>
      </w:pPr>
    </w:p>
    <w:p>
      <w:pPr>
        <w:ind w:left="940" w:right="840"/>
        <w:spacing w:after="0" w:line="325" w:lineRule="auto"/>
        <w:rPr>
          <w:sz w:val="20"/>
          <w:szCs w:val="20"/>
          <w:color w:val="auto"/>
        </w:rPr>
      </w:pPr>
      <w:r>
        <w:rPr>
          <w:rFonts w:ascii="Arial" w:cs="Arial" w:eastAsia="Arial" w:hAnsi="Arial"/>
          <w:sz w:val="14"/>
          <w:szCs w:val="14"/>
          <w:color w:val="auto"/>
        </w:rPr>
        <w:t>Includes directors with experience as a Chief Executive Officer or other executive at a large public or private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208915</wp:posOffset>
            </wp:positionV>
            <wp:extent cx="2494280" cy="44577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494280"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940"/>
        <w:spacing w:after="0"/>
        <w:rPr>
          <w:sz w:val="20"/>
          <w:szCs w:val="20"/>
          <w:color w:val="auto"/>
        </w:rPr>
      </w:pPr>
      <w:r>
        <w:rPr>
          <w:rFonts w:ascii="Arial" w:cs="Arial" w:eastAsia="Arial" w:hAnsi="Arial"/>
          <w:sz w:val="20"/>
          <w:szCs w:val="20"/>
          <w:b w:val="1"/>
          <w:bCs w:val="1"/>
          <w:color w:val="auto"/>
        </w:rPr>
        <w:t>Growth, M&amp;A and Transformation</w:t>
      </w:r>
    </w:p>
    <w:p>
      <w:pPr>
        <w:spacing w:after="0" w:line="108" w:lineRule="exact"/>
        <w:rPr>
          <w:sz w:val="20"/>
          <w:szCs w:val="20"/>
          <w:color w:val="auto"/>
        </w:rPr>
      </w:pPr>
    </w:p>
    <w:p>
      <w:pPr>
        <w:jc w:val="both"/>
        <w:ind w:left="940" w:right="940"/>
        <w:spacing w:after="0" w:line="303" w:lineRule="auto"/>
        <w:rPr>
          <w:sz w:val="20"/>
          <w:szCs w:val="20"/>
          <w:color w:val="auto"/>
        </w:rPr>
      </w:pPr>
      <w:r>
        <w:rPr>
          <w:rFonts w:ascii="Arial" w:cs="Arial" w:eastAsia="Arial" w:hAnsi="Arial"/>
          <w:sz w:val="14"/>
          <w:szCs w:val="14"/>
          <w:color w:val="auto"/>
        </w:rPr>
        <w:t>Includes directors with experience developing, implementing, or evaluating business strategy focused on organic and inorganic growth, including M&amp;A strategy or transformation.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wp:posOffset>
            </wp:positionH>
            <wp:positionV relativeFrom="paragraph">
              <wp:posOffset>210185</wp:posOffset>
            </wp:positionV>
            <wp:extent cx="2040255" cy="25717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040255" cy="2571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Marketing and Sales</w:t>
      </w:r>
    </w:p>
    <w:p>
      <w:pPr>
        <w:spacing w:after="0" w:line="108" w:lineRule="exact"/>
        <w:rPr>
          <w:sz w:val="20"/>
          <w:szCs w:val="20"/>
          <w:color w:val="auto"/>
        </w:rPr>
      </w:pPr>
    </w:p>
    <w:p>
      <w:pPr>
        <w:spacing w:after="0"/>
        <w:rPr>
          <w:sz w:val="20"/>
          <w:szCs w:val="20"/>
          <w:color w:val="auto"/>
        </w:rPr>
      </w:pPr>
      <w:r>
        <w:rPr>
          <w:rFonts w:ascii="Arial" w:cs="Arial" w:eastAsia="Arial" w:hAnsi="Arial"/>
          <w:sz w:val="14"/>
          <w:szCs w:val="14"/>
          <w:color w:val="auto"/>
        </w:rPr>
        <w:t>Includes directors with experience in marketing and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-468630</wp:posOffset>
            </wp:positionH>
            <wp:positionV relativeFrom="paragraph">
              <wp:posOffset>263525</wp:posOffset>
            </wp:positionV>
            <wp:extent cx="2503170" cy="46291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503170"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Product Innovation</w:t>
      </w:r>
    </w:p>
    <w:p>
      <w:pPr>
        <w:spacing w:after="0" w:line="108" w:lineRule="exact"/>
        <w:rPr>
          <w:sz w:val="20"/>
          <w:szCs w:val="20"/>
          <w:color w:val="auto"/>
        </w:rPr>
      </w:pPr>
    </w:p>
    <w:p>
      <w:pPr>
        <w:ind w:right="440"/>
        <w:spacing w:after="0" w:line="325" w:lineRule="auto"/>
        <w:rPr>
          <w:sz w:val="20"/>
          <w:szCs w:val="20"/>
          <w:color w:val="auto"/>
        </w:rPr>
      </w:pPr>
      <w:r>
        <w:rPr>
          <w:rFonts w:ascii="Arial" w:cs="Arial" w:eastAsia="Arial" w:hAnsi="Arial"/>
          <w:sz w:val="14"/>
          <w:szCs w:val="14"/>
          <w:color w:val="auto"/>
        </w:rPr>
        <w:t>Includes directors with experience developing, implementing, or evaluating significant product and technology innovation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-460375</wp:posOffset>
            </wp:positionH>
            <wp:positionV relativeFrom="paragraph">
              <wp:posOffset>200660</wp:posOffset>
            </wp:positionV>
            <wp:extent cx="2494280" cy="44577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494280" cy="445770"/>
                    </a:xfrm>
                    <a:prstGeom prst="rect">
                      <a:avLst/>
                    </a:prstGeom>
                    <a:noFill/>
                  </pic:spPr>
                </pic:pic>
              </a:graphicData>
            </a:graphic>
          </wp:anchor>
        </w:drawing>
      </w:r>
    </w:p>
    <w:p>
      <w:pPr>
        <w:spacing w:after="0" w:line="670" w:lineRule="exact"/>
        <w:rPr>
          <w:sz w:val="20"/>
          <w:szCs w:val="20"/>
          <w:color w:val="auto"/>
        </w:rPr>
      </w:pPr>
    </w:p>
    <w:p>
      <w:pPr>
        <w:sectPr>
          <w:pgSz w:w="11900" w:h="16838" w:orient="portrait"/>
          <w:cols w:equalWidth="0" w:num="2">
            <w:col w:w="5940" w:space="720"/>
            <w:col w:w="4580"/>
          </w:cols>
          <w:pgMar w:left="320" w:top="314"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940"/>
        <w:spacing w:after="0"/>
        <w:rPr>
          <w:sz w:val="20"/>
          <w:szCs w:val="20"/>
          <w:color w:val="auto"/>
        </w:rPr>
      </w:pPr>
      <w:r>
        <w:rPr>
          <w:rFonts w:ascii="Arial" w:cs="Arial" w:eastAsia="Arial" w:hAnsi="Arial"/>
          <w:sz w:val="20"/>
          <w:szCs w:val="20"/>
          <w:b w:val="1"/>
          <w:bCs w:val="1"/>
          <w:color w:val="auto"/>
        </w:rPr>
        <w:t>Manufacturing and 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-447675</wp:posOffset>
            </wp:positionV>
            <wp:extent cx="308610" cy="3086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08610" cy="308610"/>
                    </a:xfrm>
                    <a:prstGeom prst="rect">
                      <a:avLst/>
                    </a:prstGeom>
                    <a:noFill/>
                  </pic:spPr>
                </pic:pic>
              </a:graphicData>
            </a:graphic>
          </wp:anchor>
        </w:drawing>
      </w:r>
    </w:p>
    <w:p>
      <w:pPr>
        <w:spacing w:after="0" w:line="102" w:lineRule="exact"/>
        <w:rPr>
          <w:sz w:val="20"/>
          <w:szCs w:val="20"/>
          <w:color w:val="auto"/>
        </w:rPr>
      </w:pPr>
    </w:p>
    <w:p>
      <w:pPr>
        <w:ind w:left="940" w:right="560"/>
        <w:spacing w:after="0" w:line="305" w:lineRule="auto"/>
        <w:rPr>
          <w:sz w:val="20"/>
          <w:szCs w:val="20"/>
          <w:color w:val="auto"/>
        </w:rPr>
      </w:pPr>
      <w:r>
        <w:rPr>
          <w:rFonts w:ascii="Arial" w:cs="Arial" w:eastAsia="Arial" w:hAnsi="Arial"/>
          <w:sz w:val="14"/>
          <w:szCs w:val="14"/>
          <w:color w:val="auto"/>
        </w:rPr>
        <w:t>Includes directors with experience in manufacturing or the Company’s end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217805</wp:posOffset>
            </wp:positionV>
            <wp:extent cx="2494280" cy="44577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494280"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940"/>
        <w:spacing w:after="0"/>
        <w:rPr>
          <w:sz w:val="20"/>
          <w:szCs w:val="20"/>
          <w:color w:val="auto"/>
        </w:rPr>
      </w:pPr>
      <w:r>
        <w:rPr>
          <w:rFonts w:ascii="Arial" w:cs="Arial" w:eastAsia="Arial" w:hAnsi="Arial"/>
          <w:sz w:val="20"/>
          <w:szCs w:val="20"/>
          <w:b w:val="1"/>
          <w:bCs w:val="1"/>
          <w:color w:val="auto"/>
        </w:rPr>
        <w:t>Business Operations</w:t>
      </w:r>
    </w:p>
    <w:p>
      <w:pPr>
        <w:spacing w:after="0" w:line="108" w:lineRule="exact"/>
        <w:rPr>
          <w:sz w:val="20"/>
          <w:szCs w:val="20"/>
          <w:color w:val="auto"/>
        </w:rPr>
      </w:pPr>
    </w:p>
    <w:p>
      <w:pPr>
        <w:ind w:left="940" w:right="940"/>
        <w:spacing w:after="0" w:line="325" w:lineRule="auto"/>
        <w:rPr>
          <w:sz w:val="20"/>
          <w:szCs w:val="20"/>
          <w:color w:val="auto"/>
        </w:rPr>
      </w:pPr>
      <w:r>
        <w:rPr>
          <w:rFonts w:ascii="Arial" w:cs="Arial" w:eastAsia="Arial" w:hAnsi="Arial"/>
          <w:sz w:val="14"/>
          <w:szCs w:val="14"/>
          <w:color w:val="auto"/>
        </w:rPr>
        <w:t>Includes directors with experience developing, implementing, or evaluating an operations plan or business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208915</wp:posOffset>
            </wp:positionV>
            <wp:extent cx="2494280" cy="44577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494280"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940"/>
        <w:spacing w:after="0"/>
        <w:rPr>
          <w:sz w:val="20"/>
          <w:szCs w:val="20"/>
          <w:color w:val="auto"/>
        </w:rPr>
      </w:pPr>
      <w:r>
        <w:rPr>
          <w:rFonts w:ascii="Arial" w:cs="Arial" w:eastAsia="Arial" w:hAnsi="Arial"/>
          <w:sz w:val="20"/>
          <w:szCs w:val="20"/>
          <w:b w:val="1"/>
          <w:bCs w:val="1"/>
          <w:color w:val="auto"/>
        </w:rPr>
        <w:t>Supply Chain and Operations</w:t>
      </w:r>
    </w:p>
    <w:p>
      <w:pPr>
        <w:spacing w:after="0" w:line="108" w:lineRule="exact"/>
        <w:rPr>
          <w:sz w:val="20"/>
          <w:szCs w:val="20"/>
          <w:color w:val="auto"/>
        </w:rPr>
      </w:pPr>
    </w:p>
    <w:p>
      <w:pPr>
        <w:ind w:left="940"/>
        <w:spacing w:after="0"/>
        <w:rPr>
          <w:sz w:val="20"/>
          <w:szCs w:val="20"/>
          <w:color w:val="auto"/>
        </w:rPr>
      </w:pPr>
      <w:r>
        <w:rPr>
          <w:rFonts w:ascii="Arial" w:cs="Arial" w:eastAsia="Arial" w:hAnsi="Arial"/>
          <w:sz w:val="14"/>
          <w:szCs w:val="14"/>
          <w:color w:val="auto"/>
        </w:rPr>
        <w:t>Includes directors with experience in supply chain or operations.</w:t>
      </w:r>
    </w:p>
    <w:p>
      <w:pPr>
        <w:spacing w:after="0" w:line="20" w:lineRule="exact"/>
        <w:rPr>
          <w:sz w:val="20"/>
          <w:szCs w:val="20"/>
          <w:color w:val="auto"/>
        </w:rPr>
      </w:pPr>
      <w:r>
        <w:rPr>
          <w:sz w:val="20"/>
          <w:szCs w:val="20"/>
          <w:color w:val="auto"/>
        </w:rPr>
        <w:br w:type="column"/>
      </w:r>
    </w:p>
    <w:p>
      <w:pPr>
        <w:spacing w:after="0" w:line="29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 Systems, Digital and Cybersecurity</w:t>
      </w:r>
    </w:p>
    <w:p>
      <w:pPr>
        <w:spacing w:after="0" w:line="122" w:lineRule="exact"/>
        <w:rPr>
          <w:sz w:val="20"/>
          <w:szCs w:val="20"/>
          <w:color w:val="auto"/>
        </w:rPr>
      </w:pPr>
    </w:p>
    <w:p>
      <w:pPr>
        <w:jc w:val="both"/>
        <w:ind w:right="340"/>
        <w:spacing w:after="0" w:line="293" w:lineRule="auto"/>
        <w:rPr>
          <w:sz w:val="20"/>
          <w:szCs w:val="20"/>
          <w:color w:val="auto"/>
        </w:rPr>
      </w:pPr>
      <w:r>
        <w:rPr>
          <w:rFonts w:ascii="Arial" w:cs="Arial" w:eastAsia="Arial" w:hAnsi="Arial"/>
          <w:sz w:val="14"/>
          <w:szCs w:val="14"/>
          <w:color w:val="auto"/>
        </w:rPr>
        <w:t>Includes directors with experience in IT systems, cybersecurity risk management, digital technology, data analytics, or emerging digital technology, including 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-460375</wp:posOffset>
            </wp:positionH>
            <wp:positionV relativeFrom="paragraph">
              <wp:posOffset>222885</wp:posOffset>
            </wp:positionV>
            <wp:extent cx="2494280" cy="44577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494280"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Sustainability</w:t>
      </w:r>
    </w:p>
    <w:p>
      <w:pPr>
        <w:spacing w:after="0" w:line="108" w:lineRule="exact"/>
        <w:rPr>
          <w:sz w:val="20"/>
          <w:szCs w:val="20"/>
          <w:color w:val="auto"/>
        </w:rPr>
      </w:pPr>
    </w:p>
    <w:p>
      <w:pPr>
        <w:ind w:right="540"/>
        <w:spacing w:after="0" w:line="303" w:lineRule="auto"/>
        <w:rPr>
          <w:sz w:val="20"/>
          <w:szCs w:val="20"/>
          <w:color w:val="auto"/>
        </w:rPr>
      </w:pPr>
      <w:r>
        <w:rPr>
          <w:rFonts w:ascii="Arial" w:cs="Arial" w:eastAsia="Arial" w:hAnsi="Arial"/>
          <w:sz w:val="14"/>
          <w:szCs w:val="14"/>
          <w:color w:val="auto"/>
        </w:rPr>
        <w:t>Includes directors with experience developing, implementing, or evaluating strategic business imperatives and long-term value creation through a sustainability focused business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-460375</wp:posOffset>
            </wp:positionH>
            <wp:positionV relativeFrom="paragraph">
              <wp:posOffset>218440</wp:posOffset>
            </wp:positionV>
            <wp:extent cx="2494280" cy="42862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494280"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Product Quality and Safety, and EH&amp;S</w:t>
      </w:r>
    </w:p>
    <w:p>
      <w:pPr>
        <w:spacing w:after="0" w:line="108" w:lineRule="exact"/>
        <w:rPr>
          <w:sz w:val="20"/>
          <w:szCs w:val="20"/>
          <w:color w:val="auto"/>
        </w:rPr>
      </w:pPr>
    </w:p>
    <w:p>
      <w:pPr>
        <w:ind w:right="140"/>
        <w:spacing w:after="0" w:line="325" w:lineRule="auto"/>
        <w:rPr>
          <w:sz w:val="20"/>
          <w:szCs w:val="20"/>
          <w:color w:val="auto"/>
        </w:rPr>
      </w:pPr>
      <w:r>
        <w:rPr>
          <w:rFonts w:ascii="Arial" w:cs="Arial" w:eastAsia="Arial" w:hAnsi="Arial"/>
          <w:sz w:val="14"/>
          <w:szCs w:val="14"/>
          <w:color w:val="auto"/>
        </w:rPr>
        <w:t>Includes directors with experience in product quality, product safety or environmental, health, and safety.</w:t>
      </w:r>
    </w:p>
    <w:p>
      <w:pPr>
        <w:spacing w:after="0" w:line="200" w:lineRule="exact"/>
        <w:rPr>
          <w:sz w:val="20"/>
          <w:szCs w:val="20"/>
          <w:color w:val="auto"/>
        </w:rPr>
      </w:pPr>
    </w:p>
    <w:p>
      <w:pPr>
        <w:sectPr>
          <w:pgSz w:w="11900" w:h="16838" w:orient="portrait"/>
          <w:cols w:equalWidth="0" w:num="2">
            <w:col w:w="5940" w:space="720"/>
            <w:col w:w="4580"/>
          </w:cols>
          <w:pgMar w:left="320" w:top="314"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10800" w:type="dxa"/>
            <w:vAlign w:val="bottom"/>
          </w:tcPr>
          <w:p>
            <w:pPr>
              <w:ind w:left="8260"/>
              <w:spacing w:after="0"/>
              <w:rPr>
                <w:sz w:val="20"/>
                <w:szCs w:val="20"/>
                <w:color w:val="auto"/>
              </w:rPr>
            </w:pPr>
            <w:r>
              <w:rPr>
                <w:rFonts w:ascii="Arial" w:cs="Arial" w:eastAsia="Arial" w:hAnsi="Arial"/>
                <w:sz w:val="16"/>
                <w:szCs w:val="16"/>
                <w:b w:val="1"/>
                <w:bCs w:val="1"/>
                <w:color w:val="auto"/>
              </w:rPr>
              <w:t xml:space="preserve">2026 Proxy Statement </w:t>
            </w:r>
            <w:r>
              <w:rPr>
                <w:rFonts w:ascii="Arial" w:cs="Arial" w:eastAsia="Arial" w:hAnsi="Arial"/>
                <w:sz w:val="16"/>
                <w:szCs w:val="16"/>
                <w:b w:val="1"/>
                <w:bCs w:val="1"/>
                <w:color w:val="0C3471"/>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Pentair</w:t>
            </w:r>
          </w:p>
        </w:tc>
        <w:tc>
          <w:tcPr>
            <w:tcW w:w="440" w:type="dxa"/>
            <w:vAlign w:val="bottom"/>
          </w:tcPr>
          <w:p>
            <w:pPr>
              <w:jc w:val="right"/>
              <w:spacing w:after="0"/>
              <w:rPr>
                <w:sz w:val="20"/>
                <w:szCs w:val="20"/>
                <w:color w:val="auto"/>
              </w:rPr>
            </w:pPr>
            <w:r>
              <w:rPr>
                <w:rFonts w:ascii="Arial" w:cs="Arial" w:eastAsia="Arial" w:hAnsi="Arial"/>
                <w:sz w:val="16"/>
                <w:szCs w:val="16"/>
                <w:b w:val="1"/>
                <w:bCs w:val="1"/>
                <w:color w:val="auto"/>
              </w:rPr>
              <w:t>11</w:t>
            </w:r>
          </w:p>
        </w:tc>
      </w:tr>
      <w:tr>
        <w:trPr>
          <w:trHeight w:val="325"/>
        </w:trPr>
        <w:tc>
          <w:tcPr>
            <w:tcW w:w="108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14" w:right="339" w:bottom="1440" w:gutter="0" w:footer="0" w:header="0"/>
          <w:type w:val="continuous"/>
        </w:sectPr>
      </w:pPr>
    </w:p>
    <w:bookmarkStart w:id="13" w:name="page14"/>
    <w:bookmarkEnd w:id="13"/>
    <w:p>
      <w:pPr>
        <w:ind w:left="38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225425</wp:posOffset>
            </wp:positionH>
            <wp:positionV relativeFrom="page">
              <wp:posOffset>191770</wp:posOffset>
            </wp:positionV>
            <wp:extent cx="102870" cy="11112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clrChange>
                        <a:clrFrom>
                          <a:srgbClr val="FFFFFF"/>
                        </a:clrFrom>
                        <a:clrTo>
                          <a:srgbClr val="FFFFFF">
                            <a:alpha val="0"/>
                          </a:srgbClr>
                        </a:clrTo>
                      </a:clrChange>
                      <a:extLst>
                        <a:ext uri="{28A0092B-C50C-407E-A947-70E740481C1C}"/>
                      </a:extLst>
                    </a:blip>
                    <a:srcRect/>
                    <a:stretch>
                      <a:fillRect/>
                    </a:stretch>
                  </pic:blipFill>
                  <pic:spPr bwMode="auto">
                    <a:xfrm>
                      <a:off x="0" y="0"/>
                      <a:ext cx="102870" cy="111125"/>
                    </a:xfrm>
                    <a:prstGeom prst="rect">
                      <a:avLst/>
                    </a:prstGeom>
                    <a:noFill/>
                  </pic:spPr>
                </pic:pic>
              </a:graphicData>
            </a:graphic>
          </wp:anchor>
        </w:drawing>
        <w:t>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28"/>
          <w:szCs w:val="28"/>
          <w:color w:val="64A70B"/>
        </w:rPr>
        <w:t>Nominee Biographies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40575" cy="390906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40575" cy="3909060"/>
                    </a:xfrm>
                    <a:prstGeom prst="rect">
                      <a:avLst/>
                    </a:prstGeom>
                    <a:noFill/>
                  </pic:spPr>
                </pic:pic>
              </a:graphicData>
            </a:graphic>
          </wp:anchor>
        </w:drawing>
      </w:r>
    </w:p>
    <w:p>
      <w:pPr>
        <w:sectPr>
          <w:pgSz w:w="11900" w:h="16838" w:orient="portrait"/>
          <w:cols w:equalWidth="0" w:num="1">
            <w:col w:w="10920"/>
          </w:cols>
          <w:pgMar w:left="340" w:top="314" w:right="6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140" w:right="272"/>
        <w:spacing w:after="0" w:line="304" w:lineRule="auto"/>
        <w:rPr>
          <w:sz w:val="20"/>
          <w:szCs w:val="20"/>
          <w:color w:val="auto"/>
        </w:rPr>
      </w:pPr>
      <w:r>
        <w:rPr>
          <w:rFonts w:ascii="Arial" w:cs="Arial" w:eastAsia="Arial" w:hAnsi="Arial"/>
          <w:sz w:val="17"/>
          <w:szCs w:val="17"/>
          <w:b w:val="1"/>
          <w:bCs w:val="1"/>
          <w:color w:val="0C3471"/>
        </w:rPr>
        <w:t>MONA ABUTALEB STEPHENSON</w:t>
      </w:r>
    </w:p>
    <w:p>
      <w:pPr>
        <w:ind w:left="140" w:right="352"/>
        <w:spacing w:after="0" w:line="261" w:lineRule="auto"/>
        <w:rPr>
          <w:sz w:val="20"/>
          <w:szCs w:val="20"/>
          <w:color w:val="auto"/>
        </w:rPr>
      </w:pPr>
      <w:r>
        <w:rPr>
          <w:rFonts w:ascii="Arial" w:cs="Arial" w:eastAsia="Arial" w:hAnsi="Arial"/>
          <w:sz w:val="14"/>
          <w:szCs w:val="14"/>
          <w:color w:val="auto"/>
        </w:rPr>
        <w:t>Chief Executive Officer, Medical Technology</w:t>
      </w:r>
    </w:p>
    <w:p>
      <w:pPr>
        <w:spacing w:after="0" w:line="1" w:lineRule="exact"/>
        <w:rPr>
          <w:sz w:val="20"/>
          <w:szCs w:val="20"/>
          <w:color w:val="auto"/>
        </w:rPr>
      </w:pPr>
    </w:p>
    <w:p>
      <w:pPr>
        <w:ind w:left="140"/>
        <w:spacing w:after="0"/>
        <w:rPr>
          <w:sz w:val="20"/>
          <w:szCs w:val="20"/>
          <w:color w:val="auto"/>
        </w:rPr>
      </w:pPr>
      <w:r>
        <w:rPr>
          <w:rFonts w:ascii="Arial" w:cs="Arial" w:eastAsia="Arial" w:hAnsi="Arial"/>
          <w:sz w:val="14"/>
          <w:szCs w:val="14"/>
          <w:color w:val="auto"/>
        </w:rPr>
        <w:t>Solutions, LLC</w:t>
      </w:r>
    </w:p>
    <w:p>
      <w:pPr>
        <w:spacing w:after="0" w:line="230" w:lineRule="exact"/>
        <w:rPr>
          <w:sz w:val="20"/>
          <w:szCs w:val="20"/>
          <w:color w:val="auto"/>
        </w:rPr>
      </w:pPr>
    </w:p>
    <w:p>
      <w:pPr>
        <w:ind w:left="140"/>
        <w:spacing w:after="0"/>
        <w:rPr>
          <w:sz w:val="20"/>
          <w:szCs w:val="20"/>
          <w:color w:val="auto"/>
        </w:rPr>
      </w:pPr>
      <w:r>
        <w:rPr>
          <w:rFonts w:ascii="Arial" w:cs="Arial" w:eastAsia="Arial" w:hAnsi="Arial"/>
          <w:sz w:val="14"/>
          <w:szCs w:val="14"/>
          <w:color w:val="0C3471"/>
        </w:rPr>
        <w:t>Independent</w:t>
      </w:r>
    </w:p>
    <w:p>
      <w:pPr>
        <w:spacing w:after="0" w:line="29" w:lineRule="exact"/>
        <w:rPr>
          <w:sz w:val="20"/>
          <w:szCs w:val="20"/>
          <w:color w:val="auto"/>
        </w:rPr>
      </w:pPr>
    </w:p>
    <w:p>
      <w:pPr>
        <w:ind w:left="140"/>
        <w:spacing w:after="0"/>
        <w:rPr>
          <w:sz w:val="20"/>
          <w:szCs w:val="20"/>
          <w:color w:val="auto"/>
        </w:rPr>
      </w:pPr>
      <w:r>
        <w:rPr>
          <w:rFonts w:ascii="Arial" w:cs="Arial" w:eastAsia="Arial" w:hAnsi="Arial"/>
          <w:sz w:val="14"/>
          <w:szCs w:val="14"/>
          <w:color w:val="0C3471"/>
        </w:rPr>
        <w:t xml:space="preserve">Age: </w:t>
      </w:r>
      <w:r>
        <w:rPr>
          <w:rFonts w:ascii="Arial" w:cs="Arial" w:eastAsia="Arial" w:hAnsi="Arial"/>
          <w:sz w:val="14"/>
          <w:szCs w:val="14"/>
          <w:color w:val="000000"/>
        </w:rPr>
        <w:t>63</w:t>
      </w:r>
    </w:p>
    <w:p>
      <w:pPr>
        <w:spacing w:after="0" w:line="15" w:lineRule="exact"/>
        <w:rPr>
          <w:sz w:val="20"/>
          <w:szCs w:val="20"/>
          <w:color w:val="auto"/>
        </w:rPr>
      </w:pPr>
    </w:p>
    <w:p>
      <w:pPr>
        <w:ind w:left="140"/>
        <w:spacing w:after="0"/>
        <w:rPr>
          <w:sz w:val="20"/>
          <w:szCs w:val="20"/>
          <w:color w:val="auto"/>
        </w:rPr>
      </w:pPr>
      <w:r>
        <w:rPr>
          <w:rFonts w:ascii="Arial" w:cs="Arial" w:eastAsia="Arial" w:hAnsi="Arial"/>
          <w:sz w:val="14"/>
          <w:szCs w:val="14"/>
          <w:color w:val="0C3471"/>
        </w:rPr>
        <w:t xml:space="preserve">Director Since: </w:t>
      </w:r>
      <w:r>
        <w:rPr>
          <w:rFonts w:ascii="Arial" w:cs="Arial" w:eastAsia="Arial" w:hAnsi="Arial"/>
          <w:sz w:val="14"/>
          <w:szCs w:val="14"/>
          <w:color w:val="000000"/>
        </w:rPr>
        <w:t>2019</w:t>
      </w:r>
    </w:p>
    <w:p>
      <w:pPr>
        <w:spacing w:after="0" w:line="15" w:lineRule="exact"/>
        <w:rPr>
          <w:sz w:val="20"/>
          <w:szCs w:val="20"/>
          <w:color w:val="auto"/>
        </w:rPr>
      </w:pPr>
    </w:p>
    <w:p>
      <w:pPr>
        <w:ind w:left="140"/>
        <w:spacing w:after="0"/>
        <w:rPr>
          <w:sz w:val="20"/>
          <w:szCs w:val="20"/>
          <w:color w:val="auto"/>
        </w:rPr>
      </w:pPr>
      <w:r>
        <w:rPr>
          <w:rFonts w:ascii="Arial" w:cs="Arial" w:eastAsia="Arial" w:hAnsi="Arial"/>
          <w:sz w:val="14"/>
          <w:szCs w:val="14"/>
          <w:color w:val="0C3471"/>
        </w:rPr>
        <w:t xml:space="preserve">Committees: </w:t>
      </w:r>
      <w:r>
        <w:rPr>
          <w:rFonts w:ascii="Arial" w:cs="Arial" w:eastAsia="Arial" w:hAnsi="Arial"/>
          <w:sz w:val="14"/>
          <w:szCs w:val="14"/>
          <w:color w:val="000000"/>
        </w:rPr>
        <w:t>Governance*</w:t>
      </w:r>
    </w:p>
    <w:p>
      <w:pPr>
        <w:spacing w:after="0" w:line="15" w:lineRule="exact"/>
        <w:rPr>
          <w:sz w:val="20"/>
          <w:szCs w:val="20"/>
          <w:color w:val="auto"/>
        </w:rPr>
      </w:pPr>
    </w:p>
    <w:p>
      <w:pPr>
        <w:ind w:left="140"/>
        <w:spacing w:after="0"/>
        <w:rPr>
          <w:sz w:val="20"/>
          <w:szCs w:val="20"/>
          <w:color w:val="auto"/>
        </w:rPr>
      </w:pPr>
      <w:r>
        <w:rPr>
          <w:rFonts w:ascii="Arial" w:cs="Arial" w:eastAsia="Arial" w:hAnsi="Arial"/>
          <w:sz w:val="14"/>
          <w:szCs w:val="14"/>
          <w:color w:val="auto"/>
        </w:rPr>
        <w:t>Compensation*</w:t>
      </w:r>
    </w:p>
    <w:p>
      <w:pPr>
        <w:spacing w:after="0" w:line="225"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0C3471"/>
        </w:rPr>
        <w:t>Other Current</w:t>
      </w:r>
    </w:p>
    <w:p>
      <w:pPr>
        <w:spacing w:after="0" w:line="21"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0C3471"/>
        </w:rPr>
        <w:t>Public Board Service:</w:t>
      </w:r>
    </w:p>
    <w:p>
      <w:pPr>
        <w:spacing w:after="0" w:line="48" w:lineRule="exact"/>
        <w:rPr>
          <w:sz w:val="20"/>
          <w:szCs w:val="20"/>
          <w:color w:val="auto"/>
        </w:rPr>
      </w:pPr>
    </w:p>
    <w:p>
      <w:pPr>
        <w:ind w:left="140"/>
        <w:spacing w:after="0"/>
        <w:rPr>
          <w:sz w:val="20"/>
          <w:szCs w:val="20"/>
          <w:color w:val="auto"/>
        </w:rPr>
      </w:pPr>
      <w:r>
        <w:rPr>
          <w:rFonts w:ascii="Arial" w:cs="Arial" w:eastAsia="Arial" w:hAnsi="Arial"/>
          <w:sz w:val="14"/>
          <w:szCs w:val="14"/>
          <w:color w:val="auto"/>
        </w:rPr>
        <w:t>Atlantic Union Bankshares</w:t>
      </w:r>
    </w:p>
    <w:p>
      <w:pPr>
        <w:spacing w:after="0" w:line="29" w:lineRule="exact"/>
        <w:rPr>
          <w:sz w:val="20"/>
          <w:szCs w:val="20"/>
          <w:color w:val="auto"/>
        </w:rPr>
      </w:pPr>
    </w:p>
    <w:p>
      <w:pPr>
        <w:ind w:left="140"/>
        <w:spacing w:after="0"/>
        <w:rPr>
          <w:sz w:val="20"/>
          <w:szCs w:val="20"/>
          <w:color w:val="auto"/>
        </w:rPr>
      </w:pPr>
      <w:r>
        <w:rPr>
          <w:rFonts w:ascii="Arial" w:cs="Arial" w:eastAsia="Arial" w:hAnsi="Arial"/>
          <w:sz w:val="14"/>
          <w:szCs w:val="14"/>
          <w:color w:val="auto"/>
        </w:rPr>
        <w:t>Corporation</w:t>
      </w:r>
    </w:p>
    <w:p>
      <w:pPr>
        <w:spacing w:after="0" w:line="15" w:lineRule="exact"/>
        <w:rPr>
          <w:sz w:val="20"/>
          <w:szCs w:val="20"/>
          <w:color w:val="auto"/>
        </w:rPr>
      </w:pPr>
    </w:p>
    <w:p>
      <w:pPr>
        <w:ind w:left="180"/>
        <w:spacing w:after="0"/>
        <w:rPr>
          <w:sz w:val="20"/>
          <w:szCs w:val="20"/>
          <w:color w:val="auto"/>
        </w:rPr>
      </w:pPr>
      <w:r>
        <w:rPr>
          <w:rFonts w:ascii="Arial" w:cs="Arial" w:eastAsia="Arial" w:hAnsi="Arial"/>
          <w:sz w:val="14"/>
          <w:szCs w:val="14"/>
          <w:color w:val="auto"/>
        </w:rPr>
        <w:t>(2025–present)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0" w:lineRule="exact"/>
        <w:rPr>
          <w:sz w:val="20"/>
          <w:szCs w:val="20"/>
          <w:color w:val="auto"/>
        </w:rPr>
      </w:pPr>
    </w:p>
    <w:p>
      <w:pPr>
        <w:ind w:left="8"/>
        <w:spacing w:after="0"/>
        <w:rPr>
          <w:sz w:val="20"/>
          <w:szCs w:val="20"/>
          <w:color w:val="auto"/>
        </w:rPr>
      </w:pPr>
      <w:r>
        <w:rPr>
          <w:rFonts w:ascii="Arial" w:cs="Arial" w:eastAsia="Arial" w:hAnsi="Arial"/>
          <w:sz w:val="16"/>
          <w:szCs w:val="16"/>
          <w:b w:val="1"/>
          <w:bCs w:val="1"/>
          <w:color w:val="0C3471"/>
        </w:rPr>
        <w:t>Biography:</w:t>
      </w:r>
    </w:p>
    <w:p>
      <w:pPr>
        <w:spacing w:after="0" w:line="127" w:lineRule="exact"/>
        <w:rPr>
          <w:sz w:val="20"/>
          <w:szCs w:val="20"/>
          <w:color w:val="auto"/>
        </w:rPr>
      </w:pPr>
    </w:p>
    <w:p>
      <w:pPr>
        <w:ind w:left="188" w:right="680" w:hanging="188"/>
        <w:spacing w:after="0" w:line="321" w:lineRule="auto"/>
        <w:tabs>
          <w:tab w:leader="none" w:pos="144" w:val="left"/>
        </w:tabs>
        <w:numPr>
          <w:ilvl w:val="0"/>
          <w:numId w:val="21"/>
        </w:numPr>
        <w:rPr>
          <w:rFonts w:ascii="Arial" w:cs="Arial" w:eastAsia="Arial" w:hAnsi="Arial"/>
          <w:sz w:val="13"/>
          <w:szCs w:val="13"/>
          <w:color w:val="64A70B"/>
        </w:rPr>
      </w:pPr>
      <w:r>
        <w:rPr>
          <w:rFonts w:ascii="Arial" w:cs="Arial" w:eastAsia="Arial" w:hAnsi="Arial"/>
          <w:sz w:val="16"/>
          <w:szCs w:val="16"/>
          <w:color w:val="auto"/>
        </w:rPr>
        <w:t>Chief Executive Officer of Medical Technology Solutions, LLC, a provider of technology solutions for the healthcare industry, from 2019 to present</w:t>
      </w:r>
    </w:p>
    <w:p>
      <w:pPr>
        <w:spacing w:after="0" w:line="7" w:lineRule="exact"/>
        <w:rPr>
          <w:rFonts w:ascii="Arial" w:cs="Arial" w:eastAsia="Arial" w:hAnsi="Arial"/>
          <w:sz w:val="13"/>
          <w:szCs w:val="13"/>
          <w:color w:val="64A70B"/>
        </w:rPr>
      </w:pPr>
    </w:p>
    <w:p>
      <w:pPr>
        <w:ind w:left="148" w:hanging="148"/>
        <w:spacing w:after="0"/>
        <w:tabs>
          <w:tab w:leader="none" w:pos="148" w:val="left"/>
        </w:tabs>
        <w:numPr>
          <w:ilvl w:val="0"/>
          <w:numId w:val="21"/>
        </w:numPr>
        <w:rPr>
          <w:rFonts w:ascii="Arial" w:cs="Arial" w:eastAsia="Arial" w:hAnsi="Arial"/>
          <w:sz w:val="13"/>
          <w:szCs w:val="13"/>
          <w:color w:val="64A70B"/>
        </w:rPr>
      </w:pPr>
      <w:r>
        <w:rPr>
          <w:rFonts w:ascii="Arial" w:cs="Arial" w:eastAsia="Arial" w:hAnsi="Arial"/>
          <w:sz w:val="16"/>
          <w:szCs w:val="16"/>
          <w:color w:val="auto"/>
        </w:rPr>
        <w:t>Member of the board of directors of Atlantic Union Bankshares Corporation from April 2025 to present</w:t>
      </w:r>
    </w:p>
    <w:p>
      <w:pPr>
        <w:spacing w:after="0" w:line="99" w:lineRule="exact"/>
        <w:rPr>
          <w:rFonts w:ascii="Arial" w:cs="Arial" w:eastAsia="Arial" w:hAnsi="Arial"/>
          <w:sz w:val="13"/>
          <w:szCs w:val="13"/>
          <w:color w:val="64A70B"/>
        </w:rPr>
      </w:pPr>
    </w:p>
    <w:p>
      <w:pPr>
        <w:ind w:left="148" w:hanging="148"/>
        <w:spacing w:after="0"/>
        <w:tabs>
          <w:tab w:leader="none" w:pos="148" w:val="left"/>
        </w:tabs>
        <w:numPr>
          <w:ilvl w:val="0"/>
          <w:numId w:val="21"/>
        </w:numPr>
        <w:rPr>
          <w:rFonts w:ascii="Arial" w:cs="Arial" w:eastAsia="Arial" w:hAnsi="Arial"/>
          <w:sz w:val="13"/>
          <w:szCs w:val="13"/>
          <w:color w:val="64A70B"/>
        </w:rPr>
      </w:pPr>
      <w:r>
        <w:rPr>
          <w:rFonts w:ascii="Arial" w:cs="Arial" w:eastAsia="Arial" w:hAnsi="Arial"/>
          <w:sz w:val="16"/>
          <w:szCs w:val="16"/>
          <w:color w:val="auto"/>
        </w:rPr>
        <w:t>Member of the board of directors of Sandy Spring Bancorp, Inc. from 2015 to April 2025</w:t>
      </w:r>
    </w:p>
    <w:p>
      <w:pPr>
        <w:spacing w:after="0" w:line="99" w:lineRule="exact"/>
        <w:rPr>
          <w:rFonts w:ascii="Arial" w:cs="Arial" w:eastAsia="Arial" w:hAnsi="Arial"/>
          <w:sz w:val="13"/>
          <w:szCs w:val="13"/>
          <w:color w:val="64A70B"/>
        </w:rPr>
      </w:pPr>
    </w:p>
    <w:p>
      <w:pPr>
        <w:ind w:left="188" w:right="600" w:hanging="188"/>
        <w:spacing w:after="0" w:line="304" w:lineRule="auto"/>
        <w:tabs>
          <w:tab w:leader="none" w:pos="144" w:val="left"/>
        </w:tabs>
        <w:numPr>
          <w:ilvl w:val="0"/>
          <w:numId w:val="21"/>
        </w:numPr>
        <w:rPr>
          <w:rFonts w:ascii="Arial" w:cs="Arial" w:eastAsia="Arial" w:hAnsi="Arial"/>
          <w:sz w:val="13"/>
          <w:szCs w:val="13"/>
          <w:color w:val="64A70B"/>
        </w:rPr>
      </w:pPr>
      <w:r>
        <w:rPr>
          <w:rFonts w:ascii="Arial" w:cs="Arial" w:eastAsia="Arial" w:hAnsi="Arial"/>
          <w:sz w:val="16"/>
          <w:szCs w:val="16"/>
          <w:color w:val="auto"/>
        </w:rPr>
        <w:t>Chief Executive Officer of mindSHIFT Technologies, Inc., an IT outsourcing/managed services and cloud services provider, from 2013 to 2018</w:t>
      </w:r>
    </w:p>
    <w:p>
      <w:pPr>
        <w:spacing w:after="0" w:line="19" w:lineRule="exact"/>
        <w:rPr>
          <w:rFonts w:ascii="Arial" w:cs="Arial" w:eastAsia="Arial" w:hAnsi="Arial"/>
          <w:sz w:val="13"/>
          <w:szCs w:val="13"/>
          <w:color w:val="64A70B"/>
        </w:rPr>
      </w:pPr>
    </w:p>
    <w:p>
      <w:pPr>
        <w:ind w:left="148" w:hanging="148"/>
        <w:spacing w:after="0"/>
        <w:tabs>
          <w:tab w:leader="none" w:pos="148" w:val="left"/>
        </w:tabs>
        <w:numPr>
          <w:ilvl w:val="0"/>
          <w:numId w:val="21"/>
        </w:numPr>
        <w:rPr>
          <w:rFonts w:ascii="Arial" w:cs="Arial" w:eastAsia="Arial" w:hAnsi="Arial"/>
          <w:sz w:val="13"/>
          <w:szCs w:val="13"/>
          <w:color w:val="64A70B"/>
        </w:rPr>
      </w:pPr>
      <w:r>
        <w:rPr>
          <w:rFonts w:ascii="Arial" w:cs="Arial" w:eastAsia="Arial" w:hAnsi="Arial"/>
          <w:sz w:val="16"/>
          <w:szCs w:val="16"/>
          <w:color w:val="auto"/>
        </w:rPr>
        <w:t>President and Chief Operating Officer of mindSHIFT from 2006 to 2013</w:t>
      </w:r>
    </w:p>
    <w:p>
      <w:pPr>
        <w:spacing w:after="0" w:line="99" w:lineRule="exact"/>
        <w:rPr>
          <w:rFonts w:ascii="Arial" w:cs="Arial" w:eastAsia="Arial" w:hAnsi="Arial"/>
          <w:sz w:val="13"/>
          <w:szCs w:val="13"/>
          <w:color w:val="64A70B"/>
        </w:rPr>
      </w:pPr>
    </w:p>
    <w:p>
      <w:pPr>
        <w:ind w:left="188" w:right="180" w:hanging="188"/>
        <w:spacing w:after="0" w:line="321" w:lineRule="auto"/>
        <w:tabs>
          <w:tab w:leader="none" w:pos="144" w:val="left"/>
        </w:tabs>
        <w:numPr>
          <w:ilvl w:val="0"/>
          <w:numId w:val="21"/>
        </w:numPr>
        <w:rPr>
          <w:rFonts w:ascii="Arial" w:cs="Arial" w:eastAsia="Arial" w:hAnsi="Arial"/>
          <w:sz w:val="13"/>
          <w:szCs w:val="13"/>
          <w:color w:val="64A70B"/>
        </w:rPr>
      </w:pPr>
      <w:r>
        <w:rPr>
          <w:rFonts w:ascii="Arial" w:cs="Arial" w:eastAsia="Arial" w:hAnsi="Arial"/>
          <w:sz w:val="16"/>
          <w:szCs w:val="16"/>
          <w:color w:val="auto"/>
        </w:rPr>
        <w:t>Senior Vice President of Ricoh USA from 2015 to 2017 and Executive Vice President of Ricoh Global Services from 2017 to 2018</w:t>
      </w:r>
    </w:p>
    <w:p>
      <w:pPr>
        <w:spacing w:after="0" w:line="7" w:lineRule="exact"/>
        <w:rPr>
          <w:rFonts w:ascii="Arial" w:cs="Arial" w:eastAsia="Arial" w:hAnsi="Arial"/>
          <w:sz w:val="13"/>
          <w:szCs w:val="13"/>
          <w:color w:val="64A70B"/>
        </w:rPr>
      </w:pPr>
    </w:p>
    <w:p>
      <w:pPr>
        <w:ind w:left="188" w:right="20" w:hanging="188"/>
        <w:spacing w:after="0" w:line="292" w:lineRule="auto"/>
        <w:tabs>
          <w:tab w:leader="none" w:pos="144" w:val="left"/>
        </w:tabs>
        <w:numPr>
          <w:ilvl w:val="0"/>
          <w:numId w:val="21"/>
        </w:numPr>
        <w:rPr>
          <w:rFonts w:ascii="Arial" w:cs="Arial" w:eastAsia="Arial" w:hAnsi="Arial"/>
          <w:sz w:val="13"/>
          <w:szCs w:val="13"/>
          <w:color w:val="64A70B"/>
        </w:rPr>
      </w:pPr>
      <w:r>
        <w:rPr>
          <w:rFonts w:ascii="Arial" w:cs="Arial" w:eastAsia="Arial" w:hAnsi="Arial"/>
          <w:sz w:val="16"/>
          <w:szCs w:val="16"/>
          <w:color w:val="auto"/>
        </w:rPr>
        <w:t>In 2012, mindSHIFT was acquired by Best Buy Co., Inc. and then later, in 2014, was acquired by Ricoh Company, Ltd., a leading provider of document management solutions, IT services, printing, digital cameras and industrial systems</w:t>
      </w:r>
    </w:p>
    <w:p>
      <w:pPr>
        <w:spacing w:after="0" w:line="200" w:lineRule="exact"/>
        <w:rPr>
          <w:sz w:val="20"/>
          <w:szCs w:val="20"/>
          <w:color w:val="auto"/>
        </w:rPr>
      </w:pPr>
    </w:p>
    <w:p>
      <w:pPr>
        <w:spacing w:after="0" w:line="357" w:lineRule="exact"/>
        <w:rPr>
          <w:sz w:val="20"/>
          <w:szCs w:val="20"/>
          <w:color w:val="auto"/>
        </w:rPr>
      </w:pPr>
    </w:p>
    <w:p>
      <w:pPr>
        <w:ind w:left="8"/>
        <w:spacing w:after="0"/>
        <w:rPr>
          <w:sz w:val="20"/>
          <w:szCs w:val="20"/>
          <w:color w:val="auto"/>
        </w:rPr>
      </w:pPr>
      <w:r>
        <w:rPr>
          <w:rFonts w:ascii="Arial" w:cs="Arial" w:eastAsia="Arial" w:hAnsi="Arial"/>
          <w:sz w:val="16"/>
          <w:szCs w:val="16"/>
          <w:b w:val="1"/>
          <w:bCs w:val="1"/>
          <w:color w:val="0C3471"/>
        </w:rPr>
        <w:t>Skills &amp; Qualifications:</w:t>
      </w:r>
    </w:p>
    <w:p>
      <w:pPr>
        <w:spacing w:after="0" w:line="127" w:lineRule="exact"/>
        <w:rPr>
          <w:sz w:val="20"/>
          <w:szCs w:val="20"/>
          <w:color w:val="auto"/>
        </w:rPr>
      </w:pPr>
    </w:p>
    <w:p>
      <w:pPr>
        <w:ind w:left="8" w:right="100"/>
        <w:spacing w:after="0" w:line="292" w:lineRule="auto"/>
        <w:rPr>
          <w:sz w:val="20"/>
          <w:szCs w:val="20"/>
          <w:color w:val="auto"/>
        </w:rPr>
      </w:pPr>
      <w:r>
        <w:rPr>
          <w:rFonts w:ascii="Arial" w:cs="Arial" w:eastAsia="Arial" w:hAnsi="Arial"/>
          <w:sz w:val="16"/>
          <w:szCs w:val="16"/>
          <w:color w:val="auto"/>
        </w:rPr>
        <w:t>Ms. Abutaleb has significant executive leadership experience, including in the areas of technology, cyber risk management and strategic planning. Ms. Abutaleb’s experience serving on the board of a company operating in a highly regulated industry contributes to her experience overseeing governance and risk.</w:t>
      </w:r>
    </w:p>
    <w:p>
      <w:pPr>
        <w:spacing w:after="0" w:line="76" w:lineRule="exact"/>
        <w:rPr>
          <w:sz w:val="20"/>
          <w:szCs w:val="20"/>
          <w:color w:val="auto"/>
        </w:rPr>
      </w:pPr>
    </w:p>
    <w:p>
      <w:pPr>
        <w:ind w:left="188" w:right="200" w:hanging="188"/>
        <w:spacing w:after="0" w:line="325" w:lineRule="auto"/>
        <w:tabs>
          <w:tab w:leader="none" w:pos="249" w:val="left"/>
        </w:tabs>
        <w:numPr>
          <w:ilvl w:val="0"/>
          <w:numId w:val="22"/>
        </w:numPr>
        <w:rPr>
          <w:rFonts w:ascii="Arial" w:cs="Arial" w:eastAsia="Arial" w:hAnsi="Arial"/>
          <w:sz w:val="14"/>
          <w:szCs w:val="14"/>
          <w:color w:val="auto"/>
        </w:rPr>
      </w:pPr>
      <w:r>
        <w:rPr>
          <w:rFonts w:ascii="Arial" w:cs="Arial" w:eastAsia="Arial" w:hAnsi="Arial"/>
          <w:sz w:val="14"/>
          <w:szCs w:val="14"/>
          <w:color w:val="auto"/>
        </w:rPr>
        <w:t>Upon completion of the Annual General Meeting, Ms. Abutaleb will join the Governance Committee and the Compensation Committees. She is currently a member of the Audit and Finance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-1716405</wp:posOffset>
            </wp:positionH>
            <wp:positionV relativeFrom="paragraph">
              <wp:posOffset>372110</wp:posOffset>
            </wp:positionV>
            <wp:extent cx="7140575" cy="304292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40575" cy="304292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972" w:space="720"/>
            <w:col w:w="8228"/>
          </w:cols>
          <w:pgMar w:left="340" w:top="314" w:right="6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0C3471"/>
        </w:rPr>
        <w:t>MELISSA BARRA</w:t>
      </w:r>
    </w:p>
    <w:p>
      <w:pPr>
        <w:spacing w:after="0" w:line="73" w:lineRule="exact"/>
        <w:rPr>
          <w:sz w:val="20"/>
          <w:szCs w:val="20"/>
          <w:color w:val="auto"/>
        </w:rPr>
      </w:pPr>
    </w:p>
    <w:p>
      <w:pPr>
        <w:ind w:left="140"/>
        <w:spacing w:after="0"/>
        <w:rPr>
          <w:sz w:val="20"/>
          <w:szCs w:val="20"/>
          <w:color w:val="auto"/>
        </w:rPr>
      </w:pPr>
      <w:r>
        <w:rPr>
          <w:rFonts w:ascii="Arial" w:cs="Arial" w:eastAsia="Arial" w:hAnsi="Arial"/>
          <w:sz w:val="14"/>
          <w:szCs w:val="14"/>
          <w:color w:val="auto"/>
        </w:rPr>
        <w:t>Executive Vice</w:t>
      </w:r>
    </w:p>
    <w:p>
      <w:pPr>
        <w:spacing w:after="0" w:line="29" w:lineRule="exact"/>
        <w:rPr>
          <w:sz w:val="20"/>
          <w:szCs w:val="20"/>
          <w:color w:val="auto"/>
        </w:rPr>
      </w:pPr>
    </w:p>
    <w:p>
      <w:pPr>
        <w:ind w:left="140"/>
        <w:spacing w:after="0"/>
        <w:rPr>
          <w:sz w:val="20"/>
          <w:szCs w:val="20"/>
          <w:color w:val="auto"/>
        </w:rPr>
      </w:pPr>
      <w:r>
        <w:rPr>
          <w:rFonts w:ascii="Arial" w:cs="Arial" w:eastAsia="Arial" w:hAnsi="Arial"/>
          <w:sz w:val="14"/>
          <w:szCs w:val="14"/>
          <w:color w:val="auto"/>
        </w:rPr>
        <w:t>President, Chief Product</w:t>
      </w:r>
    </w:p>
    <w:p>
      <w:pPr>
        <w:spacing w:after="0" w:line="15" w:lineRule="exact"/>
        <w:rPr>
          <w:sz w:val="20"/>
          <w:szCs w:val="20"/>
          <w:color w:val="auto"/>
        </w:rPr>
      </w:pPr>
    </w:p>
    <w:p>
      <w:pPr>
        <w:ind w:left="140"/>
        <w:spacing w:after="0"/>
        <w:rPr>
          <w:sz w:val="20"/>
          <w:szCs w:val="20"/>
          <w:color w:val="auto"/>
        </w:rPr>
      </w:pPr>
      <w:r>
        <w:rPr>
          <w:rFonts w:ascii="Arial" w:cs="Arial" w:eastAsia="Arial" w:hAnsi="Arial"/>
          <w:sz w:val="14"/>
          <w:szCs w:val="14"/>
          <w:color w:val="auto"/>
        </w:rPr>
        <w:t>and Enterprise Strategy Officer,</w:t>
      </w:r>
    </w:p>
    <w:p>
      <w:pPr>
        <w:spacing w:after="0" w:line="15" w:lineRule="exact"/>
        <w:rPr>
          <w:sz w:val="20"/>
          <w:szCs w:val="20"/>
          <w:color w:val="auto"/>
        </w:rPr>
      </w:pPr>
    </w:p>
    <w:p>
      <w:pPr>
        <w:ind w:left="140"/>
        <w:spacing w:after="0"/>
        <w:rPr>
          <w:sz w:val="20"/>
          <w:szCs w:val="20"/>
          <w:color w:val="auto"/>
        </w:rPr>
      </w:pPr>
      <w:r>
        <w:rPr>
          <w:rFonts w:ascii="Arial" w:cs="Arial" w:eastAsia="Arial" w:hAnsi="Arial"/>
          <w:sz w:val="14"/>
          <w:szCs w:val="14"/>
          <w:color w:val="auto"/>
        </w:rPr>
        <w:t>Sleep Number</w:t>
      </w:r>
    </w:p>
    <w:p>
      <w:pPr>
        <w:spacing w:after="0" w:line="1" w:lineRule="exact"/>
        <w:rPr>
          <w:sz w:val="20"/>
          <w:szCs w:val="20"/>
          <w:color w:val="auto"/>
        </w:rPr>
      </w:pPr>
    </w:p>
    <w:p>
      <w:pPr>
        <w:ind w:left="140"/>
        <w:spacing w:after="0"/>
        <w:rPr>
          <w:sz w:val="20"/>
          <w:szCs w:val="20"/>
          <w:color w:val="auto"/>
        </w:rPr>
      </w:pPr>
      <w:r>
        <w:rPr>
          <w:rFonts w:ascii="Arial" w:cs="Arial" w:eastAsia="Arial" w:hAnsi="Arial"/>
          <w:sz w:val="14"/>
          <w:szCs w:val="14"/>
          <w:color w:val="auto"/>
        </w:rPr>
        <w:t>Corporation</w:t>
      </w:r>
    </w:p>
    <w:p>
      <w:pPr>
        <w:spacing w:after="0" w:line="244" w:lineRule="exact"/>
        <w:rPr>
          <w:sz w:val="20"/>
          <w:szCs w:val="20"/>
          <w:color w:val="auto"/>
        </w:rPr>
      </w:pPr>
    </w:p>
    <w:p>
      <w:pPr>
        <w:ind w:left="140"/>
        <w:spacing w:after="0"/>
        <w:rPr>
          <w:sz w:val="20"/>
          <w:szCs w:val="20"/>
          <w:color w:val="auto"/>
        </w:rPr>
      </w:pPr>
      <w:r>
        <w:rPr>
          <w:rFonts w:ascii="Arial" w:cs="Arial" w:eastAsia="Arial" w:hAnsi="Arial"/>
          <w:sz w:val="14"/>
          <w:szCs w:val="14"/>
          <w:color w:val="0C3471"/>
        </w:rPr>
        <w:t>Independent</w:t>
      </w:r>
    </w:p>
    <w:p>
      <w:pPr>
        <w:spacing w:after="0" w:line="15" w:lineRule="exact"/>
        <w:rPr>
          <w:sz w:val="20"/>
          <w:szCs w:val="20"/>
          <w:color w:val="auto"/>
        </w:rPr>
      </w:pPr>
    </w:p>
    <w:p>
      <w:pPr>
        <w:ind w:left="140"/>
        <w:spacing w:after="0"/>
        <w:rPr>
          <w:sz w:val="20"/>
          <w:szCs w:val="20"/>
          <w:color w:val="auto"/>
        </w:rPr>
      </w:pPr>
      <w:r>
        <w:rPr>
          <w:rFonts w:ascii="Arial" w:cs="Arial" w:eastAsia="Arial" w:hAnsi="Arial"/>
          <w:sz w:val="14"/>
          <w:szCs w:val="14"/>
          <w:color w:val="0C3471"/>
        </w:rPr>
        <w:t xml:space="preserve">Age: </w:t>
      </w:r>
      <w:r>
        <w:rPr>
          <w:rFonts w:ascii="Arial" w:cs="Arial" w:eastAsia="Arial" w:hAnsi="Arial"/>
          <w:sz w:val="14"/>
          <w:szCs w:val="14"/>
          <w:color w:val="000000"/>
        </w:rPr>
        <w:t>54</w:t>
      </w:r>
    </w:p>
    <w:p>
      <w:pPr>
        <w:spacing w:after="0" w:line="15" w:lineRule="exact"/>
        <w:rPr>
          <w:sz w:val="20"/>
          <w:szCs w:val="20"/>
          <w:color w:val="auto"/>
        </w:rPr>
      </w:pPr>
    </w:p>
    <w:p>
      <w:pPr>
        <w:ind w:left="140"/>
        <w:spacing w:after="0"/>
        <w:rPr>
          <w:sz w:val="20"/>
          <w:szCs w:val="20"/>
          <w:color w:val="auto"/>
        </w:rPr>
      </w:pPr>
      <w:r>
        <w:rPr>
          <w:rFonts w:ascii="Arial" w:cs="Arial" w:eastAsia="Arial" w:hAnsi="Arial"/>
          <w:sz w:val="14"/>
          <w:szCs w:val="14"/>
          <w:color w:val="0C3471"/>
        </w:rPr>
        <w:t xml:space="preserve">Director Since: </w:t>
      </w:r>
      <w:r>
        <w:rPr>
          <w:rFonts w:ascii="Arial" w:cs="Arial" w:eastAsia="Arial" w:hAnsi="Arial"/>
          <w:sz w:val="14"/>
          <w:szCs w:val="14"/>
          <w:color w:val="000000"/>
        </w:rPr>
        <w:t>2021</w:t>
      </w:r>
    </w:p>
    <w:p>
      <w:pPr>
        <w:spacing w:after="0" w:line="15" w:lineRule="exact"/>
        <w:rPr>
          <w:sz w:val="20"/>
          <w:szCs w:val="20"/>
          <w:color w:val="auto"/>
        </w:rPr>
      </w:pPr>
    </w:p>
    <w:p>
      <w:pPr>
        <w:ind w:left="140"/>
        <w:spacing w:after="0"/>
        <w:rPr>
          <w:sz w:val="20"/>
          <w:szCs w:val="20"/>
          <w:color w:val="auto"/>
        </w:rPr>
      </w:pPr>
      <w:r>
        <w:rPr>
          <w:rFonts w:ascii="Arial" w:cs="Arial" w:eastAsia="Arial" w:hAnsi="Arial"/>
          <w:sz w:val="14"/>
          <w:szCs w:val="14"/>
          <w:color w:val="0C3471"/>
        </w:rPr>
        <w:t>Committees:</w:t>
      </w:r>
    </w:p>
    <w:p>
      <w:pPr>
        <w:spacing w:after="0" w:line="15" w:lineRule="exact"/>
        <w:rPr>
          <w:sz w:val="20"/>
          <w:szCs w:val="20"/>
          <w:color w:val="auto"/>
        </w:rPr>
      </w:pPr>
    </w:p>
    <w:p>
      <w:pPr>
        <w:ind w:left="140"/>
        <w:spacing w:after="0"/>
        <w:rPr>
          <w:sz w:val="20"/>
          <w:szCs w:val="20"/>
          <w:color w:val="auto"/>
        </w:rPr>
      </w:pPr>
      <w:r>
        <w:rPr>
          <w:rFonts w:ascii="Arial" w:cs="Arial" w:eastAsia="Arial" w:hAnsi="Arial"/>
          <w:sz w:val="14"/>
          <w:szCs w:val="14"/>
          <w:color w:val="auto"/>
        </w:rPr>
        <w:t>Audit and Finance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1" w:lineRule="exact"/>
        <w:rPr>
          <w:sz w:val="20"/>
          <w:szCs w:val="20"/>
          <w:color w:val="auto"/>
        </w:rPr>
      </w:pPr>
    </w:p>
    <w:p>
      <w:pPr>
        <w:ind w:left="8"/>
        <w:spacing w:after="0"/>
        <w:rPr>
          <w:sz w:val="20"/>
          <w:szCs w:val="20"/>
          <w:color w:val="auto"/>
        </w:rPr>
      </w:pPr>
      <w:r>
        <w:rPr>
          <w:rFonts w:ascii="Arial" w:cs="Arial" w:eastAsia="Arial" w:hAnsi="Arial"/>
          <w:sz w:val="16"/>
          <w:szCs w:val="16"/>
          <w:b w:val="1"/>
          <w:bCs w:val="1"/>
          <w:color w:val="0C3471"/>
        </w:rPr>
        <w:t>Biography:</w:t>
      </w:r>
    </w:p>
    <w:p>
      <w:pPr>
        <w:spacing w:after="0" w:line="140" w:lineRule="exact"/>
        <w:rPr>
          <w:sz w:val="20"/>
          <w:szCs w:val="20"/>
          <w:color w:val="auto"/>
        </w:rPr>
      </w:pPr>
    </w:p>
    <w:p>
      <w:pPr>
        <w:ind w:left="188" w:right="560" w:hanging="188"/>
        <w:spacing w:after="0" w:line="316" w:lineRule="auto"/>
        <w:tabs>
          <w:tab w:leader="none" w:pos="144" w:val="left"/>
        </w:tabs>
        <w:numPr>
          <w:ilvl w:val="0"/>
          <w:numId w:val="23"/>
        </w:numPr>
        <w:rPr>
          <w:rFonts w:ascii="Arial" w:cs="Arial" w:eastAsia="Arial" w:hAnsi="Arial"/>
          <w:sz w:val="13"/>
          <w:szCs w:val="13"/>
          <w:color w:val="64A70B"/>
        </w:rPr>
      </w:pPr>
      <w:r>
        <w:rPr>
          <w:rFonts w:ascii="Arial" w:cs="Arial" w:eastAsia="Arial" w:hAnsi="Arial"/>
          <w:sz w:val="16"/>
          <w:szCs w:val="16"/>
          <w:color w:val="auto"/>
        </w:rPr>
        <w:t>Executive Vice President, Chief Product and Enterprise Strategy Officer for Sleep Number Corporation, a provider of smart sleep technology, from April 2025 to present</w:t>
      </w:r>
    </w:p>
    <w:p>
      <w:pPr>
        <w:spacing w:after="0" w:line="1" w:lineRule="exact"/>
        <w:rPr>
          <w:rFonts w:ascii="Arial" w:cs="Arial" w:eastAsia="Arial" w:hAnsi="Arial"/>
          <w:sz w:val="13"/>
          <w:szCs w:val="13"/>
          <w:color w:val="64A70B"/>
        </w:rPr>
      </w:pPr>
    </w:p>
    <w:p>
      <w:pPr>
        <w:ind w:left="188" w:hanging="188"/>
        <w:spacing w:after="0" w:line="289" w:lineRule="auto"/>
        <w:tabs>
          <w:tab w:leader="none" w:pos="144" w:val="left"/>
        </w:tabs>
        <w:numPr>
          <w:ilvl w:val="0"/>
          <w:numId w:val="23"/>
        </w:numPr>
        <w:rPr>
          <w:rFonts w:ascii="Arial" w:cs="Arial" w:eastAsia="Arial" w:hAnsi="Arial"/>
          <w:sz w:val="13"/>
          <w:szCs w:val="13"/>
          <w:color w:val="64A70B"/>
        </w:rPr>
      </w:pPr>
      <w:r>
        <w:rPr>
          <w:rFonts w:ascii="Arial" w:cs="Arial" w:eastAsia="Arial" w:hAnsi="Arial"/>
          <w:sz w:val="16"/>
          <w:szCs w:val="16"/>
          <w:color w:val="auto"/>
        </w:rPr>
        <w:t>Executive Vice President, Chief Sales and Services Officer from 2020 to April 2025, Vice President, Strategy and Consumer Insights from 2013 to 2015, Senior Vice President, Chief Strategy and Customer Relationship Officer from 2015 to 2019, and Senior Vice President, Chief Sales, Services and Strategy Officer from 2019 to 2020, since joining Sleep Number in 2013</w:t>
      </w:r>
    </w:p>
    <w:p>
      <w:pPr>
        <w:spacing w:after="0" w:line="31" w:lineRule="exact"/>
        <w:rPr>
          <w:rFonts w:ascii="Arial" w:cs="Arial" w:eastAsia="Arial" w:hAnsi="Arial"/>
          <w:sz w:val="13"/>
          <w:szCs w:val="13"/>
          <w:color w:val="64A70B"/>
        </w:rPr>
      </w:pPr>
    </w:p>
    <w:p>
      <w:pPr>
        <w:ind w:left="188" w:right="300" w:hanging="188"/>
        <w:spacing w:after="0" w:line="321" w:lineRule="auto"/>
        <w:tabs>
          <w:tab w:leader="none" w:pos="144" w:val="left"/>
        </w:tabs>
        <w:numPr>
          <w:ilvl w:val="0"/>
          <w:numId w:val="23"/>
        </w:numPr>
        <w:rPr>
          <w:rFonts w:ascii="Arial" w:cs="Arial" w:eastAsia="Arial" w:hAnsi="Arial"/>
          <w:sz w:val="13"/>
          <w:szCs w:val="13"/>
          <w:color w:val="64A70B"/>
        </w:rPr>
      </w:pPr>
      <w:r>
        <w:rPr>
          <w:rFonts w:ascii="Arial" w:cs="Arial" w:eastAsia="Arial" w:hAnsi="Arial"/>
          <w:sz w:val="16"/>
          <w:szCs w:val="16"/>
          <w:color w:val="auto"/>
        </w:rPr>
        <w:t>Senior leadership roles in strategy, corporate development and finance for Best Buy Co., Inc., a multinational consumer electronics retailer, from 2005 to 2012</w:t>
      </w:r>
    </w:p>
    <w:p>
      <w:pPr>
        <w:spacing w:after="0" w:line="7" w:lineRule="exact"/>
        <w:rPr>
          <w:rFonts w:ascii="Arial" w:cs="Arial" w:eastAsia="Arial" w:hAnsi="Arial"/>
          <w:sz w:val="13"/>
          <w:szCs w:val="13"/>
          <w:color w:val="64A70B"/>
        </w:rPr>
      </w:pPr>
    </w:p>
    <w:p>
      <w:pPr>
        <w:ind w:left="148" w:hanging="148"/>
        <w:spacing w:after="0"/>
        <w:tabs>
          <w:tab w:leader="none" w:pos="148" w:val="left"/>
        </w:tabs>
        <w:numPr>
          <w:ilvl w:val="0"/>
          <w:numId w:val="23"/>
        </w:numPr>
        <w:rPr>
          <w:rFonts w:ascii="Arial" w:cs="Arial" w:eastAsia="Arial" w:hAnsi="Arial"/>
          <w:sz w:val="13"/>
          <w:szCs w:val="13"/>
          <w:color w:val="64A70B"/>
        </w:rPr>
      </w:pPr>
      <w:r>
        <w:rPr>
          <w:rFonts w:ascii="Arial" w:cs="Arial" w:eastAsia="Arial" w:hAnsi="Arial"/>
          <w:sz w:val="16"/>
          <w:szCs w:val="16"/>
          <w:color w:val="auto"/>
        </w:rPr>
        <w:t>Strategy leadership and corporate finance roles at Grupo Futuro, Citibank and GE Capital</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8"/>
        <w:spacing w:after="0"/>
        <w:rPr>
          <w:sz w:val="20"/>
          <w:szCs w:val="20"/>
          <w:color w:val="auto"/>
        </w:rPr>
      </w:pPr>
      <w:r>
        <w:rPr>
          <w:rFonts w:ascii="Arial" w:cs="Arial" w:eastAsia="Arial" w:hAnsi="Arial"/>
          <w:sz w:val="16"/>
          <w:szCs w:val="16"/>
          <w:b w:val="1"/>
          <w:bCs w:val="1"/>
          <w:color w:val="0C3471"/>
        </w:rPr>
        <w:t>Skills &amp; Qualifications:</w:t>
      </w:r>
    </w:p>
    <w:p>
      <w:pPr>
        <w:spacing w:after="0" w:line="140" w:lineRule="exact"/>
        <w:rPr>
          <w:sz w:val="20"/>
          <w:szCs w:val="20"/>
          <w:color w:val="auto"/>
        </w:rPr>
      </w:pPr>
    </w:p>
    <w:p>
      <w:pPr>
        <w:ind w:left="8" w:right="100"/>
        <w:spacing w:after="0" w:line="289" w:lineRule="auto"/>
        <w:rPr>
          <w:sz w:val="20"/>
          <w:szCs w:val="20"/>
          <w:color w:val="auto"/>
        </w:rPr>
      </w:pPr>
      <w:r>
        <w:rPr>
          <w:rFonts w:ascii="Arial" w:cs="Arial" w:eastAsia="Arial" w:hAnsi="Arial"/>
          <w:sz w:val="16"/>
          <w:szCs w:val="16"/>
          <w:color w:val="auto"/>
        </w:rPr>
        <w:t>Ms. Barra has a strong background in customer experience, sales, services and strategy, as well as experience in digital transformation and information technology. Ms. Barra’s operating and leadership experience, including with other public companies, allows her to provide insight on a variety of growth, customer, and human capital strategies important to our business.</w:t>
      </w:r>
    </w:p>
    <w:p>
      <w:pPr>
        <w:spacing w:after="0" w:line="200" w:lineRule="exact"/>
        <w:rPr>
          <w:sz w:val="20"/>
          <w:szCs w:val="20"/>
          <w:color w:val="auto"/>
        </w:rPr>
      </w:pPr>
    </w:p>
    <w:p>
      <w:pPr>
        <w:sectPr>
          <w:pgSz w:w="11900" w:h="16838" w:orient="portrait"/>
          <w:cols w:equalWidth="0" w:num="2">
            <w:col w:w="2140" w:space="552"/>
            <w:col w:w="8228"/>
          </w:cols>
          <w:pgMar w:left="340" w:top="314" w:right="6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580" w:hanging="574"/>
        <w:spacing w:after="0"/>
        <w:tabs>
          <w:tab w:leader="none" w:pos="580" w:val="left"/>
        </w:tabs>
        <w:numPr>
          <w:ilvl w:val="0"/>
          <w:numId w:val="24"/>
        </w:numPr>
        <w:rPr>
          <w:rFonts w:ascii="Arial" w:cs="Arial" w:eastAsia="Arial" w:hAnsi="Arial"/>
          <w:sz w:val="16"/>
          <w:szCs w:val="16"/>
          <w:b w:val="1"/>
          <w:bCs w:val="1"/>
          <w:color w:val="auto"/>
        </w:rPr>
      </w:pPr>
      <w:r>
        <w:rPr>
          <w:rFonts w:ascii="Arial" w:cs="Arial" w:eastAsia="Arial" w:hAnsi="Arial"/>
          <w:sz w:val="16"/>
          <w:szCs w:val="16"/>
          <w:color w:val="auto"/>
        </w:rPr>
        <w:t xml:space="preserve">Pentair </w:t>
      </w:r>
      <w:r>
        <w:rPr>
          <w:rFonts w:ascii="Arial" w:cs="Arial" w:eastAsia="Arial" w:hAnsi="Arial"/>
          <w:sz w:val="16"/>
          <w:szCs w:val="16"/>
          <w:b w:val="1"/>
          <w:bCs w:val="1"/>
          <w:color w:val="0C3471"/>
        </w:rPr>
        <w:t>|</w:t>
      </w:r>
      <w:r>
        <w:rPr>
          <w:rFonts w:ascii="Arial" w:cs="Arial" w:eastAsia="Arial" w:hAnsi="Arial"/>
          <w:sz w:val="16"/>
          <w:szCs w:val="16"/>
          <w:color w:val="auto"/>
        </w:rPr>
        <w:t xml:space="preserve"> </w:t>
      </w:r>
      <w:r>
        <w:rPr>
          <w:rFonts w:ascii="Arial" w:cs="Arial" w:eastAsia="Arial" w:hAnsi="Arial"/>
          <w:sz w:val="16"/>
          <w:szCs w:val="16"/>
          <w:b w:val="1"/>
          <w:bCs w:val="1"/>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205105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340" w:top="314" w:right="639" w:bottom="1440" w:gutter="0" w:footer="0" w:header="0"/>
          <w:type w:val="continuous"/>
        </w:sectPr>
      </w:pPr>
    </w:p>
    <w:bookmarkStart w:id="14" w:name="page15"/>
    <w:bookmarkEnd w:id="14"/>
    <w:p>
      <w:pPr>
        <w:ind w:left="980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6080125</wp:posOffset>
            </wp:positionH>
            <wp:positionV relativeFrom="page">
              <wp:posOffset>191770</wp:posOffset>
            </wp:positionV>
            <wp:extent cx="102870" cy="11112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clrChange>
                        <a:clrFrom>
                          <a:srgbClr val="FFFFFF"/>
                        </a:clrFrom>
                        <a:clrTo>
                          <a:srgbClr val="FFFFFF">
                            <a:alpha val="0"/>
                          </a:srgbClr>
                        </a:clrTo>
                      </a:clrChange>
                      <a:extLst>
                        <a:ext uri="{28A0092B-C50C-407E-A947-70E740481C1C}"/>
                      </a:extLst>
                    </a:blip>
                    <a:srcRect/>
                    <a:stretch>
                      <a:fillRect/>
                    </a:stretch>
                  </pic:blipFill>
                  <pic:spPr bwMode="auto">
                    <a:xfrm>
                      <a:off x="0" y="0"/>
                      <a:ext cx="102870" cy="111125"/>
                    </a:xfrm>
                    <a:prstGeom prst="rect">
                      <a:avLst/>
                    </a:prstGeom>
                    <a:noFill/>
                  </pic:spPr>
                </pic:pic>
              </a:graphicData>
            </a:graphic>
          </wp:anchor>
        </w:drawing>
        <w:t>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543560</wp:posOffset>
            </wp:positionV>
            <wp:extent cx="7140575" cy="34544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40575" cy="3454400"/>
                    </a:xfrm>
                    <a:prstGeom prst="rect">
                      <a:avLst/>
                    </a:prstGeom>
                    <a:noFill/>
                  </pic:spPr>
                </pic:pic>
              </a:graphicData>
            </a:graphic>
          </wp:anchor>
        </w:drawing>
      </w:r>
    </w:p>
    <w:p>
      <w:pPr>
        <w:sectPr>
          <w:pgSz w:w="11900" w:h="16838" w:orient="portrait"/>
          <w:cols w:equalWidth="0" w:num="1">
            <w:col w:w="11240"/>
          </w:cols>
          <w:pgMar w:left="320" w:top="31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C3471"/>
        </w:rPr>
        <w:t>TRACEY C. DOI</w:t>
      </w:r>
    </w:p>
    <w:p>
      <w:pPr>
        <w:spacing w:after="0" w:line="73" w:lineRule="exact"/>
        <w:rPr>
          <w:sz w:val="20"/>
          <w:szCs w:val="20"/>
          <w:color w:val="auto"/>
        </w:rPr>
      </w:pPr>
    </w:p>
    <w:p>
      <w:pPr>
        <w:ind w:left="160"/>
        <w:spacing w:after="0"/>
        <w:rPr>
          <w:sz w:val="20"/>
          <w:szCs w:val="20"/>
          <w:color w:val="auto"/>
        </w:rPr>
      </w:pPr>
      <w:r>
        <w:rPr>
          <w:rFonts w:ascii="Arial" w:cs="Arial" w:eastAsia="Arial" w:hAnsi="Arial"/>
          <w:sz w:val="14"/>
          <w:szCs w:val="14"/>
          <w:color w:val="auto"/>
        </w:rPr>
        <w:t>Retired Group Vice</w:t>
      </w:r>
    </w:p>
    <w:p>
      <w:pPr>
        <w:spacing w:after="0" w:line="29" w:lineRule="exact"/>
        <w:rPr>
          <w:sz w:val="20"/>
          <w:szCs w:val="20"/>
          <w:color w:val="auto"/>
        </w:rPr>
      </w:pPr>
    </w:p>
    <w:p>
      <w:pPr>
        <w:ind w:left="160"/>
        <w:spacing w:after="0"/>
        <w:rPr>
          <w:sz w:val="20"/>
          <w:szCs w:val="20"/>
          <w:color w:val="auto"/>
        </w:rPr>
      </w:pPr>
      <w:r>
        <w:rPr>
          <w:rFonts w:ascii="Arial" w:cs="Arial" w:eastAsia="Arial" w:hAnsi="Arial"/>
          <w:sz w:val="14"/>
          <w:szCs w:val="14"/>
          <w:color w:val="auto"/>
        </w:rPr>
        <w:t>President and Chief</w:t>
      </w:r>
    </w:p>
    <w:p>
      <w:pPr>
        <w:spacing w:after="0" w:line="15" w:lineRule="exact"/>
        <w:rPr>
          <w:sz w:val="20"/>
          <w:szCs w:val="20"/>
          <w:color w:val="auto"/>
        </w:rPr>
      </w:pPr>
    </w:p>
    <w:p>
      <w:pPr>
        <w:ind w:left="160"/>
        <w:spacing w:after="0"/>
        <w:rPr>
          <w:sz w:val="20"/>
          <w:szCs w:val="20"/>
          <w:color w:val="auto"/>
        </w:rPr>
      </w:pPr>
      <w:r>
        <w:rPr>
          <w:rFonts w:ascii="Arial" w:cs="Arial" w:eastAsia="Arial" w:hAnsi="Arial"/>
          <w:sz w:val="14"/>
          <w:szCs w:val="14"/>
          <w:color w:val="auto"/>
        </w:rPr>
        <w:t>Financial Officer, Toyota</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4"/>
          <w:szCs w:val="14"/>
          <w:color w:val="auto"/>
        </w:rPr>
        <w:t>Motor North America</w:t>
      </w:r>
    </w:p>
    <w:p>
      <w:pPr>
        <w:spacing w:after="0" w:line="244" w:lineRule="exact"/>
        <w:rPr>
          <w:sz w:val="20"/>
          <w:szCs w:val="20"/>
          <w:color w:val="auto"/>
        </w:rPr>
      </w:pPr>
    </w:p>
    <w:p>
      <w:pPr>
        <w:ind w:left="160"/>
        <w:spacing w:after="0"/>
        <w:rPr>
          <w:sz w:val="20"/>
          <w:szCs w:val="20"/>
          <w:color w:val="auto"/>
        </w:rPr>
      </w:pPr>
      <w:r>
        <w:rPr>
          <w:rFonts w:ascii="Arial" w:cs="Arial" w:eastAsia="Arial" w:hAnsi="Arial"/>
          <w:sz w:val="14"/>
          <w:szCs w:val="14"/>
          <w:color w:val="0C3471"/>
        </w:rPr>
        <w:t>Independent</w:t>
      </w:r>
    </w:p>
    <w:p>
      <w:pPr>
        <w:spacing w:after="0" w:line="15" w:lineRule="exact"/>
        <w:rPr>
          <w:sz w:val="20"/>
          <w:szCs w:val="20"/>
          <w:color w:val="auto"/>
        </w:rPr>
      </w:pPr>
    </w:p>
    <w:p>
      <w:pPr>
        <w:ind w:left="160"/>
        <w:spacing w:after="0"/>
        <w:rPr>
          <w:sz w:val="20"/>
          <w:szCs w:val="20"/>
          <w:color w:val="auto"/>
        </w:rPr>
      </w:pPr>
      <w:r>
        <w:rPr>
          <w:rFonts w:ascii="Arial" w:cs="Arial" w:eastAsia="Arial" w:hAnsi="Arial"/>
          <w:sz w:val="14"/>
          <w:szCs w:val="14"/>
          <w:color w:val="0C3471"/>
        </w:rPr>
        <w:t xml:space="preserve">Age: </w:t>
      </w:r>
      <w:r>
        <w:rPr>
          <w:rFonts w:ascii="Arial" w:cs="Arial" w:eastAsia="Arial" w:hAnsi="Arial"/>
          <w:sz w:val="14"/>
          <w:szCs w:val="14"/>
          <w:color w:val="000000"/>
        </w:rPr>
        <w:t>65</w:t>
      </w:r>
    </w:p>
    <w:p>
      <w:pPr>
        <w:spacing w:after="0" w:line="15" w:lineRule="exact"/>
        <w:rPr>
          <w:sz w:val="20"/>
          <w:szCs w:val="20"/>
          <w:color w:val="auto"/>
        </w:rPr>
      </w:pPr>
    </w:p>
    <w:p>
      <w:pPr>
        <w:ind w:left="160"/>
        <w:spacing w:after="0"/>
        <w:rPr>
          <w:sz w:val="20"/>
          <w:szCs w:val="20"/>
          <w:color w:val="auto"/>
        </w:rPr>
      </w:pPr>
      <w:r>
        <w:rPr>
          <w:rFonts w:ascii="Arial" w:cs="Arial" w:eastAsia="Arial" w:hAnsi="Arial"/>
          <w:sz w:val="14"/>
          <w:szCs w:val="14"/>
          <w:color w:val="0C3471"/>
        </w:rPr>
        <w:t xml:space="preserve">Director Since: </w:t>
      </w:r>
      <w:r>
        <w:rPr>
          <w:rFonts w:ascii="Arial" w:cs="Arial" w:eastAsia="Arial" w:hAnsi="Arial"/>
          <w:sz w:val="14"/>
          <w:szCs w:val="14"/>
          <w:color w:val="000000"/>
        </w:rPr>
        <w:t>2023</w:t>
      </w:r>
    </w:p>
    <w:p>
      <w:pPr>
        <w:spacing w:after="0" w:line="15" w:lineRule="exact"/>
        <w:rPr>
          <w:sz w:val="20"/>
          <w:szCs w:val="20"/>
          <w:color w:val="auto"/>
        </w:rPr>
      </w:pPr>
    </w:p>
    <w:p>
      <w:pPr>
        <w:ind w:left="160"/>
        <w:spacing w:after="0"/>
        <w:rPr>
          <w:sz w:val="20"/>
          <w:szCs w:val="20"/>
          <w:color w:val="auto"/>
        </w:rPr>
      </w:pPr>
      <w:r>
        <w:rPr>
          <w:rFonts w:ascii="Arial" w:cs="Arial" w:eastAsia="Arial" w:hAnsi="Arial"/>
          <w:sz w:val="14"/>
          <w:szCs w:val="14"/>
          <w:color w:val="0C3471"/>
        </w:rPr>
        <w:t>Committees:</w:t>
      </w:r>
    </w:p>
    <w:p>
      <w:pPr>
        <w:spacing w:after="0" w:line="15" w:lineRule="exact"/>
        <w:rPr>
          <w:sz w:val="20"/>
          <w:szCs w:val="20"/>
          <w:color w:val="auto"/>
        </w:rPr>
      </w:pPr>
    </w:p>
    <w:p>
      <w:pPr>
        <w:ind w:left="160"/>
        <w:spacing w:after="0"/>
        <w:rPr>
          <w:sz w:val="20"/>
          <w:szCs w:val="20"/>
          <w:color w:val="auto"/>
        </w:rPr>
      </w:pPr>
      <w:r>
        <w:rPr>
          <w:rFonts w:ascii="Arial" w:cs="Arial" w:eastAsia="Arial" w:hAnsi="Arial"/>
          <w:sz w:val="14"/>
          <w:szCs w:val="14"/>
          <w:color w:val="auto"/>
        </w:rPr>
        <w:t>Audit and Finance</w:t>
      </w:r>
    </w:p>
    <w:p>
      <w:pPr>
        <w:spacing w:after="0" w:line="225"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0C3471"/>
        </w:rPr>
        <w:t>Other Current</w:t>
      </w:r>
    </w:p>
    <w:p>
      <w:pPr>
        <w:spacing w:after="0" w:line="21"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0C3471"/>
        </w:rPr>
        <w:t>Public Board Service:</w:t>
      </w:r>
    </w:p>
    <w:p>
      <w:pPr>
        <w:spacing w:after="0" w:line="61" w:lineRule="exact"/>
        <w:rPr>
          <w:sz w:val="20"/>
          <w:szCs w:val="20"/>
          <w:color w:val="auto"/>
        </w:rPr>
      </w:pPr>
    </w:p>
    <w:p>
      <w:pPr>
        <w:ind w:left="160"/>
        <w:spacing w:after="0"/>
        <w:rPr>
          <w:sz w:val="20"/>
          <w:szCs w:val="20"/>
          <w:color w:val="auto"/>
        </w:rPr>
      </w:pPr>
      <w:r>
        <w:rPr>
          <w:rFonts w:ascii="Arial" w:cs="Arial" w:eastAsia="Arial" w:hAnsi="Arial"/>
          <w:sz w:val="14"/>
          <w:szCs w:val="14"/>
          <w:color w:val="auto"/>
        </w:rPr>
        <w:t>Quest Diagnostics</w:t>
      </w:r>
    </w:p>
    <w:p>
      <w:pPr>
        <w:spacing w:after="0" w:line="15" w:lineRule="exact"/>
        <w:rPr>
          <w:sz w:val="20"/>
          <w:szCs w:val="20"/>
          <w:color w:val="auto"/>
        </w:rPr>
      </w:pPr>
    </w:p>
    <w:p>
      <w:pPr>
        <w:ind w:left="160"/>
        <w:spacing w:after="0"/>
        <w:rPr>
          <w:sz w:val="20"/>
          <w:szCs w:val="20"/>
          <w:color w:val="auto"/>
        </w:rPr>
      </w:pPr>
      <w:r>
        <w:rPr>
          <w:rFonts w:ascii="Arial" w:cs="Arial" w:eastAsia="Arial" w:hAnsi="Arial"/>
          <w:sz w:val="14"/>
          <w:szCs w:val="14"/>
          <w:color w:val="auto"/>
        </w:rPr>
        <w:t>Incorporated</w:t>
      </w:r>
    </w:p>
    <w:p>
      <w:pPr>
        <w:spacing w:after="0" w:line="15" w:lineRule="exact"/>
        <w:rPr>
          <w:sz w:val="20"/>
          <w:szCs w:val="20"/>
          <w:color w:val="auto"/>
        </w:rPr>
      </w:pPr>
    </w:p>
    <w:p>
      <w:pPr>
        <w:ind w:left="160"/>
        <w:spacing w:after="0"/>
        <w:rPr>
          <w:sz w:val="20"/>
          <w:szCs w:val="20"/>
          <w:color w:val="auto"/>
        </w:rPr>
      </w:pPr>
      <w:r>
        <w:rPr>
          <w:rFonts w:ascii="Arial" w:cs="Arial" w:eastAsia="Arial" w:hAnsi="Arial"/>
          <w:sz w:val="14"/>
          <w:szCs w:val="14"/>
          <w:color w:val="auto"/>
        </w:rPr>
        <w:t>(2021–present)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8"/>
        <w:spacing w:after="0"/>
        <w:rPr>
          <w:sz w:val="20"/>
          <w:szCs w:val="20"/>
          <w:color w:val="auto"/>
        </w:rPr>
      </w:pPr>
      <w:r>
        <w:rPr>
          <w:rFonts w:ascii="Arial" w:cs="Arial" w:eastAsia="Arial" w:hAnsi="Arial"/>
          <w:sz w:val="16"/>
          <w:szCs w:val="16"/>
          <w:b w:val="1"/>
          <w:bCs w:val="1"/>
          <w:color w:val="0C3471"/>
        </w:rPr>
        <w:t>Biography:</w:t>
      </w:r>
    </w:p>
    <w:p>
      <w:pPr>
        <w:spacing w:after="0" w:line="140" w:lineRule="exact"/>
        <w:rPr>
          <w:sz w:val="20"/>
          <w:szCs w:val="20"/>
          <w:color w:val="auto"/>
        </w:rPr>
      </w:pPr>
    </w:p>
    <w:p>
      <w:pPr>
        <w:ind w:left="188" w:right="560" w:hanging="188"/>
        <w:spacing w:after="0" w:line="304" w:lineRule="auto"/>
        <w:tabs>
          <w:tab w:leader="none" w:pos="144" w:val="left"/>
        </w:tabs>
        <w:numPr>
          <w:ilvl w:val="0"/>
          <w:numId w:val="25"/>
        </w:numPr>
        <w:rPr>
          <w:rFonts w:ascii="Arial" w:cs="Arial" w:eastAsia="Arial" w:hAnsi="Arial"/>
          <w:sz w:val="13"/>
          <w:szCs w:val="13"/>
          <w:color w:val="64A70B"/>
        </w:rPr>
      </w:pPr>
      <w:r>
        <w:rPr>
          <w:rFonts w:ascii="Arial" w:cs="Arial" w:eastAsia="Arial" w:hAnsi="Arial"/>
          <w:sz w:val="16"/>
          <w:szCs w:val="16"/>
          <w:color w:val="auto"/>
        </w:rPr>
        <w:t>Group Vice President and Chief Financial Officer of Toyota Motor North America, an automobile designer and manufacturer, from 2003 to 2022</w:t>
      </w:r>
    </w:p>
    <w:p>
      <w:pPr>
        <w:spacing w:after="0" w:line="19" w:lineRule="exact"/>
        <w:rPr>
          <w:rFonts w:ascii="Arial" w:cs="Arial" w:eastAsia="Arial" w:hAnsi="Arial"/>
          <w:sz w:val="13"/>
          <w:szCs w:val="13"/>
          <w:color w:val="64A70B"/>
        </w:rPr>
      </w:pPr>
    </w:p>
    <w:p>
      <w:pPr>
        <w:ind w:left="148" w:hanging="148"/>
        <w:spacing w:after="0"/>
        <w:tabs>
          <w:tab w:leader="none" w:pos="148" w:val="left"/>
        </w:tabs>
        <w:numPr>
          <w:ilvl w:val="0"/>
          <w:numId w:val="25"/>
        </w:numPr>
        <w:rPr>
          <w:rFonts w:ascii="Arial" w:cs="Arial" w:eastAsia="Arial" w:hAnsi="Arial"/>
          <w:sz w:val="13"/>
          <w:szCs w:val="13"/>
          <w:color w:val="64A70B"/>
        </w:rPr>
      </w:pPr>
      <w:r>
        <w:rPr>
          <w:rFonts w:ascii="Arial" w:cs="Arial" w:eastAsia="Arial" w:hAnsi="Arial"/>
          <w:sz w:val="16"/>
          <w:szCs w:val="16"/>
          <w:color w:val="auto"/>
        </w:rPr>
        <w:t>Vice President, Corporate Controller of Toyota Motor Sales, USA from 2000 to 2003</w:t>
      </w:r>
    </w:p>
    <w:p>
      <w:pPr>
        <w:spacing w:after="0" w:line="99" w:lineRule="exact"/>
        <w:rPr>
          <w:rFonts w:ascii="Arial" w:cs="Arial" w:eastAsia="Arial" w:hAnsi="Arial"/>
          <w:sz w:val="13"/>
          <w:szCs w:val="13"/>
          <w:color w:val="64A70B"/>
        </w:rPr>
      </w:pPr>
    </w:p>
    <w:p>
      <w:pPr>
        <w:ind w:left="148" w:hanging="148"/>
        <w:spacing w:after="0"/>
        <w:tabs>
          <w:tab w:leader="none" w:pos="148" w:val="left"/>
        </w:tabs>
        <w:numPr>
          <w:ilvl w:val="0"/>
          <w:numId w:val="25"/>
        </w:numPr>
        <w:rPr>
          <w:rFonts w:ascii="Arial" w:cs="Arial" w:eastAsia="Arial" w:hAnsi="Arial"/>
          <w:sz w:val="13"/>
          <w:szCs w:val="13"/>
          <w:color w:val="64A70B"/>
        </w:rPr>
      </w:pPr>
      <w:r>
        <w:rPr>
          <w:rFonts w:ascii="Arial" w:cs="Arial" w:eastAsia="Arial" w:hAnsi="Arial"/>
          <w:sz w:val="16"/>
          <w:szCs w:val="16"/>
          <w:color w:val="auto"/>
        </w:rPr>
        <w:t>Member of the board of directors of Quest Diagnostics Incorporated from 2021 to present</w:t>
      </w:r>
    </w:p>
    <w:p>
      <w:pPr>
        <w:spacing w:after="0" w:line="99" w:lineRule="exact"/>
        <w:rPr>
          <w:rFonts w:ascii="Arial" w:cs="Arial" w:eastAsia="Arial" w:hAnsi="Arial"/>
          <w:sz w:val="13"/>
          <w:szCs w:val="13"/>
          <w:color w:val="64A70B"/>
        </w:rPr>
      </w:pPr>
    </w:p>
    <w:p>
      <w:pPr>
        <w:ind w:left="148" w:hanging="148"/>
        <w:spacing w:after="0"/>
        <w:tabs>
          <w:tab w:leader="none" w:pos="148" w:val="left"/>
        </w:tabs>
        <w:numPr>
          <w:ilvl w:val="0"/>
          <w:numId w:val="25"/>
        </w:numPr>
        <w:rPr>
          <w:rFonts w:ascii="Arial" w:cs="Arial" w:eastAsia="Arial" w:hAnsi="Arial"/>
          <w:sz w:val="13"/>
          <w:szCs w:val="13"/>
          <w:color w:val="64A70B"/>
        </w:rPr>
      </w:pPr>
      <w:r>
        <w:rPr>
          <w:rFonts w:ascii="Arial" w:cs="Arial" w:eastAsia="Arial" w:hAnsi="Arial"/>
          <w:sz w:val="16"/>
          <w:szCs w:val="16"/>
          <w:color w:val="auto"/>
        </w:rPr>
        <w:t>Independent trustee for SunAmerica Series Trust and Seasons Series Trust from 2021 to present</w:t>
      </w:r>
    </w:p>
    <w:p>
      <w:pPr>
        <w:spacing w:after="0" w:line="99" w:lineRule="exact"/>
        <w:rPr>
          <w:rFonts w:ascii="Arial" w:cs="Arial" w:eastAsia="Arial" w:hAnsi="Arial"/>
          <w:sz w:val="13"/>
          <w:szCs w:val="13"/>
          <w:color w:val="64A70B"/>
        </w:rPr>
      </w:pPr>
    </w:p>
    <w:p>
      <w:pPr>
        <w:ind w:left="148" w:hanging="148"/>
        <w:spacing w:after="0"/>
        <w:tabs>
          <w:tab w:leader="none" w:pos="148" w:val="left"/>
        </w:tabs>
        <w:numPr>
          <w:ilvl w:val="0"/>
          <w:numId w:val="25"/>
        </w:numPr>
        <w:rPr>
          <w:rFonts w:ascii="Arial" w:cs="Arial" w:eastAsia="Arial" w:hAnsi="Arial"/>
          <w:sz w:val="13"/>
          <w:szCs w:val="13"/>
          <w:color w:val="64A70B"/>
        </w:rPr>
      </w:pPr>
      <w:r>
        <w:rPr>
          <w:rFonts w:ascii="Arial" w:cs="Arial" w:eastAsia="Arial" w:hAnsi="Arial"/>
          <w:sz w:val="16"/>
          <w:szCs w:val="16"/>
          <w:color w:val="auto"/>
        </w:rPr>
        <w:t>Member of the board of directors of City National Bank, a Royal Bank of Canada Company from 2016 to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8"/>
        <w:spacing w:after="0"/>
        <w:rPr>
          <w:sz w:val="20"/>
          <w:szCs w:val="20"/>
          <w:color w:val="auto"/>
        </w:rPr>
      </w:pPr>
      <w:r>
        <w:rPr>
          <w:rFonts w:ascii="Arial" w:cs="Arial" w:eastAsia="Arial" w:hAnsi="Arial"/>
          <w:sz w:val="16"/>
          <w:szCs w:val="16"/>
          <w:b w:val="1"/>
          <w:bCs w:val="1"/>
          <w:color w:val="0C3471"/>
        </w:rPr>
        <w:t>Skills &amp; Qualifications:</w:t>
      </w:r>
    </w:p>
    <w:p>
      <w:pPr>
        <w:spacing w:after="0" w:line="140" w:lineRule="exact"/>
        <w:rPr>
          <w:sz w:val="20"/>
          <w:szCs w:val="20"/>
          <w:color w:val="auto"/>
        </w:rPr>
      </w:pPr>
    </w:p>
    <w:p>
      <w:pPr>
        <w:ind w:left="8" w:right="300"/>
        <w:spacing w:after="0" w:line="292" w:lineRule="auto"/>
        <w:rPr>
          <w:sz w:val="20"/>
          <w:szCs w:val="20"/>
          <w:color w:val="auto"/>
        </w:rPr>
      </w:pPr>
      <w:r>
        <w:rPr>
          <w:rFonts w:ascii="Arial" w:cs="Arial" w:eastAsia="Arial" w:hAnsi="Arial"/>
          <w:sz w:val="16"/>
          <w:szCs w:val="16"/>
          <w:color w:val="auto"/>
        </w:rPr>
        <w:t>Ms. Doi has a significant executive background in corporate finance, strategic planning, transformation, operations, enterprise systems, and business analytics, and brings to our Board deep experience with a global manufacturer operating in a complex 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-1716405</wp:posOffset>
            </wp:positionH>
            <wp:positionV relativeFrom="paragraph">
              <wp:posOffset>1151255</wp:posOffset>
            </wp:positionV>
            <wp:extent cx="7140575" cy="370332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40575" cy="3703320"/>
                    </a:xfrm>
                    <a:prstGeom prst="rect">
                      <a:avLst/>
                    </a:prstGeom>
                    <a:noFill/>
                  </pic:spPr>
                </pic:pic>
              </a:graphicData>
            </a:graphic>
          </wp:anchor>
        </w:drawing>
      </w:r>
    </w:p>
    <w:p>
      <w:pPr>
        <w:spacing w:after="0" w:line="1571" w:lineRule="exact"/>
        <w:rPr>
          <w:sz w:val="20"/>
          <w:szCs w:val="20"/>
          <w:color w:val="auto"/>
        </w:rPr>
      </w:pPr>
    </w:p>
    <w:p>
      <w:pPr>
        <w:sectPr>
          <w:pgSz w:w="11900" w:h="16838" w:orient="portrait"/>
          <w:cols w:equalWidth="0" w:num="2">
            <w:col w:w="1992" w:space="720"/>
            <w:col w:w="8528"/>
          </w:cols>
          <w:pgMar w:left="320" w:top="314"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C3471"/>
        </w:rPr>
        <w:t>T. MICHAEL GLENN</w:t>
      </w:r>
    </w:p>
    <w:p>
      <w:pPr>
        <w:spacing w:after="0" w:line="73" w:lineRule="exact"/>
        <w:rPr>
          <w:sz w:val="20"/>
          <w:szCs w:val="20"/>
          <w:color w:val="auto"/>
        </w:rPr>
      </w:pPr>
    </w:p>
    <w:p>
      <w:pPr>
        <w:ind w:left="160"/>
        <w:spacing w:after="0" w:line="261" w:lineRule="auto"/>
        <w:rPr>
          <w:sz w:val="20"/>
          <w:szCs w:val="20"/>
          <w:color w:val="auto"/>
        </w:rPr>
      </w:pPr>
      <w:r>
        <w:rPr>
          <w:rFonts w:ascii="Arial" w:cs="Arial" w:eastAsia="Arial" w:hAnsi="Arial"/>
          <w:sz w:val="14"/>
          <w:szCs w:val="14"/>
          <w:color w:val="auto"/>
        </w:rPr>
        <w:t>Chair of the Board* and Retired Executive Vice</w:t>
      </w:r>
    </w:p>
    <w:p>
      <w:pPr>
        <w:spacing w:after="0" w:line="1" w:lineRule="exact"/>
        <w:rPr>
          <w:sz w:val="20"/>
          <w:szCs w:val="20"/>
          <w:color w:val="auto"/>
        </w:rPr>
      </w:pPr>
    </w:p>
    <w:p>
      <w:pPr>
        <w:ind w:left="160" w:right="600"/>
        <w:spacing w:after="0" w:line="269" w:lineRule="auto"/>
        <w:rPr>
          <w:sz w:val="20"/>
          <w:szCs w:val="20"/>
          <w:color w:val="auto"/>
        </w:rPr>
      </w:pPr>
      <w:r>
        <w:rPr>
          <w:rFonts w:ascii="Arial" w:cs="Arial" w:eastAsia="Arial" w:hAnsi="Arial"/>
          <w:sz w:val="14"/>
          <w:szCs w:val="14"/>
          <w:color w:val="auto"/>
        </w:rPr>
        <w:t>President, FedEx Corporation and Chief Executive Officer, FedEx Services</w:t>
      </w:r>
    </w:p>
    <w:p>
      <w:pPr>
        <w:spacing w:after="0" w:line="196" w:lineRule="exact"/>
        <w:rPr>
          <w:sz w:val="20"/>
          <w:szCs w:val="20"/>
          <w:color w:val="auto"/>
        </w:rPr>
      </w:pPr>
    </w:p>
    <w:p>
      <w:pPr>
        <w:ind w:left="160"/>
        <w:spacing w:after="0"/>
        <w:rPr>
          <w:sz w:val="20"/>
          <w:szCs w:val="20"/>
          <w:color w:val="auto"/>
        </w:rPr>
      </w:pPr>
      <w:r>
        <w:rPr>
          <w:rFonts w:ascii="Arial" w:cs="Arial" w:eastAsia="Arial" w:hAnsi="Arial"/>
          <w:sz w:val="14"/>
          <w:szCs w:val="14"/>
          <w:color w:val="0C3471"/>
        </w:rPr>
        <w:t>Independent</w:t>
      </w:r>
    </w:p>
    <w:p>
      <w:pPr>
        <w:spacing w:after="0" w:line="29" w:lineRule="exact"/>
        <w:rPr>
          <w:sz w:val="20"/>
          <w:szCs w:val="20"/>
          <w:color w:val="auto"/>
        </w:rPr>
      </w:pPr>
    </w:p>
    <w:p>
      <w:pPr>
        <w:ind w:left="160"/>
        <w:spacing w:after="0"/>
        <w:rPr>
          <w:sz w:val="20"/>
          <w:szCs w:val="20"/>
          <w:color w:val="auto"/>
        </w:rPr>
      </w:pPr>
      <w:r>
        <w:rPr>
          <w:rFonts w:ascii="Arial" w:cs="Arial" w:eastAsia="Arial" w:hAnsi="Arial"/>
          <w:sz w:val="14"/>
          <w:szCs w:val="14"/>
          <w:color w:val="0C3471"/>
        </w:rPr>
        <w:t xml:space="preserve">Age: </w:t>
      </w:r>
      <w:r>
        <w:rPr>
          <w:rFonts w:ascii="Arial" w:cs="Arial" w:eastAsia="Arial" w:hAnsi="Arial"/>
          <w:sz w:val="14"/>
          <w:szCs w:val="14"/>
          <w:color w:val="000000"/>
        </w:rPr>
        <w:t>70</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4"/>
          <w:szCs w:val="14"/>
          <w:color w:val="0C3471"/>
        </w:rPr>
        <w:t xml:space="preserve">Director Since: </w:t>
      </w:r>
      <w:r>
        <w:rPr>
          <w:rFonts w:ascii="Arial" w:cs="Arial" w:eastAsia="Arial" w:hAnsi="Arial"/>
          <w:sz w:val="14"/>
          <w:szCs w:val="14"/>
          <w:color w:val="000000"/>
        </w:rPr>
        <w:t>2007</w:t>
      </w:r>
    </w:p>
    <w:p>
      <w:pPr>
        <w:spacing w:after="0" w:line="15" w:lineRule="exact"/>
        <w:rPr>
          <w:sz w:val="20"/>
          <w:szCs w:val="20"/>
          <w:color w:val="auto"/>
        </w:rPr>
      </w:pPr>
    </w:p>
    <w:p>
      <w:pPr>
        <w:ind w:left="160"/>
        <w:spacing w:after="0"/>
        <w:rPr>
          <w:sz w:val="20"/>
          <w:szCs w:val="20"/>
          <w:color w:val="auto"/>
        </w:rPr>
      </w:pPr>
      <w:r>
        <w:rPr>
          <w:rFonts w:ascii="Arial" w:cs="Arial" w:eastAsia="Arial" w:hAnsi="Arial"/>
          <w:sz w:val="14"/>
          <w:szCs w:val="14"/>
          <w:color w:val="0C3471"/>
        </w:rPr>
        <w:t>Committees:</w:t>
      </w:r>
    </w:p>
    <w:p>
      <w:pPr>
        <w:spacing w:after="0" w:line="15" w:lineRule="exact"/>
        <w:rPr>
          <w:sz w:val="20"/>
          <w:szCs w:val="20"/>
          <w:color w:val="auto"/>
        </w:rPr>
      </w:pPr>
    </w:p>
    <w:p>
      <w:pPr>
        <w:ind w:left="160" w:right="540"/>
        <w:spacing w:after="0" w:line="284" w:lineRule="auto"/>
        <w:rPr>
          <w:sz w:val="20"/>
          <w:szCs w:val="20"/>
          <w:color w:val="auto"/>
        </w:rPr>
      </w:pPr>
      <w:r>
        <w:rPr>
          <w:rFonts w:ascii="Arial" w:cs="Arial" w:eastAsia="Arial" w:hAnsi="Arial"/>
          <w:sz w:val="14"/>
          <w:szCs w:val="14"/>
          <w:color w:val="auto"/>
        </w:rPr>
        <w:t>Compensation (Chair)* Governance</w:t>
      </w:r>
    </w:p>
    <w:p>
      <w:pPr>
        <w:spacing w:after="0" w:line="181"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0C3471"/>
        </w:rPr>
        <w:t>Other Current</w:t>
      </w:r>
    </w:p>
    <w:p>
      <w:pPr>
        <w:spacing w:after="0" w:line="21"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0C3471"/>
        </w:rPr>
        <w:t>Public Board Service:</w:t>
      </w:r>
    </w:p>
    <w:p>
      <w:pPr>
        <w:spacing w:after="0" w:line="61" w:lineRule="exact"/>
        <w:rPr>
          <w:sz w:val="20"/>
          <w:szCs w:val="20"/>
          <w:color w:val="auto"/>
        </w:rPr>
      </w:pPr>
    </w:p>
    <w:p>
      <w:pPr>
        <w:ind w:left="160" w:right="640"/>
        <w:spacing w:after="0" w:line="285" w:lineRule="auto"/>
        <w:rPr>
          <w:sz w:val="20"/>
          <w:szCs w:val="20"/>
          <w:color w:val="auto"/>
        </w:rPr>
      </w:pPr>
      <w:r>
        <w:rPr>
          <w:rFonts w:ascii="Arial" w:cs="Arial" w:eastAsia="Arial" w:hAnsi="Arial"/>
          <w:sz w:val="14"/>
          <w:szCs w:val="14"/>
          <w:color w:val="auto"/>
        </w:rPr>
        <w:t>Lumen Technologies, Inc. (2017–2026)</w:t>
      </w:r>
    </w:p>
    <w:p>
      <w:pPr>
        <w:spacing w:after="0" w:line="20" w:lineRule="exact"/>
        <w:rPr>
          <w:sz w:val="20"/>
          <w:szCs w:val="20"/>
          <w:color w:val="auto"/>
        </w:rPr>
      </w:pPr>
      <w:r>
        <w:rPr>
          <w:sz w:val="20"/>
          <w:szCs w:val="20"/>
          <w:color w:val="auto"/>
        </w:rPr>
        <w:br w:type="column"/>
      </w:r>
    </w:p>
    <w:p>
      <w:pPr>
        <w:spacing w:after="0" w:line="397" w:lineRule="exact"/>
        <w:rPr>
          <w:sz w:val="20"/>
          <w:szCs w:val="20"/>
          <w:color w:val="auto"/>
        </w:rPr>
      </w:pPr>
    </w:p>
    <w:p>
      <w:pPr>
        <w:ind w:left="8"/>
        <w:spacing w:after="0"/>
        <w:rPr>
          <w:sz w:val="20"/>
          <w:szCs w:val="20"/>
          <w:color w:val="auto"/>
        </w:rPr>
      </w:pPr>
      <w:r>
        <w:rPr>
          <w:rFonts w:ascii="Arial" w:cs="Arial" w:eastAsia="Arial" w:hAnsi="Arial"/>
          <w:sz w:val="16"/>
          <w:szCs w:val="16"/>
          <w:b w:val="1"/>
          <w:bCs w:val="1"/>
          <w:color w:val="0C3471"/>
        </w:rPr>
        <w:t>Biography:</w:t>
      </w:r>
    </w:p>
    <w:p>
      <w:pPr>
        <w:spacing w:after="0" w:line="127" w:lineRule="exact"/>
        <w:rPr>
          <w:sz w:val="20"/>
          <w:szCs w:val="20"/>
          <w:color w:val="auto"/>
        </w:rPr>
      </w:pPr>
    </w:p>
    <w:p>
      <w:pPr>
        <w:ind w:left="188" w:right="380" w:hanging="188"/>
        <w:spacing w:after="0" w:line="292" w:lineRule="auto"/>
        <w:tabs>
          <w:tab w:leader="none" w:pos="144" w:val="left"/>
        </w:tabs>
        <w:numPr>
          <w:ilvl w:val="0"/>
          <w:numId w:val="26"/>
        </w:numPr>
        <w:rPr>
          <w:rFonts w:ascii="Arial" w:cs="Arial" w:eastAsia="Arial" w:hAnsi="Arial"/>
          <w:sz w:val="13"/>
          <w:szCs w:val="13"/>
          <w:color w:val="64A70B"/>
        </w:rPr>
      </w:pPr>
      <w:r>
        <w:rPr>
          <w:rFonts w:ascii="Arial" w:cs="Arial" w:eastAsia="Arial" w:hAnsi="Arial"/>
          <w:sz w:val="16"/>
          <w:szCs w:val="16"/>
          <w:color w:val="auto"/>
        </w:rPr>
        <w:t>Member of the board of directors of Lumen Technologies, Inc. (formerly CenturyLink, Inc.), a global communications and information technology services company, from 2017 to March 2026, including as Chair of the board of directors since May 2020</w:t>
      </w:r>
    </w:p>
    <w:p>
      <w:pPr>
        <w:spacing w:after="0" w:line="30" w:lineRule="exact"/>
        <w:rPr>
          <w:rFonts w:ascii="Arial" w:cs="Arial" w:eastAsia="Arial" w:hAnsi="Arial"/>
          <w:sz w:val="13"/>
          <w:szCs w:val="13"/>
          <w:color w:val="64A70B"/>
        </w:rPr>
      </w:pPr>
    </w:p>
    <w:p>
      <w:pPr>
        <w:ind w:left="148" w:hanging="148"/>
        <w:spacing w:after="0"/>
        <w:tabs>
          <w:tab w:leader="none" w:pos="148" w:val="left"/>
        </w:tabs>
        <w:numPr>
          <w:ilvl w:val="0"/>
          <w:numId w:val="26"/>
        </w:numPr>
        <w:rPr>
          <w:rFonts w:ascii="Arial" w:cs="Arial" w:eastAsia="Arial" w:hAnsi="Arial"/>
          <w:sz w:val="13"/>
          <w:szCs w:val="13"/>
          <w:color w:val="64A70B"/>
        </w:rPr>
      </w:pPr>
      <w:r>
        <w:rPr>
          <w:rFonts w:ascii="Arial" w:cs="Arial" w:eastAsia="Arial" w:hAnsi="Arial"/>
          <w:sz w:val="16"/>
          <w:szCs w:val="16"/>
          <w:color w:val="auto"/>
        </w:rPr>
        <w:t>Senior Advisor to Oak Hill Capital Partners, a private equity firm, from 2017 to 2020</w:t>
      </w:r>
    </w:p>
    <w:p>
      <w:pPr>
        <w:spacing w:after="0" w:line="99" w:lineRule="exact"/>
        <w:rPr>
          <w:rFonts w:ascii="Arial" w:cs="Arial" w:eastAsia="Arial" w:hAnsi="Arial"/>
          <w:sz w:val="13"/>
          <w:szCs w:val="13"/>
          <w:color w:val="64A70B"/>
        </w:rPr>
      </w:pPr>
    </w:p>
    <w:p>
      <w:pPr>
        <w:ind w:left="188" w:right="380" w:hanging="188"/>
        <w:spacing w:after="0" w:line="321" w:lineRule="auto"/>
        <w:tabs>
          <w:tab w:leader="none" w:pos="144" w:val="left"/>
        </w:tabs>
        <w:numPr>
          <w:ilvl w:val="0"/>
          <w:numId w:val="26"/>
        </w:numPr>
        <w:rPr>
          <w:rFonts w:ascii="Arial" w:cs="Arial" w:eastAsia="Arial" w:hAnsi="Arial"/>
          <w:sz w:val="13"/>
          <w:szCs w:val="13"/>
          <w:color w:val="64A70B"/>
        </w:rPr>
      </w:pPr>
      <w:r>
        <w:rPr>
          <w:rFonts w:ascii="Arial" w:cs="Arial" w:eastAsia="Arial" w:hAnsi="Arial"/>
          <w:sz w:val="16"/>
          <w:szCs w:val="16"/>
          <w:color w:val="auto"/>
        </w:rPr>
        <w:t>Served as Chief Executive Officer of FedEx Services, responsible for all marketing, sales, customer service and retail operation functions for FedEx Corporation, from 2000 to 2016</w:t>
      </w:r>
    </w:p>
    <w:p>
      <w:pPr>
        <w:spacing w:after="0" w:line="7" w:lineRule="exact"/>
        <w:rPr>
          <w:rFonts w:ascii="Arial" w:cs="Arial" w:eastAsia="Arial" w:hAnsi="Arial"/>
          <w:sz w:val="13"/>
          <w:szCs w:val="13"/>
          <w:color w:val="64A70B"/>
        </w:rPr>
      </w:pPr>
    </w:p>
    <w:p>
      <w:pPr>
        <w:ind w:left="148" w:hanging="148"/>
        <w:spacing w:after="0"/>
        <w:tabs>
          <w:tab w:leader="none" w:pos="148" w:val="left"/>
        </w:tabs>
        <w:numPr>
          <w:ilvl w:val="0"/>
          <w:numId w:val="26"/>
        </w:numPr>
        <w:rPr>
          <w:rFonts w:ascii="Arial" w:cs="Arial" w:eastAsia="Arial" w:hAnsi="Arial"/>
          <w:sz w:val="13"/>
          <w:szCs w:val="13"/>
          <w:color w:val="64A70B"/>
        </w:rPr>
      </w:pPr>
      <w:r>
        <w:rPr>
          <w:rFonts w:ascii="Arial" w:cs="Arial" w:eastAsia="Arial" w:hAnsi="Arial"/>
          <w:sz w:val="16"/>
          <w:szCs w:val="16"/>
          <w:color w:val="auto"/>
        </w:rPr>
        <w:t>Executive Vice President, FedEx Corporation and member of the Executive Committee, from 1998 to 2016</w:t>
      </w:r>
    </w:p>
    <w:p>
      <w:pPr>
        <w:spacing w:after="0" w:line="99" w:lineRule="exact"/>
        <w:rPr>
          <w:rFonts w:ascii="Arial" w:cs="Arial" w:eastAsia="Arial" w:hAnsi="Arial"/>
          <w:sz w:val="13"/>
          <w:szCs w:val="13"/>
          <w:color w:val="64A70B"/>
        </w:rPr>
      </w:pPr>
    </w:p>
    <w:p>
      <w:pPr>
        <w:ind w:left="188" w:right="400" w:hanging="188"/>
        <w:spacing w:after="0" w:line="304" w:lineRule="auto"/>
        <w:tabs>
          <w:tab w:leader="none" w:pos="144" w:val="left"/>
        </w:tabs>
        <w:numPr>
          <w:ilvl w:val="0"/>
          <w:numId w:val="26"/>
        </w:numPr>
        <w:rPr>
          <w:rFonts w:ascii="Arial" w:cs="Arial" w:eastAsia="Arial" w:hAnsi="Arial"/>
          <w:sz w:val="13"/>
          <w:szCs w:val="13"/>
          <w:color w:val="64A70B"/>
        </w:rPr>
      </w:pPr>
      <w:r>
        <w:rPr>
          <w:rFonts w:ascii="Arial" w:cs="Arial" w:eastAsia="Arial" w:hAnsi="Arial"/>
          <w:sz w:val="16"/>
          <w:szCs w:val="16"/>
          <w:color w:val="auto"/>
        </w:rPr>
        <w:t>Various marketing, sales and customer service roles including senior leadership positions, from 1981 to 1998 at FedEx Corporation, a global leader of supply chain, transportation and relations information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8"/>
        <w:spacing w:after="0"/>
        <w:rPr>
          <w:sz w:val="20"/>
          <w:szCs w:val="20"/>
          <w:color w:val="auto"/>
        </w:rPr>
      </w:pPr>
      <w:r>
        <w:rPr>
          <w:rFonts w:ascii="Arial" w:cs="Arial" w:eastAsia="Arial" w:hAnsi="Arial"/>
          <w:sz w:val="16"/>
          <w:szCs w:val="16"/>
          <w:b w:val="1"/>
          <w:bCs w:val="1"/>
          <w:color w:val="0C3471"/>
        </w:rPr>
        <w:t>Skills &amp; Qualifications:</w:t>
      </w:r>
    </w:p>
    <w:p>
      <w:pPr>
        <w:spacing w:after="0" w:line="127" w:lineRule="exact"/>
        <w:rPr>
          <w:sz w:val="20"/>
          <w:szCs w:val="20"/>
          <w:color w:val="auto"/>
        </w:rPr>
      </w:pPr>
    </w:p>
    <w:p>
      <w:pPr>
        <w:ind w:left="8" w:right="360"/>
        <w:spacing w:after="0" w:line="292" w:lineRule="auto"/>
        <w:rPr>
          <w:sz w:val="20"/>
          <w:szCs w:val="20"/>
          <w:color w:val="auto"/>
        </w:rPr>
      </w:pPr>
      <w:r>
        <w:rPr>
          <w:rFonts w:ascii="Arial" w:cs="Arial" w:eastAsia="Arial" w:hAnsi="Arial"/>
          <w:sz w:val="16"/>
          <w:szCs w:val="16"/>
          <w:color w:val="auto"/>
        </w:rPr>
        <w:t>Mr. Glenn brings extensive strategic, marketing and communications experience to our Board from his service as one of the top leaders at FedEx Corporation. He has been an active participant in the development of our strategic plans and a strong proponent for strengthening our branding and marketing initiatives.</w:t>
      </w:r>
    </w:p>
    <w:p>
      <w:pPr>
        <w:spacing w:after="0" w:line="76" w:lineRule="exact"/>
        <w:rPr>
          <w:sz w:val="20"/>
          <w:szCs w:val="20"/>
          <w:color w:val="auto"/>
        </w:rPr>
      </w:pPr>
    </w:p>
    <w:p>
      <w:pPr>
        <w:ind w:left="188" w:right="380" w:hanging="188"/>
        <w:spacing w:after="0" w:line="325" w:lineRule="auto"/>
        <w:tabs>
          <w:tab w:leader="none" w:pos="209" w:val="left"/>
        </w:tabs>
        <w:numPr>
          <w:ilvl w:val="0"/>
          <w:numId w:val="27"/>
        </w:numPr>
        <w:rPr>
          <w:rFonts w:ascii="Arial" w:cs="Arial" w:eastAsia="Arial" w:hAnsi="Arial"/>
          <w:sz w:val="14"/>
          <w:szCs w:val="14"/>
          <w:color w:val="auto"/>
        </w:rPr>
      </w:pPr>
      <w:r>
        <w:rPr>
          <w:rFonts w:ascii="Arial" w:cs="Arial" w:eastAsia="Arial" w:hAnsi="Arial"/>
          <w:sz w:val="14"/>
          <w:szCs w:val="14"/>
          <w:color w:val="auto"/>
        </w:rPr>
        <w:t>Upon completion of the Annual General Meeting, Mr. Glenn will serve as Chair of the Board and will no longer serve as Chair of the Compensation Committee.</w:t>
      </w:r>
    </w:p>
    <w:p>
      <w:pPr>
        <w:spacing w:after="0" w:line="632" w:lineRule="exact"/>
        <w:rPr>
          <w:sz w:val="20"/>
          <w:szCs w:val="20"/>
          <w:color w:val="auto"/>
        </w:rPr>
      </w:pPr>
    </w:p>
    <w:p>
      <w:pPr>
        <w:sectPr>
          <w:pgSz w:w="11900" w:h="16838" w:orient="portrait"/>
          <w:cols w:equalWidth="0" w:num="2">
            <w:col w:w="2160" w:space="552"/>
            <w:col w:w="8528"/>
          </w:cols>
          <w:pgMar w:left="320" w:top="314"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10780" w:type="dxa"/>
            <w:vAlign w:val="bottom"/>
          </w:tcPr>
          <w:p>
            <w:pPr>
              <w:ind w:left="8260"/>
              <w:spacing w:after="0"/>
              <w:rPr>
                <w:sz w:val="20"/>
                <w:szCs w:val="20"/>
                <w:color w:val="auto"/>
              </w:rPr>
            </w:pPr>
            <w:r>
              <w:rPr>
                <w:rFonts w:ascii="Arial" w:cs="Arial" w:eastAsia="Arial" w:hAnsi="Arial"/>
                <w:sz w:val="16"/>
                <w:szCs w:val="16"/>
                <w:b w:val="1"/>
                <w:bCs w:val="1"/>
                <w:color w:val="auto"/>
              </w:rPr>
              <w:t xml:space="preserve">2026 Proxy Statement </w:t>
            </w:r>
            <w:r>
              <w:rPr>
                <w:rFonts w:ascii="Arial" w:cs="Arial" w:eastAsia="Arial" w:hAnsi="Arial"/>
                <w:sz w:val="16"/>
                <w:szCs w:val="16"/>
                <w:b w:val="1"/>
                <w:bCs w:val="1"/>
                <w:color w:val="0C3471"/>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Pentair</w:t>
            </w:r>
          </w:p>
        </w:tc>
        <w:tc>
          <w:tcPr>
            <w:tcW w:w="460" w:type="dxa"/>
            <w:vAlign w:val="bottom"/>
          </w:tcPr>
          <w:p>
            <w:pPr>
              <w:jc w:val="right"/>
              <w:spacing w:after="0"/>
              <w:rPr>
                <w:sz w:val="20"/>
                <w:szCs w:val="20"/>
                <w:color w:val="auto"/>
              </w:rPr>
            </w:pPr>
            <w:r>
              <w:rPr>
                <w:rFonts w:ascii="Arial" w:cs="Arial" w:eastAsia="Arial" w:hAnsi="Arial"/>
                <w:sz w:val="16"/>
                <w:szCs w:val="16"/>
                <w:b w:val="1"/>
                <w:bCs w:val="1"/>
                <w:color w:val="auto"/>
              </w:rPr>
              <w:t>13</w:t>
            </w:r>
          </w:p>
        </w:tc>
      </w:tr>
      <w:tr>
        <w:trPr>
          <w:trHeight w:val="311"/>
        </w:trPr>
        <w:tc>
          <w:tcPr>
            <w:tcW w:w="107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14" w:right="339" w:bottom="1440" w:gutter="0" w:footer="0" w:header="0"/>
          <w:type w:val="continuous"/>
        </w:sectPr>
      </w:pPr>
    </w:p>
    <w:bookmarkStart w:id="15" w:name="page16"/>
    <w:bookmarkEnd w:id="15"/>
    <w:p>
      <w:pPr>
        <w:ind w:left="374"/>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225425</wp:posOffset>
            </wp:positionH>
            <wp:positionV relativeFrom="page">
              <wp:posOffset>191770</wp:posOffset>
            </wp:positionV>
            <wp:extent cx="102870" cy="11112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clrChange>
                        <a:clrFrom>
                          <a:srgbClr val="FFFFFF"/>
                        </a:clrFrom>
                        <a:clrTo>
                          <a:srgbClr val="FFFFFF">
                            <a:alpha val="0"/>
                          </a:srgbClr>
                        </a:clrTo>
                      </a:clrChange>
                      <a:extLst>
                        <a:ext uri="{28A0092B-C50C-407E-A947-70E740481C1C}"/>
                      </a:extLst>
                    </a:blip>
                    <a:srcRect/>
                    <a:stretch>
                      <a:fillRect/>
                    </a:stretch>
                  </pic:blipFill>
                  <pic:spPr bwMode="auto">
                    <a:xfrm>
                      <a:off x="0" y="0"/>
                      <a:ext cx="102870" cy="111125"/>
                    </a:xfrm>
                    <a:prstGeom prst="rect">
                      <a:avLst/>
                    </a:prstGeom>
                    <a:noFill/>
                  </pic:spPr>
                </pic:pic>
              </a:graphicData>
            </a:graphic>
          </wp:anchor>
        </w:drawing>
        <w:t>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543560</wp:posOffset>
            </wp:positionV>
            <wp:extent cx="7140575" cy="389191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40575" cy="3891915"/>
                    </a:xfrm>
                    <a:prstGeom prst="rect">
                      <a:avLst/>
                    </a:prstGeom>
                    <a:noFill/>
                  </pic:spPr>
                </pic:pic>
              </a:graphicData>
            </a:graphic>
          </wp:anchor>
        </w:drawing>
      </w:r>
    </w:p>
    <w:p>
      <w:pPr>
        <w:sectPr>
          <w:pgSz w:w="11900" w:h="16838" w:orient="portrait"/>
          <w:cols w:equalWidth="0" w:num="1">
            <w:col w:w="10874"/>
          </w:cols>
          <w:pgMar w:left="346" w:top="314" w:right="6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134"/>
        <w:spacing w:after="0"/>
        <w:rPr>
          <w:sz w:val="20"/>
          <w:szCs w:val="20"/>
          <w:color w:val="auto"/>
        </w:rPr>
      </w:pPr>
      <w:r>
        <w:rPr>
          <w:rFonts w:ascii="Arial" w:cs="Arial" w:eastAsia="Arial" w:hAnsi="Arial"/>
          <w:sz w:val="18"/>
          <w:szCs w:val="18"/>
          <w:b w:val="1"/>
          <w:bCs w:val="1"/>
          <w:color w:val="0C3471"/>
        </w:rPr>
        <w:t>THEODORE L.</w:t>
      </w:r>
    </w:p>
    <w:p>
      <w:pPr>
        <w:spacing w:after="0" w:line="27" w:lineRule="exact"/>
        <w:rPr>
          <w:sz w:val="20"/>
          <w:szCs w:val="20"/>
          <w:color w:val="auto"/>
        </w:rPr>
      </w:pPr>
    </w:p>
    <w:p>
      <w:pPr>
        <w:ind w:left="134"/>
        <w:spacing w:after="0"/>
        <w:rPr>
          <w:sz w:val="20"/>
          <w:szCs w:val="20"/>
          <w:color w:val="auto"/>
        </w:rPr>
      </w:pPr>
      <w:r>
        <w:rPr>
          <w:rFonts w:ascii="Arial" w:cs="Arial" w:eastAsia="Arial" w:hAnsi="Arial"/>
          <w:sz w:val="18"/>
          <w:szCs w:val="18"/>
          <w:b w:val="1"/>
          <w:bCs w:val="1"/>
          <w:color w:val="0C3471"/>
        </w:rPr>
        <w:t>HARRIS</w:t>
      </w:r>
    </w:p>
    <w:p>
      <w:pPr>
        <w:spacing w:after="0" w:line="55" w:lineRule="exact"/>
        <w:rPr>
          <w:sz w:val="20"/>
          <w:szCs w:val="20"/>
          <w:color w:val="auto"/>
        </w:rPr>
      </w:pPr>
    </w:p>
    <w:p>
      <w:pPr>
        <w:ind w:left="134" w:right="352"/>
        <w:spacing w:after="0" w:line="305" w:lineRule="auto"/>
        <w:rPr>
          <w:sz w:val="20"/>
          <w:szCs w:val="20"/>
          <w:color w:val="auto"/>
        </w:rPr>
      </w:pPr>
      <w:r>
        <w:rPr>
          <w:rFonts w:ascii="Arial" w:cs="Arial" w:eastAsia="Arial" w:hAnsi="Arial"/>
          <w:sz w:val="14"/>
          <w:szCs w:val="14"/>
          <w:color w:val="auto"/>
        </w:rPr>
        <w:t>Chief Executive Officer, Balchem Corporation</w:t>
      </w:r>
    </w:p>
    <w:p>
      <w:pPr>
        <w:spacing w:after="0" w:line="171" w:lineRule="exact"/>
        <w:rPr>
          <w:sz w:val="20"/>
          <w:szCs w:val="20"/>
          <w:color w:val="auto"/>
        </w:rPr>
      </w:pPr>
    </w:p>
    <w:p>
      <w:pPr>
        <w:ind w:left="134"/>
        <w:spacing w:after="0"/>
        <w:rPr>
          <w:sz w:val="20"/>
          <w:szCs w:val="20"/>
          <w:color w:val="auto"/>
        </w:rPr>
      </w:pPr>
      <w:r>
        <w:rPr>
          <w:rFonts w:ascii="Arial" w:cs="Arial" w:eastAsia="Arial" w:hAnsi="Arial"/>
          <w:sz w:val="14"/>
          <w:szCs w:val="14"/>
          <w:color w:val="0C3471"/>
        </w:rPr>
        <w:t>Independent</w:t>
      </w:r>
    </w:p>
    <w:p>
      <w:pPr>
        <w:spacing w:after="0" w:line="29" w:lineRule="exact"/>
        <w:rPr>
          <w:sz w:val="20"/>
          <w:szCs w:val="20"/>
          <w:color w:val="auto"/>
        </w:rPr>
      </w:pPr>
    </w:p>
    <w:p>
      <w:pPr>
        <w:ind w:left="134"/>
        <w:spacing w:after="0"/>
        <w:rPr>
          <w:sz w:val="20"/>
          <w:szCs w:val="20"/>
          <w:color w:val="auto"/>
        </w:rPr>
      </w:pPr>
      <w:r>
        <w:rPr>
          <w:rFonts w:ascii="Arial" w:cs="Arial" w:eastAsia="Arial" w:hAnsi="Arial"/>
          <w:sz w:val="14"/>
          <w:szCs w:val="14"/>
          <w:color w:val="0C3471"/>
        </w:rPr>
        <w:t xml:space="preserve">Age: </w:t>
      </w:r>
      <w:r>
        <w:rPr>
          <w:rFonts w:ascii="Arial" w:cs="Arial" w:eastAsia="Arial" w:hAnsi="Arial"/>
          <w:sz w:val="14"/>
          <w:szCs w:val="14"/>
          <w:color w:val="000000"/>
        </w:rPr>
        <w:t>61</w:t>
      </w:r>
    </w:p>
    <w:p>
      <w:pPr>
        <w:spacing w:after="0" w:line="15" w:lineRule="exact"/>
        <w:rPr>
          <w:sz w:val="20"/>
          <w:szCs w:val="20"/>
          <w:color w:val="auto"/>
        </w:rPr>
      </w:pPr>
    </w:p>
    <w:p>
      <w:pPr>
        <w:ind w:left="134"/>
        <w:spacing w:after="0"/>
        <w:rPr>
          <w:sz w:val="20"/>
          <w:szCs w:val="20"/>
          <w:color w:val="auto"/>
        </w:rPr>
      </w:pPr>
      <w:r>
        <w:rPr>
          <w:rFonts w:ascii="Arial" w:cs="Arial" w:eastAsia="Arial" w:hAnsi="Arial"/>
          <w:sz w:val="14"/>
          <w:szCs w:val="14"/>
          <w:color w:val="0C3471"/>
        </w:rPr>
        <w:t xml:space="preserve">Director Since: </w:t>
      </w:r>
      <w:r>
        <w:rPr>
          <w:rFonts w:ascii="Arial" w:cs="Arial" w:eastAsia="Arial" w:hAnsi="Arial"/>
          <w:sz w:val="14"/>
          <w:szCs w:val="14"/>
          <w:color w:val="000000"/>
        </w:rPr>
        <w:t>2018</w:t>
      </w:r>
    </w:p>
    <w:p>
      <w:pPr>
        <w:spacing w:after="0" w:line="1" w:lineRule="exact"/>
        <w:rPr>
          <w:sz w:val="20"/>
          <w:szCs w:val="20"/>
          <w:color w:val="auto"/>
        </w:rPr>
      </w:pPr>
    </w:p>
    <w:p>
      <w:pPr>
        <w:ind w:left="134"/>
        <w:spacing w:after="0"/>
        <w:rPr>
          <w:sz w:val="20"/>
          <w:szCs w:val="20"/>
          <w:color w:val="auto"/>
        </w:rPr>
      </w:pPr>
      <w:r>
        <w:rPr>
          <w:rFonts w:ascii="Arial" w:cs="Arial" w:eastAsia="Arial" w:hAnsi="Arial"/>
          <w:sz w:val="14"/>
          <w:szCs w:val="14"/>
          <w:color w:val="0C3471"/>
        </w:rPr>
        <w:t>Committees:</w:t>
      </w:r>
    </w:p>
    <w:p>
      <w:pPr>
        <w:spacing w:after="0" w:line="15" w:lineRule="exact"/>
        <w:rPr>
          <w:sz w:val="20"/>
          <w:szCs w:val="20"/>
          <w:color w:val="auto"/>
        </w:rPr>
      </w:pPr>
    </w:p>
    <w:p>
      <w:pPr>
        <w:ind w:left="134"/>
        <w:spacing w:after="0"/>
        <w:rPr>
          <w:sz w:val="20"/>
          <w:szCs w:val="20"/>
          <w:color w:val="auto"/>
        </w:rPr>
      </w:pPr>
      <w:r>
        <w:rPr>
          <w:rFonts w:ascii="Arial" w:cs="Arial" w:eastAsia="Arial" w:hAnsi="Arial"/>
          <w:sz w:val="14"/>
          <w:szCs w:val="14"/>
          <w:color w:val="auto"/>
        </w:rPr>
        <w:t>Compensation*</w:t>
      </w:r>
    </w:p>
    <w:p>
      <w:pPr>
        <w:spacing w:after="0" w:line="15" w:lineRule="exact"/>
        <w:rPr>
          <w:sz w:val="20"/>
          <w:szCs w:val="20"/>
          <w:color w:val="auto"/>
        </w:rPr>
      </w:pPr>
    </w:p>
    <w:p>
      <w:pPr>
        <w:ind w:left="134"/>
        <w:spacing w:after="0"/>
        <w:rPr>
          <w:sz w:val="20"/>
          <w:szCs w:val="20"/>
          <w:color w:val="auto"/>
        </w:rPr>
      </w:pPr>
      <w:r>
        <w:rPr>
          <w:rFonts w:ascii="Arial" w:cs="Arial" w:eastAsia="Arial" w:hAnsi="Arial"/>
          <w:sz w:val="14"/>
          <w:szCs w:val="14"/>
          <w:color w:val="auto"/>
        </w:rPr>
        <w:t>Governance</w:t>
      </w:r>
    </w:p>
    <w:p>
      <w:pPr>
        <w:spacing w:after="0" w:line="225" w:lineRule="exact"/>
        <w:rPr>
          <w:sz w:val="20"/>
          <w:szCs w:val="20"/>
          <w:color w:val="auto"/>
        </w:rPr>
      </w:pPr>
    </w:p>
    <w:p>
      <w:pPr>
        <w:ind w:left="134"/>
        <w:spacing w:after="0"/>
        <w:rPr>
          <w:sz w:val="20"/>
          <w:szCs w:val="20"/>
          <w:color w:val="auto"/>
        </w:rPr>
      </w:pPr>
      <w:r>
        <w:rPr>
          <w:rFonts w:ascii="Arial" w:cs="Arial" w:eastAsia="Arial" w:hAnsi="Arial"/>
          <w:sz w:val="16"/>
          <w:szCs w:val="16"/>
          <w:b w:val="1"/>
          <w:bCs w:val="1"/>
          <w:color w:val="0C3471"/>
        </w:rPr>
        <w:t>Other Current</w:t>
      </w:r>
    </w:p>
    <w:p>
      <w:pPr>
        <w:spacing w:after="0" w:line="21" w:lineRule="exact"/>
        <w:rPr>
          <w:sz w:val="20"/>
          <w:szCs w:val="20"/>
          <w:color w:val="auto"/>
        </w:rPr>
      </w:pPr>
    </w:p>
    <w:p>
      <w:pPr>
        <w:ind w:left="134"/>
        <w:spacing w:after="0"/>
        <w:rPr>
          <w:sz w:val="20"/>
          <w:szCs w:val="20"/>
          <w:color w:val="auto"/>
        </w:rPr>
      </w:pPr>
      <w:r>
        <w:rPr>
          <w:rFonts w:ascii="Arial" w:cs="Arial" w:eastAsia="Arial" w:hAnsi="Arial"/>
          <w:sz w:val="16"/>
          <w:szCs w:val="16"/>
          <w:b w:val="1"/>
          <w:bCs w:val="1"/>
          <w:color w:val="0C3471"/>
        </w:rPr>
        <w:t>Public Board Service:</w:t>
      </w:r>
    </w:p>
    <w:p>
      <w:pPr>
        <w:spacing w:after="0" w:line="61" w:lineRule="exact"/>
        <w:rPr>
          <w:sz w:val="20"/>
          <w:szCs w:val="20"/>
          <w:color w:val="auto"/>
        </w:rPr>
      </w:pPr>
    </w:p>
    <w:p>
      <w:pPr>
        <w:ind w:left="134" w:right="492"/>
        <w:spacing w:after="0" w:line="305" w:lineRule="auto"/>
        <w:rPr>
          <w:sz w:val="20"/>
          <w:szCs w:val="20"/>
          <w:color w:val="auto"/>
        </w:rPr>
      </w:pPr>
      <w:r>
        <w:rPr>
          <w:rFonts w:ascii="Arial" w:cs="Arial" w:eastAsia="Arial" w:hAnsi="Arial"/>
          <w:sz w:val="14"/>
          <w:szCs w:val="14"/>
          <w:color w:val="auto"/>
        </w:rPr>
        <w:t>Balchem Corporation (2015–present)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8"/>
        <w:spacing w:after="0"/>
        <w:rPr>
          <w:sz w:val="20"/>
          <w:szCs w:val="20"/>
          <w:color w:val="auto"/>
        </w:rPr>
      </w:pPr>
      <w:r>
        <w:rPr>
          <w:rFonts w:ascii="Arial" w:cs="Arial" w:eastAsia="Arial" w:hAnsi="Arial"/>
          <w:sz w:val="16"/>
          <w:szCs w:val="16"/>
          <w:b w:val="1"/>
          <w:bCs w:val="1"/>
          <w:color w:val="0C3471"/>
        </w:rPr>
        <w:t>Biography:</w:t>
      </w:r>
    </w:p>
    <w:p>
      <w:pPr>
        <w:spacing w:after="0" w:line="140" w:lineRule="exact"/>
        <w:rPr>
          <w:sz w:val="20"/>
          <w:szCs w:val="20"/>
          <w:color w:val="auto"/>
        </w:rPr>
      </w:pPr>
    </w:p>
    <w:p>
      <w:pPr>
        <w:ind w:left="188" w:right="60" w:hanging="188"/>
        <w:spacing w:after="0" w:line="292" w:lineRule="auto"/>
        <w:tabs>
          <w:tab w:leader="none" w:pos="144" w:val="left"/>
        </w:tabs>
        <w:numPr>
          <w:ilvl w:val="0"/>
          <w:numId w:val="28"/>
        </w:numPr>
        <w:rPr>
          <w:rFonts w:ascii="Arial" w:cs="Arial" w:eastAsia="Arial" w:hAnsi="Arial"/>
          <w:sz w:val="13"/>
          <w:szCs w:val="13"/>
          <w:color w:val="64A70B"/>
        </w:rPr>
      </w:pPr>
      <w:r>
        <w:rPr>
          <w:rFonts w:ascii="Arial" w:cs="Arial" w:eastAsia="Arial" w:hAnsi="Arial"/>
          <w:sz w:val="16"/>
          <w:szCs w:val="16"/>
          <w:color w:val="auto"/>
        </w:rPr>
        <w:t>Chief Executive Officer and member of the board of directors of Balchem Corporation, a provider of specialty performance ingredients and products for the food, nutritional, feed, pharmaceutical, medical sterilization and industrial industries, from 2015 to present, and Chairman of Balchem’s board of directors, from 2017 to present</w:t>
      </w:r>
    </w:p>
    <w:p>
      <w:pPr>
        <w:spacing w:after="0" w:line="30" w:lineRule="exact"/>
        <w:rPr>
          <w:rFonts w:ascii="Arial" w:cs="Arial" w:eastAsia="Arial" w:hAnsi="Arial"/>
          <w:sz w:val="13"/>
          <w:szCs w:val="13"/>
          <w:color w:val="64A70B"/>
        </w:rPr>
      </w:pPr>
    </w:p>
    <w:p>
      <w:pPr>
        <w:ind w:left="188" w:hanging="188"/>
        <w:spacing w:after="0" w:line="283" w:lineRule="auto"/>
        <w:tabs>
          <w:tab w:leader="none" w:pos="144" w:val="left"/>
        </w:tabs>
        <w:numPr>
          <w:ilvl w:val="0"/>
          <w:numId w:val="28"/>
        </w:numPr>
        <w:rPr>
          <w:rFonts w:ascii="Arial" w:cs="Arial" w:eastAsia="Arial" w:hAnsi="Arial"/>
          <w:sz w:val="13"/>
          <w:szCs w:val="13"/>
          <w:color w:val="64A70B"/>
        </w:rPr>
      </w:pPr>
      <w:r>
        <w:rPr>
          <w:rFonts w:ascii="Arial" w:cs="Arial" w:eastAsia="Arial" w:hAnsi="Arial"/>
          <w:sz w:val="16"/>
          <w:szCs w:val="16"/>
          <w:color w:val="auto"/>
        </w:rPr>
        <w:t>11 years of various senior management positions at Ashland, Inc., a global specialty chemical provider in a wide variety of markets and applications, such as architectural coatings, adhesives, automotive, construction, energy, food and beverage, personal care, and pharmaceutical, including most recently as Senior Vice President and President, Performance Materials, from 2014 to 2015</w:t>
      </w:r>
    </w:p>
    <w:p>
      <w:pPr>
        <w:spacing w:after="0" w:line="36" w:lineRule="exact"/>
        <w:rPr>
          <w:rFonts w:ascii="Arial" w:cs="Arial" w:eastAsia="Arial" w:hAnsi="Arial"/>
          <w:sz w:val="13"/>
          <w:szCs w:val="13"/>
          <w:color w:val="64A70B"/>
        </w:rPr>
      </w:pPr>
    </w:p>
    <w:p>
      <w:pPr>
        <w:ind w:left="188" w:right="220" w:hanging="188"/>
        <w:spacing w:after="0" w:line="321" w:lineRule="auto"/>
        <w:tabs>
          <w:tab w:leader="none" w:pos="144" w:val="left"/>
        </w:tabs>
        <w:numPr>
          <w:ilvl w:val="0"/>
          <w:numId w:val="28"/>
        </w:numPr>
        <w:rPr>
          <w:rFonts w:ascii="Arial" w:cs="Arial" w:eastAsia="Arial" w:hAnsi="Arial"/>
          <w:sz w:val="13"/>
          <w:szCs w:val="13"/>
          <w:color w:val="64A70B"/>
        </w:rPr>
      </w:pPr>
      <w:r>
        <w:rPr>
          <w:rFonts w:ascii="Arial" w:cs="Arial" w:eastAsia="Arial" w:hAnsi="Arial"/>
          <w:sz w:val="16"/>
          <w:szCs w:val="16"/>
          <w:color w:val="auto"/>
        </w:rPr>
        <w:t>Senior Vice President and President, Performance Materials &amp; Ashland Supply Chain from 2011 to 2014, and prior to that, Vice President and President, Performance Materials &amp; Ashland Supply Chain</w:t>
      </w:r>
    </w:p>
    <w:p>
      <w:pPr>
        <w:spacing w:after="0" w:line="7" w:lineRule="exact"/>
        <w:rPr>
          <w:rFonts w:ascii="Arial" w:cs="Arial" w:eastAsia="Arial" w:hAnsi="Arial"/>
          <w:sz w:val="13"/>
          <w:szCs w:val="13"/>
          <w:color w:val="64A70B"/>
        </w:rPr>
      </w:pPr>
    </w:p>
    <w:p>
      <w:pPr>
        <w:ind w:left="188" w:right="320" w:hanging="188"/>
        <w:spacing w:after="0" w:line="321" w:lineRule="auto"/>
        <w:tabs>
          <w:tab w:leader="none" w:pos="144" w:val="left"/>
        </w:tabs>
        <w:numPr>
          <w:ilvl w:val="0"/>
          <w:numId w:val="28"/>
        </w:numPr>
        <w:rPr>
          <w:rFonts w:ascii="Arial" w:cs="Arial" w:eastAsia="Arial" w:hAnsi="Arial"/>
          <w:sz w:val="13"/>
          <w:szCs w:val="13"/>
          <w:color w:val="64A70B"/>
        </w:rPr>
      </w:pPr>
      <w:r>
        <w:rPr>
          <w:rFonts w:ascii="Arial" w:cs="Arial" w:eastAsia="Arial" w:hAnsi="Arial"/>
          <w:sz w:val="16"/>
          <w:szCs w:val="16"/>
          <w:color w:val="auto"/>
        </w:rPr>
        <w:t>Variety of senior level roles for FMC Corporation, a global provider of crop-protection products, from 1993 to 2004, including General Manager of the Food Ingredients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8"/>
        <w:spacing w:after="0"/>
        <w:rPr>
          <w:sz w:val="20"/>
          <w:szCs w:val="20"/>
          <w:color w:val="auto"/>
        </w:rPr>
      </w:pPr>
      <w:r>
        <w:rPr>
          <w:rFonts w:ascii="Arial" w:cs="Arial" w:eastAsia="Arial" w:hAnsi="Arial"/>
          <w:sz w:val="16"/>
          <w:szCs w:val="16"/>
          <w:b w:val="1"/>
          <w:bCs w:val="1"/>
          <w:color w:val="0C3471"/>
        </w:rPr>
        <w:t>Skills &amp; Qualifications:</w:t>
      </w:r>
    </w:p>
    <w:p>
      <w:pPr>
        <w:spacing w:after="0" w:line="140" w:lineRule="exact"/>
        <w:rPr>
          <w:sz w:val="20"/>
          <w:szCs w:val="20"/>
          <w:color w:val="auto"/>
        </w:rPr>
      </w:pPr>
    </w:p>
    <w:p>
      <w:pPr>
        <w:jc w:val="both"/>
        <w:ind w:left="8" w:right="20"/>
        <w:spacing w:after="0" w:line="292" w:lineRule="auto"/>
        <w:rPr>
          <w:sz w:val="20"/>
          <w:szCs w:val="20"/>
          <w:color w:val="auto"/>
        </w:rPr>
      </w:pPr>
      <w:r>
        <w:rPr>
          <w:rFonts w:ascii="Arial" w:cs="Arial" w:eastAsia="Arial" w:hAnsi="Arial"/>
          <w:sz w:val="16"/>
          <w:szCs w:val="16"/>
          <w:color w:val="auto"/>
        </w:rPr>
        <w:t>Mr. Harris brings to our Board broad managerial, international, operational, financial and sales experience, as well as his track record of leading businesses with complex, global supply chains, and developing worldwide marketing strategies and his strong connectivity to consumer end markets.</w:t>
      </w:r>
    </w:p>
    <w:p>
      <w:pPr>
        <w:spacing w:after="0" w:line="62" w:lineRule="exact"/>
        <w:rPr>
          <w:sz w:val="20"/>
          <w:szCs w:val="20"/>
          <w:color w:val="auto"/>
        </w:rPr>
      </w:pPr>
    </w:p>
    <w:p>
      <w:pPr>
        <w:ind w:left="208" w:hanging="208"/>
        <w:spacing w:after="0"/>
        <w:tabs>
          <w:tab w:leader="none" w:pos="208" w:val="left"/>
        </w:tabs>
        <w:numPr>
          <w:ilvl w:val="0"/>
          <w:numId w:val="29"/>
        </w:numPr>
        <w:rPr>
          <w:rFonts w:ascii="Arial" w:cs="Arial" w:eastAsia="Arial" w:hAnsi="Arial"/>
          <w:sz w:val="14"/>
          <w:szCs w:val="14"/>
          <w:color w:val="auto"/>
        </w:rPr>
      </w:pPr>
      <w:r>
        <w:rPr>
          <w:rFonts w:ascii="Arial" w:cs="Arial" w:eastAsia="Arial" w:hAnsi="Arial"/>
          <w:sz w:val="14"/>
          <w:szCs w:val="14"/>
          <w:color w:val="auto"/>
        </w:rPr>
        <w:t>Upon completion of the Annual General Meeting, Mr. Harris will serve as Chair of the Compensation Committee Chair.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-1716405</wp:posOffset>
            </wp:positionH>
            <wp:positionV relativeFrom="paragraph">
              <wp:posOffset>554990</wp:posOffset>
            </wp:positionV>
            <wp:extent cx="7140575" cy="34201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40575" cy="342011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966" w:space="720"/>
            <w:col w:w="8188"/>
          </w:cols>
          <w:pgMar w:left="346" w:top="314" w:right="6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134"/>
        <w:spacing w:after="0"/>
        <w:rPr>
          <w:sz w:val="20"/>
          <w:szCs w:val="20"/>
          <w:color w:val="auto"/>
        </w:rPr>
      </w:pPr>
      <w:r>
        <w:rPr>
          <w:rFonts w:ascii="Arial" w:cs="Arial" w:eastAsia="Arial" w:hAnsi="Arial"/>
          <w:sz w:val="18"/>
          <w:szCs w:val="18"/>
          <w:b w:val="1"/>
          <w:bCs w:val="1"/>
          <w:color w:val="0C3471"/>
        </w:rPr>
        <w:t>GREGORY E.</w:t>
      </w:r>
    </w:p>
    <w:p>
      <w:pPr>
        <w:spacing w:after="0" w:line="27" w:lineRule="exact"/>
        <w:rPr>
          <w:sz w:val="20"/>
          <w:szCs w:val="20"/>
          <w:color w:val="auto"/>
        </w:rPr>
      </w:pPr>
    </w:p>
    <w:p>
      <w:pPr>
        <w:ind w:left="134"/>
        <w:spacing w:after="0"/>
        <w:rPr>
          <w:sz w:val="20"/>
          <w:szCs w:val="20"/>
          <w:color w:val="auto"/>
        </w:rPr>
      </w:pPr>
      <w:r>
        <w:rPr>
          <w:rFonts w:ascii="Arial" w:cs="Arial" w:eastAsia="Arial" w:hAnsi="Arial"/>
          <w:sz w:val="18"/>
          <w:szCs w:val="18"/>
          <w:b w:val="1"/>
          <w:bCs w:val="1"/>
          <w:color w:val="0C3471"/>
        </w:rPr>
        <w:t>KNIGHT</w:t>
      </w:r>
    </w:p>
    <w:p>
      <w:pPr>
        <w:spacing w:after="0" w:line="55" w:lineRule="exact"/>
        <w:rPr>
          <w:sz w:val="20"/>
          <w:szCs w:val="20"/>
          <w:color w:val="auto"/>
        </w:rPr>
      </w:pPr>
    </w:p>
    <w:p>
      <w:pPr>
        <w:ind w:left="134" w:right="312"/>
        <w:spacing w:after="0" w:line="261" w:lineRule="auto"/>
        <w:rPr>
          <w:sz w:val="20"/>
          <w:szCs w:val="20"/>
          <w:color w:val="auto"/>
        </w:rPr>
      </w:pPr>
      <w:r>
        <w:rPr>
          <w:rFonts w:ascii="Arial" w:cs="Arial" w:eastAsia="Arial" w:hAnsi="Arial"/>
          <w:sz w:val="14"/>
          <w:szCs w:val="14"/>
          <w:color w:val="auto"/>
        </w:rPr>
        <w:t>Senior Advisor, Digital Transformation, Boston</w:t>
      </w:r>
    </w:p>
    <w:p>
      <w:pPr>
        <w:spacing w:after="0" w:line="1" w:lineRule="exact"/>
        <w:rPr>
          <w:sz w:val="20"/>
          <w:szCs w:val="20"/>
          <w:color w:val="auto"/>
        </w:rPr>
      </w:pPr>
    </w:p>
    <w:p>
      <w:pPr>
        <w:ind w:left="134"/>
        <w:spacing w:after="0"/>
        <w:rPr>
          <w:sz w:val="20"/>
          <w:szCs w:val="20"/>
          <w:color w:val="auto"/>
        </w:rPr>
      </w:pPr>
      <w:r>
        <w:rPr>
          <w:rFonts w:ascii="Arial" w:cs="Arial" w:eastAsia="Arial" w:hAnsi="Arial"/>
          <w:sz w:val="14"/>
          <w:szCs w:val="14"/>
          <w:color w:val="auto"/>
        </w:rPr>
        <w:t>Consulting Group, Inc.</w:t>
      </w:r>
    </w:p>
    <w:p>
      <w:pPr>
        <w:spacing w:after="0" w:line="230" w:lineRule="exact"/>
        <w:rPr>
          <w:sz w:val="20"/>
          <w:szCs w:val="20"/>
          <w:color w:val="auto"/>
        </w:rPr>
      </w:pPr>
    </w:p>
    <w:p>
      <w:pPr>
        <w:ind w:left="134"/>
        <w:spacing w:after="0"/>
        <w:rPr>
          <w:sz w:val="20"/>
          <w:szCs w:val="20"/>
          <w:color w:val="auto"/>
        </w:rPr>
      </w:pPr>
      <w:r>
        <w:rPr>
          <w:rFonts w:ascii="Arial" w:cs="Arial" w:eastAsia="Arial" w:hAnsi="Arial"/>
          <w:sz w:val="14"/>
          <w:szCs w:val="14"/>
          <w:color w:val="0C3471"/>
        </w:rPr>
        <w:t>Independent</w:t>
      </w:r>
    </w:p>
    <w:p>
      <w:pPr>
        <w:spacing w:after="0" w:line="29" w:lineRule="exact"/>
        <w:rPr>
          <w:sz w:val="20"/>
          <w:szCs w:val="20"/>
          <w:color w:val="auto"/>
        </w:rPr>
      </w:pPr>
    </w:p>
    <w:p>
      <w:pPr>
        <w:ind w:left="134"/>
        <w:spacing w:after="0"/>
        <w:rPr>
          <w:sz w:val="20"/>
          <w:szCs w:val="20"/>
          <w:color w:val="auto"/>
        </w:rPr>
      </w:pPr>
      <w:r>
        <w:rPr>
          <w:rFonts w:ascii="Arial" w:cs="Arial" w:eastAsia="Arial" w:hAnsi="Arial"/>
          <w:sz w:val="14"/>
          <w:szCs w:val="14"/>
          <w:color w:val="0C3471"/>
        </w:rPr>
        <w:t xml:space="preserve">Age: </w:t>
      </w:r>
      <w:r>
        <w:rPr>
          <w:rFonts w:ascii="Arial" w:cs="Arial" w:eastAsia="Arial" w:hAnsi="Arial"/>
          <w:sz w:val="14"/>
          <w:szCs w:val="14"/>
          <w:color w:val="000000"/>
        </w:rPr>
        <w:t>58</w:t>
      </w:r>
    </w:p>
    <w:p>
      <w:pPr>
        <w:spacing w:after="0" w:line="15" w:lineRule="exact"/>
        <w:rPr>
          <w:sz w:val="20"/>
          <w:szCs w:val="20"/>
          <w:color w:val="auto"/>
        </w:rPr>
      </w:pPr>
    </w:p>
    <w:p>
      <w:pPr>
        <w:ind w:left="134"/>
        <w:spacing w:after="0"/>
        <w:rPr>
          <w:sz w:val="20"/>
          <w:szCs w:val="20"/>
          <w:color w:val="auto"/>
        </w:rPr>
      </w:pPr>
      <w:r>
        <w:rPr>
          <w:rFonts w:ascii="Arial" w:cs="Arial" w:eastAsia="Arial" w:hAnsi="Arial"/>
          <w:sz w:val="14"/>
          <w:szCs w:val="14"/>
          <w:color w:val="0C3471"/>
        </w:rPr>
        <w:t xml:space="preserve">Director Since: </w:t>
      </w:r>
      <w:r>
        <w:rPr>
          <w:rFonts w:ascii="Arial" w:cs="Arial" w:eastAsia="Arial" w:hAnsi="Arial"/>
          <w:sz w:val="14"/>
          <w:szCs w:val="14"/>
          <w:color w:val="000000"/>
        </w:rPr>
        <w:t>2021</w:t>
      </w:r>
    </w:p>
    <w:p>
      <w:pPr>
        <w:spacing w:after="0" w:line="15" w:lineRule="exact"/>
        <w:rPr>
          <w:sz w:val="20"/>
          <w:szCs w:val="20"/>
          <w:color w:val="auto"/>
        </w:rPr>
      </w:pPr>
    </w:p>
    <w:p>
      <w:pPr>
        <w:ind w:left="134"/>
        <w:spacing w:after="0"/>
        <w:rPr>
          <w:sz w:val="20"/>
          <w:szCs w:val="20"/>
          <w:color w:val="auto"/>
        </w:rPr>
      </w:pPr>
      <w:r>
        <w:rPr>
          <w:rFonts w:ascii="Arial" w:cs="Arial" w:eastAsia="Arial" w:hAnsi="Arial"/>
          <w:sz w:val="14"/>
          <w:szCs w:val="14"/>
          <w:color w:val="0C3471"/>
        </w:rPr>
        <w:t>Committees:</w:t>
      </w:r>
    </w:p>
    <w:p>
      <w:pPr>
        <w:spacing w:after="0" w:line="15" w:lineRule="exact"/>
        <w:rPr>
          <w:sz w:val="20"/>
          <w:szCs w:val="20"/>
          <w:color w:val="auto"/>
        </w:rPr>
      </w:pPr>
    </w:p>
    <w:p>
      <w:pPr>
        <w:ind w:left="134"/>
        <w:spacing w:after="0"/>
        <w:rPr>
          <w:sz w:val="20"/>
          <w:szCs w:val="20"/>
          <w:color w:val="auto"/>
        </w:rPr>
      </w:pPr>
      <w:r>
        <w:rPr>
          <w:rFonts w:ascii="Arial" w:cs="Arial" w:eastAsia="Arial" w:hAnsi="Arial"/>
          <w:sz w:val="14"/>
          <w:szCs w:val="14"/>
          <w:color w:val="auto"/>
        </w:rPr>
        <w:t>Audit and Finance</w:t>
      </w:r>
    </w:p>
    <w:p>
      <w:pPr>
        <w:spacing w:after="0" w:line="225" w:lineRule="exact"/>
        <w:rPr>
          <w:sz w:val="20"/>
          <w:szCs w:val="20"/>
          <w:color w:val="auto"/>
        </w:rPr>
      </w:pPr>
    </w:p>
    <w:p>
      <w:pPr>
        <w:ind w:left="134"/>
        <w:spacing w:after="0"/>
        <w:rPr>
          <w:sz w:val="20"/>
          <w:szCs w:val="20"/>
          <w:color w:val="auto"/>
        </w:rPr>
      </w:pPr>
      <w:r>
        <w:rPr>
          <w:rFonts w:ascii="Arial" w:cs="Arial" w:eastAsia="Arial" w:hAnsi="Arial"/>
          <w:sz w:val="16"/>
          <w:szCs w:val="16"/>
          <w:b w:val="1"/>
          <w:bCs w:val="1"/>
          <w:color w:val="0C3471"/>
        </w:rPr>
        <w:t>Other Current</w:t>
      </w:r>
    </w:p>
    <w:p>
      <w:pPr>
        <w:spacing w:after="0" w:line="21" w:lineRule="exact"/>
        <w:rPr>
          <w:sz w:val="20"/>
          <w:szCs w:val="20"/>
          <w:color w:val="auto"/>
        </w:rPr>
      </w:pPr>
    </w:p>
    <w:p>
      <w:pPr>
        <w:ind w:left="134"/>
        <w:spacing w:after="0"/>
        <w:rPr>
          <w:sz w:val="20"/>
          <w:szCs w:val="20"/>
          <w:color w:val="auto"/>
        </w:rPr>
      </w:pPr>
      <w:r>
        <w:rPr>
          <w:rFonts w:ascii="Arial" w:cs="Arial" w:eastAsia="Arial" w:hAnsi="Arial"/>
          <w:sz w:val="16"/>
          <w:szCs w:val="16"/>
          <w:b w:val="1"/>
          <w:bCs w:val="1"/>
          <w:color w:val="0C3471"/>
        </w:rPr>
        <w:t>Public Board Service:</w:t>
      </w:r>
    </w:p>
    <w:p>
      <w:pPr>
        <w:spacing w:after="0" w:line="48" w:lineRule="exact"/>
        <w:rPr>
          <w:sz w:val="20"/>
          <w:szCs w:val="20"/>
          <w:color w:val="auto"/>
        </w:rPr>
      </w:pPr>
    </w:p>
    <w:p>
      <w:pPr>
        <w:ind w:left="134"/>
        <w:spacing w:after="0"/>
        <w:rPr>
          <w:sz w:val="20"/>
          <w:szCs w:val="20"/>
          <w:color w:val="auto"/>
        </w:rPr>
      </w:pPr>
      <w:r>
        <w:rPr>
          <w:rFonts w:ascii="Arial" w:cs="Arial" w:eastAsia="Arial" w:hAnsi="Arial"/>
          <w:sz w:val="14"/>
          <w:szCs w:val="14"/>
          <w:color w:val="auto"/>
        </w:rPr>
        <w:t>Fortis Inc.</w:t>
      </w:r>
    </w:p>
    <w:p>
      <w:pPr>
        <w:spacing w:after="0" w:line="29" w:lineRule="exact"/>
        <w:rPr>
          <w:sz w:val="20"/>
          <w:szCs w:val="20"/>
          <w:color w:val="auto"/>
        </w:rPr>
      </w:pPr>
    </w:p>
    <w:p>
      <w:pPr>
        <w:ind w:left="134"/>
        <w:spacing w:after="0"/>
        <w:rPr>
          <w:sz w:val="20"/>
          <w:szCs w:val="20"/>
          <w:color w:val="auto"/>
        </w:rPr>
      </w:pPr>
      <w:r>
        <w:rPr>
          <w:rFonts w:ascii="Arial" w:cs="Arial" w:eastAsia="Arial" w:hAnsi="Arial"/>
          <w:sz w:val="14"/>
          <w:szCs w:val="14"/>
          <w:color w:val="auto"/>
        </w:rPr>
        <w:t>(2025–present)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8"/>
        <w:spacing w:after="0"/>
        <w:rPr>
          <w:sz w:val="20"/>
          <w:szCs w:val="20"/>
          <w:color w:val="auto"/>
        </w:rPr>
      </w:pPr>
      <w:r>
        <w:rPr>
          <w:rFonts w:ascii="Arial" w:cs="Arial" w:eastAsia="Arial" w:hAnsi="Arial"/>
          <w:sz w:val="16"/>
          <w:szCs w:val="16"/>
          <w:b w:val="1"/>
          <w:bCs w:val="1"/>
          <w:color w:val="0C3471"/>
        </w:rPr>
        <w:t>Biography:</w:t>
      </w:r>
    </w:p>
    <w:p>
      <w:pPr>
        <w:spacing w:after="0" w:line="127" w:lineRule="exact"/>
        <w:rPr>
          <w:sz w:val="20"/>
          <w:szCs w:val="20"/>
          <w:color w:val="auto"/>
        </w:rPr>
      </w:pPr>
    </w:p>
    <w:p>
      <w:pPr>
        <w:ind w:left="188" w:right="240" w:hanging="188"/>
        <w:spacing w:after="0" w:line="321" w:lineRule="auto"/>
        <w:tabs>
          <w:tab w:leader="none" w:pos="145" w:val="left"/>
        </w:tabs>
        <w:numPr>
          <w:ilvl w:val="0"/>
          <w:numId w:val="30"/>
        </w:numPr>
        <w:rPr>
          <w:rFonts w:ascii="Arial" w:cs="Arial" w:eastAsia="Arial" w:hAnsi="Arial"/>
          <w:sz w:val="13"/>
          <w:szCs w:val="13"/>
          <w:color w:val="64A70B"/>
        </w:rPr>
      </w:pPr>
      <w:r>
        <w:rPr>
          <w:rFonts w:ascii="Arial" w:cs="Arial" w:eastAsia="Arial" w:hAnsi="Arial"/>
          <w:sz w:val="16"/>
          <w:szCs w:val="16"/>
          <w:color w:val="auto"/>
        </w:rPr>
        <w:t>Senior Advisor, Digital Transformation at Boston Consulting Group, Inc., a global consulting firm, from 2023 to present</w:t>
      </w:r>
    </w:p>
    <w:p>
      <w:pPr>
        <w:spacing w:after="0" w:line="7" w:lineRule="exact"/>
        <w:rPr>
          <w:rFonts w:ascii="Arial" w:cs="Arial" w:eastAsia="Arial" w:hAnsi="Arial"/>
          <w:sz w:val="13"/>
          <w:szCs w:val="13"/>
          <w:color w:val="64A70B"/>
        </w:rPr>
      </w:pPr>
    </w:p>
    <w:p>
      <w:pPr>
        <w:ind w:left="148" w:hanging="148"/>
        <w:spacing w:after="0"/>
        <w:tabs>
          <w:tab w:leader="none" w:pos="148" w:val="left"/>
        </w:tabs>
        <w:numPr>
          <w:ilvl w:val="0"/>
          <w:numId w:val="30"/>
        </w:numPr>
        <w:rPr>
          <w:rFonts w:ascii="Arial" w:cs="Arial" w:eastAsia="Arial" w:hAnsi="Arial"/>
          <w:sz w:val="13"/>
          <w:szCs w:val="13"/>
          <w:color w:val="64A70B"/>
        </w:rPr>
      </w:pPr>
      <w:r>
        <w:rPr>
          <w:rFonts w:ascii="Arial" w:cs="Arial" w:eastAsia="Arial" w:hAnsi="Arial"/>
          <w:sz w:val="16"/>
          <w:szCs w:val="16"/>
          <w:color w:val="auto"/>
        </w:rPr>
        <w:t>Member of the board of directors at Fortis, Inc. from January 2025 to present</w:t>
      </w:r>
    </w:p>
    <w:p>
      <w:pPr>
        <w:spacing w:after="0" w:line="99" w:lineRule="exact"/>
        <w:rPr>
          <w:rFonts w:ascii="Arial" w:cs="Arial" w:eastAsia="Arial" w:hAnsi="Arial"/>
          <w:sz w:val="13"/>
          <w:szCs w:val="13"/>
          <w:color w:val="64A70B"/>
        </w:rPr>
      </w:pPr>
    </w:p>
    <w:p>
      <w:pPr>
        <w:ind w:left="188" w:right="440" w:hanging="188"/>
        <w:spacing w:after="0" w:line="304" w:lineRule="auto"/>
        <w:tabs>
          <w:tab w:leader="none" w:pos="145" w:val="left"/>
        </w:tabs>
        <w:numPr>
          <w:ilvl w:val="0"/>
          <w:numId w:val="30"/>
        </w:numPr>
        <w:rPr>
          <w:rFonts w:ascii="Arial" w:cs="Arial" w:eastAsia="Arial" w:hAnsi="Arial"/>
          <w:sz w:val="13"/>
          <w:szCs w:val="13"/>
          <w:color w:val="64A70B"/>
        </w:rPr>
      </w:pPr>
      <w:r>
        <w:rPr>
          <w:rFonts w:ascii="Arial" w:cs="Arial" w:eastAsia="Arial" w:hAnsi="Arial"/>
          <w:sz w:val="16"/>
          <w:szCs w:val="16"/>
          <w:color w:val="auto"/>
        </w:rPr>
        <w:t>Executive Vice President, Customer Transformation and Business Services of CenterPoint Energy, Inc., an energy delivery company, from 2020 to 2023</w:t>
      </w:r>
    </w:p>
    <w:p>
      <w:pPr>
        <w:spacing w:after="0" w:line="19" w:lineRule="exact"/>
        <w:rPr>
          <w:rFonts w:ascii="Arial" w:cs="Arial" w:eastAsia="Arial" w:hAnsi="Arial"/>
          <w:sz w:val="13"/>
          <w:szCs w:val="13"/>
          <w:color w:val="64A70B"/>
        </w:rPr>
      </w:pPr>
    </w:p>
    <w:p>
      <w:pPr>
        <w:ind w:left="188" w:right="100" w:hanging="188"/>
        <w:spacing w:after="0" w:line="321" w:lineRule="auto"/>
        <w:tabs>
          <w:tab w:leader="none" w:pos="145" w:val="left"/>
        </w:tabs>
        <w:numPr>
          <w:ilvl w:val="0"/>
          <w:numId w:val="30"/>
        </w:numPr>
        <w:rPr>
          <w:rFonts w:ascii="Arial" w:cs="Arial" w:eastAsia="Arial" w:hAnsi="Arial"/>
          <w:sz w:val="13"/>
          <w:szCs w:val="13"/>
          <w:color w:val="64A70B"/>
        </w:rPr>
      </w:pPr>
      <w:r>
        <w:rPr>
          <w:rFonts w:ascii="Arial" w:cs="Arial" w:eastAsia="Arial" w:hAnsi="Arial"/>
          <w:sz w:val="16"/>
          <w:szCs w:val="16"/>
          <w:color w:val="auto"/>
        </w:rPr>
        <w:t>Chief Customer Officer, US Energy and Utilities, of National Grid US, an energy delivery company, from 2019 to 2020</w:t>
      </w:r>
    </w:p>
    <w:p>
      <w:pPr>
        <w:spacing w:after="0" w:line="7" w:lineRule="exact"/>
        <w:rPr>
          <w:rFonts w:ascii="Arial" w:cs="Arial" w:eastAsia="Arial" w:hAnsi="Arial"/>
          <w:sz w:val="13"/>
          <w:szCs w:val="13"/>
          <w:color w:val="64A70B"/>
        </w:rPr>
      </w:pPr>
    </w:p>
    <w:p>
      <w:pPr>
        <w:ind w:left="188" w:right="220" w:hanging="188"/>
        <w:spacing w:after="0" w:line="304" w:lineRule="auto"/>
        <w:tabs>
          <w:tab w:leader="none" w:pos="145" w:val="left"/>
        </w:tabs>
        <w:numPr>
          <w:ilvl w:val="0"/>
          <w:numId w:val="30"/>
        </w:numPr>
        <w:rPr>
          <w:rFonts w:ascii="Arial" w:cs="Arial" w:eastAsia="Arial" w:hAnsi="Arial"/>
          <w:sz w:val="13"/>
          <w:szCs w:val="13"/>
          <w:color w:val="64A70B"/>
        </w:rPr>
      </w:pPr>
      <w:r>
        <w:rPr>
          <w:rFonts w:ascii="Arial" w:cs="Arial" w:eastAsia="Arial" w:hAnsi="Arial"/>
          <w:sz w:val="16"/>
          <w:szCs w:val="16"/>
          <w:color w:val="auto"/>
        </w:rPr>
        <w:t>Senior Vice President and Chief Customer Officer, Utility and Commercial Businesses, from 2014 to 2019 and Division Vice President, Customer Services, from 2009 to 2014, at CenterPoint Energy</w:t>
      </w:r>
    </w:p>
    <w:p>
      <w:pPr>
        <w:spacing w:after="0" w:line="19" w:lineRule="exact"/>
        <w:rPr>
          <w:rFonts w:ascii="Arial" w:cs="Arial" w:eastAsia="Arial" w:hAnsi="Arial"/>
          <w:sz w:val="13"/>
          <w:szCs w:val="13"/>
          <w:color w:val="64A70B"/>
        </w:rPr>
      </w:pPr>
    </w:p>
    <w:p>
      <w:pPr>
        <w:ind w:left="188" w:right="280" w:hanging="188"/>
        <w:spacing w:after="0" w:line="321" w:lineRule="auto"/>
        <w:tabs>
          <w:tab w:leader="none" w:pos="145" w:val="left"/>
        </w:tabs>
        <w:numPr>
          <w:ilvl w:val="0"/>
          <w:numId w:val="30"/>
        </w:numPr>
        <w:rPr>
          <w:rFonts w:ascii="Arial" w:cs="Arial" w:eastAsia="Arial" w:hAnsi="Arial"/>
          <w:sz w:val="13"/>
          <w:szCs w:val="13"/>
          <w:color w:val="64A70B"/>
        </w:rPr>
      </w:pPr>
      <w:r>
        <w:rPr>
          <w:rFonts w:ascii="Arial" w:cs="Arial" w:eastAsia="Arial" w:hAnsi="Arial"/>
          <w:sz w:val="16"/>
          <w:szCs w:val="16"/>
          <w:color w:val="auto"/>
        </w:rPr>
        <w:t>Various management positions at Ricoh Americas Corporation, from 2004 to 2009, Reliant retail energy, from 2001 to 2004, Allen Knight Inc., from 2000 to 2001, and Verizon, from 1992 to 2000</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8"/>
        <w:spacing w:after="0"/>
        <w:rPr>
          <w:sz w:val="20"/>
          <w:szCs w:val="20"/>
          <w:color w:val="auto"/>
        </w:rPr>
      </w:pPr>
      <w:r>
        <w:rPr>
          <w:rFonts w:ascii="Arial" w:cs="Arial" w:eastAsia="Arial" w:hAnsi="Arial"/>
          <w:sz w:val="16"/>
          <w:szCs w:val="16"/>
          <w:b w:val="1"/>
          <w:bCs w:val="1"/>
          <w:color w:val="0C3471"/>
        </w:rPr>
        <w:t>Skills &amp; Qualifications:</w:t>
      </w:r>
    </w:p>
    <w:p>
      <w:pPr>
        <w:spacing w:after="0" w:line="127" w:lineRule="exact"/>
        <w:rPr>
          <w:sz w:val="20"/>
          <w:szCs w:val="20"/>
          <w:color w:val="auto"/>
        </w:rPr>
      </w:pPr>
    </w:p>
    <w:p>
      <w:pPr>
        <w:ind w:left="8" w:right="160"/>
        <w:spacing w:after="0" w:line="292" w:lineRule="auto"/>
        <w:rPr>
          <w:sz w:val="20"/>
          <w:szCs w:val="20"/>
          <w:color w:val="auto"/>
        </w:rPr>
      </w:pPr>
      <w:r>
        <w:rPr>
          <w:rFonts w:ascii="Arial" w:cs="Arial" w:eastAsia="Arial" w:hAnsi="Arial"/>
          <w:sz w:val="16"/>
          <w:szCs w:val="16"/>
          <w:color w:val="auto"/>
        </w:rPr>
        <w:t>Mr. Knight brings to our Board a strong background in sales, brand, marketing and customer experience in both business-to-business and business-to-customer environments in retail energy and utilities. Mr. Knight also brings executive leadership in large-scale enterprise information technology, digital transformation and cyber security.</w:t>
      </w:r>
    </w:p>
    <w:p>
      <w:pPr>
        <w:spacing w:after="0" w:line="302" w:lineRule="exact"/>
        <w:rPr>
          <w:sz w:val="20"/>
          <w:szCs w:val="20"/>
          <w:color w:val="auto"/>
        </w:rPr>
      </w:pPr>
    </w:p>
    <w:p>
      <w:pPr>
        <w:sectPr>
          <w:pgSz w:w="11900" w:h="16838" w:orient="portrait"/>
          <w:cols w:equalWidth="0" w:num="2">
            <w:col w:w="1926" w:space="720"/>
            <w:col w:w="8228"/>
          </w:cols>
          <w:pgMar w:left="346" w:top="314" w:right="6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574" w:hanging="574"/>
        <w:spacing w:after="0"/>
        <w:tabs>
          <w:tab w:leader="none" w:pos="574" w:val="left"/>
        </w:tabs>
        <w:numPr>
          <w:ilvl w:val="0"/>
          <w:numId w:val="31"/>
        </w:numPr>
        <w:rPr>
          <w:rFonts w:ascii="Arial" w:cs="Arial" w:eastAsia="Arial" w:hAnsi="Arial"/>
          <w:sz w:val="16"/>
          <w:szCs w:val="16"/>
          <w:b w:val="1"/>
          <w:bCs w:val="1"/>
          <w:color w:val="auto"/>
        </w:rPr>
      </w:pPr>
      <w:r>
        <w:rPr>
          <w:rFonts w:ascii="Arial" w:cs="Arial" w:eastAsia="Arial" w:hAnsi="Arial"/>
          <w:sz w:val="16"/>
          <w:szCs w:val="16"/>
          <w:color w:val="auto"/>
        </w:rPr>
        <w:t xml:space="preserve">Pentair </w:t>
      </w:r>
      <w:r>
        <w:rPr>
          <w:rFonts w:ascii="Arial" w:cs="Arial" w:eastAsia="Arial" w:hAnsi="Arial"/>
          <w:sz w:val="16"/>
          <w:szCs w:val="16"/>
          <w:b w:val="1"/>
          <w:bCs w:val="1"/>
          <w:color w:val="0C3471"/>
        </w:rPr>
        <w:t>|</w:t>
      </w:r>
      <w:r>
        <w:rPr>
          <w:rFonts w:ascii="Arial" w:cs="Arial" w:eastAsia="Arial" w:hAnsi="Arial"/>
          <w:sz w:val="16"/>
          <w:szCs w:val="16"/>
          <w:color w:val="auto"/>
        </w:rPr>
        <w:t xml:space="preserve"> </w:t>
      </w:r>
      <w:r>
        <w:rPr>
          <w:rFonts w:ascii="Arial" w:cs="Arial" w:eastAsia="Arial" w:hAnsi="Arial"/>
          <w:sz w:val="16"/>
          <w:szCs w:val="16"/>
          <w:b w:val="1"/>
          <w:bCs w:val="1"/>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205105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74"/>
          </w:cols>
          <w:pgMar w:left="346" w:top="314" w:right="679" w:bottom="1440" w:gutter="0" w:footer="0" w:header="0"/>
          <w:type w:val="continuous"/>
        </w:sectPr>
      </w:pPr>
    </w:p>
    <w:bookmarkStart w:id="16" w:name="page17"/>
    <w:bookmarkEnd w:id="16"/>
    <w:p>
      <w:pPr>
        <w:ind w:left="980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6080125</wp:posOffset>
            </wp:positionH>
            <wp:positionV relativeFrom="page">
              <wp:posOffset>191770</wp:posOffset>
            </wp:positionV>
            <wp:extent cx="102870" cy="11112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clrChange>
                        <a:clrFrom>
                          <a:srgbClr val="FFFFFF"/>
                        </a:clrFrom>
                        <a:clrTo>
                          <a:srgbClr val="FFFFFF">
                            <a:alpha val="0"/>
                          </a:srgbClr>
                        </a:clrTo>
                      </a:clrChange>
                      <a:extLst>
                        <a:ext uri="{28A0092B-C50C-407E-A947-70E740481C1C}"/>
                      </a:extLst>
                    </a:blip>
                    <a:srcRect/>
                    <a:stretch>
                      <a:fillRect/>
                    </a:stretch>
                  </pic:blipFill>
                  <pic:spPr bwMode="auto">
                    <a:xfrm>
                      <a:off x="0" y="0"/>
                      <a:ext cx="102870" cy="111125"/>
                    </a:xfrm>
                    <a:prstGeom prst="rect">
                      <a:avLst/>
                    </a:prstGeom>
                    <a:noFill/>
                  </pic:spPr>
                </pic:pic>
              </a:graphicData>
            </a:graphic>
          </wp:anchor>
        </w:drawing>
        <w:t>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543560</wp:posOffset>
            </wp:positionV>
            <wp:extent cx="7140575" cy="325755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40575" cy="3257550"/>
                    </a:xfrm>
                    <a:prstGeom prst="rect">
                      <a:avLst/>
                    </a:prstGeom>
                    <a:noFill/>
                  </pic:spPr>
                </pic:pic>
              </a:graphicData>
            </a:graphic>
          </wp:anchor>
        </w:drawing>
      </w:r>
    </w:p>
    <w:p>
      <w:pPr>
        <w:sectPr>
          <w:pgSz w:w="11900" w:h="16838" w:orient="portrait"/>
          <w:cols w:equalWidth="0" w:num="1">
            <w:col w:w="11240"/>
          </w:cols>
          <w:pgMar w:left="320" w:top="31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C3471"/>
        </w:rPr>
        <w:t>MICHAEL T.</w:t>
      </w:r>
    </w:p>
    <w:p>
      <w:pPr>
        <w:spacing w:after="0" w:line="2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C3471"/>
        </w:rPr>
        <w:t>SPEETZEN</w:t>
      </w:r>
    </w:p>
    <w:p>
      <w:pPr>
        <w:spacing w:after="0" w:line="55" w:lineRule="exact"/>
        <w:rPr>
          <w:sz w:val="20"/>
          <w:szCs w:val="20"/>
          <w:color w:val="auto"/>
        </w:rPr>
      </w:pPr>
    </w:p>
    <w:p>
      <w:pPr>
        <w:ind w:left="160" w:right="352"/>
        <w:spacing w:after="0" w:line="305" w:lineRule="auto"/>
        <w:rPr>
          <w:sz w:val="20"/>
          <w:szCs w:val="20"/>
          <w:color w:val="auto"/>
        </w:rPr>
      </w:pPr>
      <w:r>
        <w:rPr>
          <w:rFonts w:ascii="Arial" w:cs="Arial" w:eastAsia="Arial" w:hAnsi="Arial"/>
          <w:sz w:val="14"/>
          <w:szCs w:val="14"/>
          <w:color w:val="auto"/>
        </w:rPr>
        <w:t>Chief Executive Officer, Polaris Inc.</w:t>
      </w:r>
    </w:p>
    <w:p>
      <w:pPr>
        <w:spacing w:after="0" w:line="171" w:lineRule="exact"/>
        <w:rPr>
          <w:sz w:val="20"/>
          <w:szCs w:val="20"/>
          <w:color w:val="auto"/>
        </w:rPr>
      </w:pPr>
    </w:p>
    <w:p>
      <w:pPr>
        <w:ind w:left="160"/>
        <w:spacing w:after="0"/>
        <w:rPr>
          <w:sz w:val="20"/>
          <w:szCs w:val="20"/>
          <w:color w:val="auto"/>
        </w:rPr>
      </w:pPr>
      <w:r>
        <w:rPr>
          <w:rFonts w:ascii="Arial" w:cs="Arial" w:eastAsia="Arial" w:hAnsi="Arial"/>
          <w:sz w:val="14"/>
          <w:szCs w:val="14"/>
          <w:color w:val="0C3471"/>
        </w:rPr>
        <w:t>Independent</w:t>
      </w:r>
    </w:p>
    <w:p>
      <w:pPr>
        <w:spacing w:after="0" w:line="29" w:lineRule="exact"/>
        <w:rPr>
          <w:sz w:val="20"/>
          <w:szCs w:val="20"/>
          <w:color w:val="auto"/>
        </w:rPr>
      </w:pPr>
    </w:p>
    <w:p>
      <w:pPr>
        <w:ind w:left="160"/>
        <w:spacing w:after="0"/>
        <w:rPr>
          <w:sz w:val="20"/>
          <w:szCs w:val="20"/>
          <w:color w:val="auto"/>
        </w:rPr>
      </w:pPr>
      <w:r>
        <w:rPr>
          <w:rFonts w:ascii="Arial" w:cs="Arial" w:eastAsia="Arial" w:hAnsi="Arial"/>
          <w:sz w:val="14"/>
          <w:szCs w:val="14"/>
          <w:color w:val="0C3471"/>
        </w:rPr>
        <w:t xml:space="preserve">Age: </w:t>
      </w:r>
      <w:r>
        <w:rPr>
          <w:rFonts w:ascii="Arial" w:cs="Arial" w:eastAsia="Arial" w:hAnsi="Arial"/>
          <w:sz w:val="14"/>
          <w:szCs w:val="14"/>
          <w:color w:val="000000"/>
        </w:rPr>
        <w:t>56</w:t>
      </w:r>
    </w:p>
    <w:p>
      <w:pPr>
        <w:spacing w:after="0" w:line="15" w:lineRule="exact"/>
        <w:rPr>
          <w:sz w:val="20"/>
          <w:szCs w:val="20"/>
          <w:color w:val="auto"/>
        </w:rPr>
      </w:pPr>
    </w:p>
    <w:p>
      <w:pPr>
        <w:ind w:left="160"/>
        <w:spacing w:after="0"/>
        <w:rPr>
          <w:sz w:val="20"/>
          <w:szCs w:val="20"/>
          <w:color w:val="auto"/>
        </w:rPr>
      </w:pPr>
      <w:r>
        <w:rPr>
          <w:rFonts w:ascii="Arial" w:cs="Arial" w:eastAsia="Arial" w:hAnsi="Arial"/>
          <w:sz w:val="14"/>
          <w:szCs w:val="14"/>
          <w:color w:val="0C3471"/>
        </w:rPr>
        <w:t xml:space="preserve">Director Since: </w:t>
      </w:r>
      <w:r>
        <w:rPr>
          <w:rFonts w:ascii="Arial" w:cs="Arial" w:eastAsia="Arial" w:hAnsi="Arial"/>
          <w:sz w:val="14"/>
          <w:szCs w:val="14"/>
          <w:color w:val="000000"/>
        </w:rPr>
        <w:t>2018</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4"/>
          <w:szCs w:val="14"/>
          <w:color w:val="0C3471"/>
        </w:rPr>
        <w:t xml:space="preserve">Committees: </w:t>
      </w:r>
      <w:r>
        <w:rPr>
          <w:rFonts w:ascii="Arial" w:cs="Arial" w:eastAsia="Arial" w:hAnsi="Arial"/>
          <w:sz w:val="14"/>
          <w:szCs w:val="14"/>
          <w:color w:val="000000"/>
        </w:rPr>
        <w:t>Audit and</w:t>
      </w:r>
    </w:p>
    <w:p>
      <w:pPr>
        <w:spacing w:after="0" w:line="15" w:lineRule="exact"/>
        <w:rPr>
          <w:sz w:val="20"/>
          <w:szCs w:val="20"/>
          <w:color w:val="auto"/>
        </w:rPr>
      </w:pPr>
    </w:p>
    <w:p>
      <w:pPr>
        <w:ind w:left="160"/>
        <w:spacing w:after="0"/>
        <w:rPr>
          <w:sz w:val="20"/>
          <w:szCs w:val="20"/>
          <w:color w:val="auto"/>
        </w:rPr>
      </w:pPr>
      <w:r>
        <w:rPr>
          <w:rFonts w:ascii="Arial" w:cs="Arial" w:eastAsia="Arial" w:hAnsi="Arial"/>
          <w:sz w:val="14"/>
          <w:szCs w:val="14"/>
          <w:color w:val="auto"/>
        </w:rPr>
        <w:t>Finance (Chair)</w:t>
      </w:r>
    </w:p>
    <w:p>
      <w:pPr>
        <w:spacing w:after="0" w:line="225"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0C3471"/>
        </w:rPr>
        <w:t>Other Current</w:t>
      </w:r>
    </w:p>
    <w:p>
      <w:pPr>
        <w:spacing w:after="0" w:line="35"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0C3471"/>
        </w:rPr>
        <w:t>Public Board Service:</w:t>
      </w:r>
    </w:p>
    <w:p>
      <w:pPr>
        <w:spacing w:after="0" w:line="48" w:lineRule="exact"/>
        <w:rPr>
          <w:sz w:val="20"/>
          <w:szCs w:val="20"/>
          <w:color w:val="auto"/>
        </w:rPr>
      </w:pPr>
    </w:p>
    <w:p>
      <w:pPr>
        <w:ind w:left="160"/>
        <w:spacing w:after="0"/>
        <w:rPr>
          <w:sz w:val="20"/>
          <w:szCs w:val="20"/>
          <w:color w:val="auto"/>
        </w:rPr>
      </w:pPr>
      <w:r>
        <w:rPr>
          <w:rFonts w:ascii="Arial" w:cs="Arial" w:eastAsia="Arial" w:hAnsi="Arial"/>
          <w:sz w:val="14"/>
          <w:szCs w:val="14"/>
          <w:color w:val="auto"/>
        </w:rPr>
        <w:t>Polaris Inc.</w:t>
      </w:r>
    </w:p>
    <w:p>
      <w:pPr>
        <w:spacing w:after="0" w:line="29" w:lineRule="exact"/>
        <w:rPr>
          <w:sz w:val="20"/>
          <w:szCs w:val="20"/>
          <w:color w:val="auto"/>
        </w:rPr>
      </w:pPr>
    </w:p>
    <w:p>
      <w:pPr>
        <w:ind w:left="160"/>
        <w:spacing w:after="0"/>
        <w:rPr>
          <w:sz w:val="20"/>
          <w:szCs w:val="20"/>
          <w:color w:val="auto"/>
        </w:rPr>
      </w:pPr>
      <w:r>
        <w:rPr>
          <w:rFonts w:ascii="Arial" w:cs="Arial" w:eastAsia="Arial" w:hAnsi="Arial"/>
          <w:sz w:val="14"/>
          <w:szCs w:val="14"/>
          <w:color w:val="auto"/>
        </w:rPr>
        <w:t>(2021–present)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8"/>
        <w:spacing w:after="0"/>
        <w:rPr>
          <w:sz w:val="20"/>
          <w:szCs w:val="20"/>
          <w:color w:val="auto"/>
        </w:rPr>
      </w:pPr>
      <w:r>
        <w:rPr>
          <w:rFonts w:ascii="Arial" w:cs="Arial" w:eastAsia="Arial" w:hAnsi="Arial"/>
          <w:sz w:val="16"/>
          <w:szCs w:val="16"/>
          <w:b w:val="1"/>
          <w:bCs w:val="1"/>
          <w:color w:val="0C3471"/>
        </w:rPr>
        <w:t>Biography:</w:t>
      </w:r>
    </w:p>
    <w:p>
      <w:pPr>
        <w:spacing w:after="0" w:line="140" w:lineRule="exact"/>
        <w:rPr>
          <w:sz w:val="20"/>
          <w:szCs w:val="20"/>
          <w:color w:val="auto"/>
        </w:rPr>
      </w:pPr>
    </w:p>
    <w:p>
      <w:pPr>
        <w:jc w:val="both"/>
        <w:ind w:left="188" w:right="300" w:hanging="188"/>
        <w:spacing w:after="0" w:line="292" w:lineRule="auto"/>
        <w:tabs>
          <w:tab w:leader="none" w:pos="144" w:val="left"/>
        </w:tabs>
        <w:numPr>
          <w:ilvl w:val="0"/>
          <w:numId w:val="32"/>
        </w:numPr>
        <w:rPr>
          <w:rFonts w:ascii="Arial" w:cs="Arial" w:eastAsia="Arial" w:hAnsi="Arial"/>
          <w:sz w:val="13"/>
          <w:szCs w:val="13"/>
          <w:color w:val="64A70B"/>
        </w:rPr>
      </w:pPr>
      <w:r>
        <w:rPr>
          <w:rFonts w:ascii="Arial" w:cs="Arial" w:eastAsia="Arial" w:hAnsi="Arial"/>
          <w:sz w:val="16"/>
          <w:szCs w:val="16"/>
          <w:color w:val="auto"/>
        </w:rPr>
        <w:t>Chief Executive Officer and a member of the board of directors of Polaris Inc., a global powersports leader with a product line-up that includes side-by-side and all-terrain off-road vehicles, motorcycles, boats, and snowmobiles, from 2021 to present</w:t>
      </w:r>
    </w:p>
    <w:p>
      <w:pPr>
        <w:spacing w:after="0" w:line="30" w:lineRule="exact"/>
        <w:rPr>
          <w:rFonts w:ascii="Arial" w:cs="Arial" w:eastAsia="Arial" w:hAnsi="Arial"/>
          <w:sz w:val="13"/>
          <w:szCs w:val="13"/>
          <w:color w:val="64A70B"/>
        </w:rPr>
      </w:pPr>
    </w:p>
    <w:p>
      <w:pPr>
        <w:ind w:left="188" w:right="620" w:hanging="188"/>
        <w:spacing w:after="0" w:line="304" w:lineRule="auto"/>
        <w:tabs>
          <w:tab w:leader="none" w:pos="144" w:val="left"/>
        </w:tabs>
        <w:numPr>
          <w:ilvl w:val="0"/>
          <w:numId w:val="32"/>
        </w:numPr>
        <w:rPr>
          <w:rFonts w:ascii="Arial" w:cs="Arial" w:eastAsia="Arial" w:hAnsi="Arial"/>
          <w:sz w:val="13"/>
          <w:szCs w:val="13"/>
          <w:color w:val="64A70B"/>
        </w:rPr>
      </w:pPr>
      <w:r>
        <w:rPr>
          <w:rFonts w:ascii="Arial" w:cs="Arial" w:eastAsia="Arial" w:hAnsi="Arial"/>
          <w:sz w:val="16"/>
          <w:szCs w:val="16"/>
          <w:color w:val="auto"/>
        </w:rPr>
        <w:t>Interim Chief Executive Officer, from January to May 2021, and Executive Vice President, Finance and Chief Financial Officer, from 2015 to 2020, prior to his current role at Polaris</w:t>
      </w:r>
    </w:p>
    <w:p>
      <w:pPr>
        <w:spacing w:after="0" w:line="19" w:lineRule="exact"/>
        <w:rPr>
          <w:rFonts w:ascii="Arial" w:cs="Arial" w:eastAsia="Arial" w:hAnsi="Arial"/>
          <w:sz w:val="13"/>
          <w:szCs w:val="13"/>
          <w:color w:val="64A70B"/>
        </w:rPr>
      </w:pPr>
    </w:p>
    <w:p>
      <w:pPr>
        <w:ind w:left="188" w:right="720" w:hanging="188"/>
        <w:spacing w:after="0" w:line="321" w:lineRule="auto"/>
        <w:tabs>
          <w:tab w:leader="none" w:pos="144" w:val="left"/>
        </w:tabs>
        <w:numPr>
          <w:ilvl w:val="0"/>
          <w:numId w:val="32"/>
        </w:numPr>
        <w:rPr>
          <w:rFonts w:ascii="Arial" w:cs="Arial" w:eastAsia="Arial" w:hAnsi="Arial"/>
          <w:sz w:val="13"/>
          <w:szCs w:val="13"/>
          <w:color w:val="64A70B"/>
        </w:rPr>
      </w:pPr>
      <w:r>
        <w:rPr>
          <w:rFonts w:ascii="Arial" w:cs="Arial" w:eastAsia="Arial" w:hAnsi="Arial"/>
          <w:sz w:val="16"/>
          <w:szCs w:val="16"/>
          <w:color w:val="auto"/>
        </w:rPr>
        <w:t>Senior Vice President, Finance and Chief Financial Officer of Xylem Inc., a leading global water technology equipment and service provider, from 2011 to 2015</w:t>
      </w:r>
    </w:p>
    <w:p>
      <w:pPr>
        <w:spacing w:after="0" w:line="7" w:lineRule="exact"/>
        <w:rPr>
          <w:rFonts w:ascii="Arial" w:cs="Arial" w:eastAsia="Arial" w:hAnsi="Arial"/>
          <w:sz w:val="13"/>
          <w:szCs w:val="13"/>
          <w:color w:val="64A70B"/>
        </w:rPr>
      </w:pPr>
    </w:p>
    <w:p>
      <w:pPr>
        <w:ind w:left="188" w:right="500" w:hanging="188"/>
        <w:spacing w:after="0" w:line="289" w:lineRule="auto"/>
        <w:tabs>
          <w:tab w:leader="none" w:pos="144" w:val="left"/>
        </w:tabs>
        <w:numPr>
          <w:ilvl w:val="0"/>
          <w:numId w:val="32"/>
        </w:numPr>
        <w:rPr>
          <w:rFonts w:ascii="Arial" w:cs="Arial" w:eastAsia="Arial" w:hAnsi="Arial"/>
          <w:sz w:val="13"/>
          <w:szCs w:val="13"/>
          <w:color w:val="64A70B"/>
        </w:rPr>
      </w:pPr>
      <w:r>
        <w:rPr>
          <w:rFonts w:ascii="Arial" w:cs="Arial" w:eastAsia="Arial" w:hAnsi="Arial"/>
          <w:sz w:val="16"/>
          <w:szCs w:val="16"/>
          <w:color w:val="auto"/>
        </w:rPr>
        <w:t>Vice President and Chief Financial Officer of ITT Fluid and Motion Control, from 2009 to 2011, Chief Financial Officer for the StandardAero division of the private equity firm Dubai Aerospace Enterprise Ltd., from 2007 to 2009, and various positions of increasing responsibility in the finance functions at Honeywell International Inc. and General Electric Company, prior to joining Xylem</w:t>
      </w:r>
    </w:p>
    <w:p>
      <w:pPr>
        <w:spacing w:after="0" w:line="200" w:lineRule="exact"/>
        <w:rPr>
          <w:sz w:val="20"/>
          <w:szCs w:val="20"/>
          <w:color w:val="auto"/>
        </w:rPr>
      </w:pPr>
    </w:p>
    <w:p>
      <w:pPr>
        <w:spacing w:after="0" w:line="345" w:lineRule="exact"/>
        <w:rPr>
          <w:sz w:val="20"/>
          <w:szCs w:val="20"/>
          <w:color w:val="auto"/>
        </w:rPr>
      </w:pPr>
    </w:p>
    <w:p>
      <w:pPr>
        <w:ind w:left="8"/>
        <w:spacing w:after="0"/>
        <w:rPr>
          <w:sz w:val="20"/>
          <w:szCs w:val="20"/>
          <w:color w:val="auto"/>
        </w:rPr>
      </w:pPr>
      <w:r>
        <w:rPr>
          <w:rFonts w:ascii="Arial" w:cs="Arial" w:eastAsia="Arial" w:hAnsi="Arial"/>
          <w:sz w:val="16"/>
          <w:szCs w:val="16"/>
          <w:b w:val="1"/>
          <w:bCs w:val="1"/>
          <w:color w:val="0C3471"/>
        </w:rPr>
        <w:t>Skills &amp; Qualifications:</w:t>
      </w:r>
    </w:p>
    <w:p>
      <w:pPr>
        <w:spacing w:after="0" w:line="140" w:lineRule="exact"/>
        <w:rPr>
          <w:sz w:val="20"/>
          <w:szCs w:val="20"/>
          <w:color w:val="auto"/>
        </w:rPr>
      </w:pPr>
    </w:p>
    <w:p>
      <w:pPr>
        <w:ind w:left="8" w:right="1040"/>
        <w:spacing w:after="0" w:line="304" w:lineRule="auto"/>
        <w:rPr>
          <w:sz w:val="20"/>
          <w:szCs w:val="20"/>
          <w:color w:val="auto"/>
        </w:rPr>
      </w:pPr>
      <w:r>
        <w:rPr>
          <w:rFonts w:ascii="Arial" w:cs="Arial" w:eastAsia="Arial" w:hAnsi="Arial"/>
          <w:sz w:val="16"/>
          <w:szCs w:val="16"/>
          <w:color w:val="auto"/>
        </w:rPr>
        <w:t>Mr. Speetzen brings to our Board extensive financial experience as well as knowledge of global markets, transacting international business, and broad managerial and operational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-1716405</wp:posOffset>
            </wp:positionH>
            <wp:positionV relativeFrom="paragraph">
              <wp:posOffset>604520</wp:posOffset>
            </wp:positionV>
            <wp:extent cx="7140575" cy="289750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40575" cy="2897505"/>
                    </a:xfrm>
                    <a:prstGeom prst="rect">
                      <a:avLst/>
                    </a:prstGeom>
                    <a:noFill/>
                  </pic:spPr>
                </pic:pic>
              </a:graphicData>
            </a:graphic>
          </wp:anchor>
        </w:drawing>
      </w:r>
    </w:p>
    <w:p>
      <w:pPr>
        <w:spacing w:after="0" w:line="723" w:lineRule="exact"/>
        <w:rPr>
          <w:sz w:val="20"/>
          <w:szCs w:val="20"/>
          <w:color w:val="auto"/>
        </w:rPr>
      </w:pPr>
    </w:p>
    <w:p>
      <w:pPr>
        <w:sectPr>
          <w:pgSz w:w="11900" w:h="16838" w:orient="portrait"/>
          <w:cols w:equalWidth="0" w:num="2">
            <w:col w:w="1992" w:space="720"/>
            <w:col w:w="8528"/>
          </w:cols>
          <w:pgMar w:left="320" w:top="314"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C3471"/>
        </w:rPr>
        <w:t>JOHN L. STAUCH</w:t>
      </w:r>
    </w:p>
    <w:p>
      <w:pPr>
        <w:spacing w:after="0" w:line="73" w:lineRule="exact"/>
        <w:rPr>
          <w:sz w:val="20"/>
          <w:szCs w:val="20"/>
          <w:color w:val="auto"/>
        </w:rPr>
      </w:pPr>
    </w:p>
    <w:p>
      <w:pPr>
        <w:ind w:left="160"/>
        <w:spacing w:after="0"/>
        <w:rPr>
          <w:sz w:val="20"/>
          <w:szCs w:val="20"/>
          <w:color w:val="auto"/>
        </w:rPr>
      </w:pPr>
      <w:r>
        <w:rPr>
          <w:rFonts w:ascii="Arial" w:cs="Arial" w:eastAsia="Arial" w:hAnsi="Arial"/>
          <w:sz w:val="14"/>
          <w:szCs w:val="14"/>
          <w:color w:val="auto"/>
        </w:rPr>
        <w:t>President and Chief</w:t>
      </w:r>
    </w:p>
    <w:p>
      <w:pPr>
        <w:spacing w:after="0" w:line="15" w:lineRule="exact"/>
        <w:rPr>
          <w:sz w:val="20"/>
          <w:szCs w:val="20"/>
          <w:color w:val="auto"/>
        </w:rPr>
      </w:pPr>
    </w:p>
    <w:p>
      <w:pPr>
        <w:ind w:left="160"/>
        <w:spacing w:after="0"/>
        <w:rPr>
          <w:sz w:val="20"/>
          <w:szCs w:val="20"/>
          <w:color w:val="auto"/>
        </w:rPr>
      </w:pPr>
      <w:r>
        <w:rPr>
          <w:rFonts w:ascii="Arial" w:cs="Arial" w:eastAsia="Arial" w:hAnsi="Arial"/>
          <w:sz w:val="14"/>
          <w:szCs w:val="14"/>
          <w:color w:val="auto"/>
        </w:rPr>
        <w:t>Executive Officer,</w:t>
      </w:r>
    </w:p>
    <w:p>
      <w:pPr>
        <w:spacing w:after="0" w:line="15" w:lineRule="exact"/>
        <w:rPr>
          <w:sz w:val="20"/>
          <w:szCs w:val="20"/>
          <w:color w:val="auto"/>
        </w:rPr>
      </w:pPr>
    </w:p>
    <w:p>
      <w:pPr>
        <w:ind w:left="160"/>
        <w:spacing w:after="0"/>
        <w:rPr>
          <w:sz w:val="20"/>
          <w:szCs w:val="20"/>
          <w:color w:val="auto"/>
        </w:rPr>
      </w:pPr>
      <w:r>
        <w:rPr>
          <w:rFonts w:ascii="Arial" w:cs="Arial" w:eastAsia="Arial" w:hAnsi="Arial"/>
          <w:sz w:val="14"/>
          <w:szCs w:val="14"/>
          <w:color w:val="auto"/>
        </w:rPr>
        <w:t>Pentair plc</w:t>
      </w:r>
    </w:p>
    <w:p>
      <w:pPr>
        <w:spacing w:after="0" w:line="230" w:lineRule="exact"/>
        <w:rPr>
          <w:sz w:val="20"/>
          <w:szCs w:val="20"/>
          <w:color w:val="auto"/>
        </w:rPr>
      </w:pPr>
    </w:p>
    <w:p>
      <w:pPr>
        <w:ind w:left="160"/>
        <w:spacing w:after="0"/>
        <w:rPr>
          <w:sz w:val="20"/>
          <w:szCs w:val="20"/>
          <w:color w:val="auto"/>
        </w:rPr>
      </w:pPr>
      <w:r>
        <w:rPr>
          <w:rFonts w:ascii="Arial" w:cs="Arial" w:eastAsia="Arial" w:hAnsi="Arial"/>
          <w:sz w:val="14"/>
          <w:szCs w:val="14"/>
          <w:color w:val="0C3471"/>
        </w:rPr>
        <w:t xml:space="preserve">Age: </w:t>
      </w:r>
      <w:r>
        <w:rPr>
          <w:rFonts w:ascii="Arial" w:cs="Arial" w:eastAsia="Arial" w:hAnsi="Arial"/>
          <w:sz w:val="14"/>
          <w:szCs w:val="14"/>
          <w:color w:val="000000"/>
        </w:rPr>
        <w:t>61</w:t>
      </w:r>
    </w:p>
    <w:p>
      <w:pPr>
        <w:spacing w:after="0" w:line="29" w:lineRule="exact"/>
        <w:rPr>
          <w:sz w:val="20"/>
          <w:szCs w:val="20"/>
          <w:color w:val="auto"/>
        </w:rPr>
      </w:pPr>
    </w:p>
    <w:p>
      <w:pPr>
        <w:ind w:left="160"/>
        <w:spacing w:after="0"/>
        <w:rPr>
          <w:sz w:val="20"/>
          <w:szCs w:val="20"/>
          <w:color w:val="auto"/>
        </w:rPr>
      </w:pPr>
      <w:r>
        <w:rPr>
          <w:rFonts w:ascii="Arial" w:cs="Arial" w:eastAsia="Arial" w:hAnsi="Arial"/>
          <w:sz w:val="14"/>
          <w:szCs w:val="14"/>
          <w:color w:val="0C3471"/>
        </w:rPr>
        <w:t xml:space="preserve">Director Since: </w:t>
      </w:r>
      <w:r>
        <w:rPr>
          <w:rFonts w:ascii="Arial" w:cs="Arial" w:eastAsia="Arial" w:hAnsi="Arial"/>
          <w:sz w:val="14"/>
          <w:szCs w:val="14"/>
          <w:color w:val="000000"/>
        </w:rPr>
        <w:t>2018</w:t>
      </w:r>
    </w:p>
    <w:p>
      <w:pPr>
        <w:spacing w:after="0" w:line="225"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0C3471"/>
        </w:rPr>
        <w:t>Other Current</w:t>
      </w:r>
    </w:p>
    <w:p>
      <w:pPr>
        <w:spacing w:after="0" w:line="35"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0C3471"/>
        </w:rPr>
        <w:t>Public Board Service:</w:t>
      </w:r>
    </w:p>
    <w:p>
      <w:pPr>
        <w:spacing w:after="0" w:line="48" w:lineRule="exact"/>
        <w:rPr>
          <w:sz w:val="20"/>
          <w:szCs w:val="20"/>
          <w:color w:val="auto"/>
        </w:rPr>
      </w:pPr>
    </w:p>
    <w:p>
      <w:pPr>
        <w:ind w:left="160"/>
        <w:spacing w:after="0"/>
        <w:rPr>
          <w:sz w:val="20"/>
          <w:szCs w:val="20"/>
          <w:color w:val="auto"/>
        </w:rPr>
      </w:pPr>
      <w:r>
        <w:rPr>
          <w:rFonts w:ascii="Arial" w:cs="Arial" w:eastAsia="Arial" w:hAnsi="Arial"/>
          <w:sz w:val="14"/>
          <w:szCs w:val="14"/>
          <w:color w:val="auto"/>
        </w:rPr>
        <w:t>Deluxe Corporation</w:t>
      </w:r>
    </w:p>
    <w:p>
      <w:pPr>
        <w:spacing w:after="0" w:line="29" w:lineRule="exact"/>
        <w:rPr>
          <w:sz w:val="20"/>
          <w:szCs w:val="20"/>
          <w:color w:val="auto"/>
        </w:rPr>
      </w:pPr>
    </w:p>
    <w:p>
      <w:pPr>
        <w:ind w:left="160"/>
        <w:spacing w:after="0"/>
        <w:rPr>
          <w:sz w:val="20"/>
          <w:szCs w:val="20"/>
          <w:color w:val="auto"/>
        </w:rPr>
      </w:pPr>
      <w:r>
        <w:rPr>
          <w:rFonts w:ascii="Arial" w:cs="Arial" w:eastAsia="Arial" w:hAnsi="Arial"/>
          <w:sz w:val="14"/>
          <w:szCs w:val="14"/>
          <w:color w:val="auto"/>
        </w:rPr>
        <w:t>(2016–present)</w:t>
      </w:r>
    </w:p>
    <w:p>
      <w:pPr>
        <w:spacing w:after="0" w:line="20" w:lineRule="exact"/>
        <w:rPr>
          <w:sz w:val="20"/>
          <w:szCs w:val="20"/>
          <w:color w:val="auto"/>
        </w:rPr>
      </w:pPr>
      <w:r>
        <w:rPr>
          <w:sz w:val="20"/>
          <w:szCs w:val="20"/>
          <w:color w:val="auto"/>
        </w:rPr>
        <w:br w:type="column"/>
      </w:r>
    </w:p>
    <w:p>
      <w:pPr>
        <w:spacing w:after="0" w:line="383" w:lineRule="exact"/>
        <w:rPr>
          <w:sz w:val="20"/>
          <w:szCs w:val="20"/>
          <w:color w:val="auto"/>
        </w:rPr>
      </w:pPr>
    </w:p>
    <w:p>
      <w:pPr>
        <w:ind w:left="8"/>
        <w:spacing w:after="0"/>
        <w:rPr>
          <w:sz w:val="20"/>
          <w:szCs w:val="20"/>
          <w:color w:val="auto"/>
        </w:rPr>
      </w:pPr>
      <w:r>
        <w:rPr>
          <w:rFonts w:ascii="Arial" w:cs="Arial" w:eastAsia="Arial" w:hAnsi="Arial"/>
          <w:sz w:val="16"/>
          <w:szCs w:val="16"/>
          <w:b w:val="1"/>
          <w:bCs w:val="1"/>
          <w:color w:val="0C3471"/>
        </w:rPr>
        <w:t>Biography:</w:t>
      </w:r>
    </w:p>
    <w:p>
      <w:pPr>
        <w:spacing w:after="0" w:line="127" w:lineRule="exact"/>
        <w:rPr>
          <w:sz w:val="20"/>
          <w:szCs w:val="20"/>
          <w:color w:val="auto"/>
        </w:rPr>
      </w:pPr>
    </w:p>
    <w:p>
      <w:pPr>
        <w:ind w:left="188" w:right="600" w:hanging="188"/>
        <w:spacing w:after="0" w:line="321" w:lineRule="auto"/>
        <w:tabs>
          <w:tab w:leader="none" w:pos="144" w:val="left"/>
        </w:tabs>
        <w:numPr>
          <w:ilvl w:val="0"/>
          <w:numId w:val="33"/>
        </w:numPr>
        <w:rPr>
          <w:rFonts w:ascii="Arial" w:cs="Arial" w:eastAsia="Arial" w:hAnsi="Arial"/>
          <w:sz w:val="13"/>
          <w:szCs w:val="13"/>
          <w:color w:val="64A70B"/>
        </w:rPr>
      </w:pPr>
      <w:r>
        <w:rPr>
          <w:rFonts w:ascii="Arial" w:cs="Arial" w:eastAsia="Arial" w:hAnsi="Arial"/>
          <w:sz w:val="16"/>
          <w:szCs w:val="16"/>
          <w:color w:val="auto"/>
        </w:rPr>
        <w:t>President and Chief Executive Officer of Pentair plc, from 2018 to present, having previously served as Chief Financial Officer of Pentair, from 2007 to 2018</w:t>
      </w:r>
    </w:p>
    <w:p>
      <w:pPr>
        <w:spacing w:after="0" w:line="7" w:lineRule="exact"/>
        <w:rPr>
          <w:rFonts w:ascii="Arial" w:cs="Arial" w:eastAsia="Arial" w:hAnsi="Arial"/>
          <w:sz w:val="13"/>
          <w:szCs w:val="13"/>
          <w:color w:val="64A70B"/>
        </w:rPr>
      </w:pPr>
    </w:p>
    <w:p>
      <w:pPr>
        <w:ind w:left="188" w:right="400" w:hanging="188"/>
        <w:spacing w:after="0" w:line="304" w:lineRule="auto"/>
        <w:tabs>
          <w:tab w:leader="none" w:pos="144" w:val="left"/>
        </w:tabs>
        <w:numPr>
          <w:ilvl w:val="0"/>
          <w:numId w:val="33"/>
        </w:numPr>
        <w:rPr>
          <w:rFonts w:ascii="Arial" w:cs="Arial" w:eastAsia="Arial" w:hAnsi="Arial"/>
          <w:sz w:val="13"/>
          <w:szCs w:val="13"/>
          <w:color w:val="64A70B"/>
        </w:rPr>
      </w:pPr>
      <w:r>
        <w:rPr>
          <w:rFonts w:ascii="Arial" w:cs="Arial" w:eastAsia="Arial" w:hAnsi="Arial"/>
          <w:sz w:val="16"/>
          <w:szCs w:val="16"/>
          <w:color w:val="auto"/>
        </w:rPr>
        <w:t>Chief Financial Officer of the Automation and Control Systems unit of Honeywell International Inc., from 2005 to 2007</w:t>
      </w:r>
    </w:p>
    <w:p>
      <w:pPr>
        <w:spacing w:after="0" w:line="19" w:lineRule="exact"/>
        <w:rPr>
          <w:rFonts w:ascii="Arial" w:cs="Arial" w:eastAsia="Arial" w:hAnsi="Arial"/>
          <w:sz w:val="13"/>
          <w:szCs w:val="13"/>
          <w:color w:val="64A70B"/>
        </w:rPr>
      </w:pPr>
    </w:p>
    <w:p>
      <w:pPr>
        <w:ind w:left="188" w:right="280" w:hanging="188"/>
        <w:spacing w:after="0" w:line="292" w:lineRule="auto"/>
        <w:tabs>
          <w:tab w:leader="none" w:pos="144" w:val="left"/>
        </w:tabs>
        <w:numPr>
          <w:ilvl w:val="0"/>
          <w:numId w:val="33"/>
        </w:numPr>
        <w:rPr>
          <w:rFonts w:ascii="Arial" w:cs="Arial" w:eastAsia="Arial" w:hAnsi="Arial"/>
          <w:sz w:val="13"/>
          <w:szCs w:val="13"/>
          <w:color w:val="64A70B"/>
        </w:rPr>
      </w:pPr>
      <w:r>
        <w:rPr>
          <w:rFonts w:ascii="Arial" w:cs="Arial" w:eastAsia="Arial" w:hAnsi="Arial"/>
          <w:sz w:val="16"/>
          <w:szCs w:val="16"/>
          <w:color w:val="auto"/>
        </w:rPr>
        <w:t>Chief Financial Officer and Information Technology Director of PerkinElmer Optoelectronics and various executive, investor relations and managerial finance positions within Honeywell and its predecessor, AlliedSignal Inc., from 1994 to 2005</w:t>
      </w:r>
    </w:p>
    <w:p>
      <w:pPr>
        <w:spacing w:after="0" w:line="30" w:lineRule="exact"/>
        <w:rPr>
          <w:rFonts w:ascii="Arial" w:cs="Arial" w:eastAsia="Arial" w:hAnsi="Arial"/>
          <w:sz w:val="13"/>
          <w:szCs w:val="13"/>
          <w:color w:val="64A70B"/>
        </w:rPr>
      </w:pPr>
    </w:p>
    <w:p>
      <w:pPr>
        <w:ind w:left="188" w:right="900" w:hanging="188"/>
        <w:spacing w:after="0" w:line="321" w:lineRule="auto"/>
        <w:tabs>
          <w:tab w:leader="none" w:pos="144" w:val="left"/>
        </w:tabs>
        <w:numPr>
          <w:ilvl w:val="0"/>
          <w:numId w:val="33"/>
        </w:numPr>
        <w:rPr>
          <w:rFonts w:ascii="Arial" w:cs="Arial" w:eastAsia="Arial" w:hAnsi="Arial"/>
          <w:sz w:val="13"/>
          <w:szCs w:val="13"/>
          <w:color w:val="64A70B"/>
        </w:rPr>
      </w:pPr>
      <w:r>
        <w:rPr>
          <w:rFonts w:ascii="Arial" w:cs="Arial" w:eastAsia="Arial" w:hAnsi="Arial"/>
          <w:sz w:val="16"/>
          <w:szCs w:val="16"/>
          <w:color w:val="auto"/>
        </w:rPr>
        <w:t>Director of Deluxe Corporation, from 2016 to present, where he is currently chair of the audit and finance committee and a member of the corporate governance committee</w:t>
      </w:r>
    </w:p>
    <w:p>
      <w:pPr>
        <w:spacing w:after="0" w:line="385" w:lineRule="exact"/>
        <w:rPr>
          <w:sz w:val="20"/>
          <w:szCs w:val="20"/>
          <w:color w:val="auto"/>
        </w:rPr>
      </w:pPr>
    </w:p>
    <w:p>
      <w:pPr>
        <w:ind w:left="8"/>
        <w:spacing w:after="0"/>
        <w:rPr>
          <w:sz w:val="20"/>
          <w:szCs w:val="20"/>
          <w:color w:val="auto"/>
        </w:rPr>
      </w:pPr>
      <w:r>
        <w:rPr>
          <w:rFonts w:ascii="Arial" w:cs="Arial" w:eastAsia="Arial" w:hAnsi="Arial"/>
          <w:sz w:val="16"/>
          <w:szCs w:val="16"/>
          <w:b w:val="1"/>
          <w:bCs w:val="1"/>
          <w:color w:val="0C3471"/>
        </w:rPr>
        <w:t>Skills &amp; Qualifications:</w:t>
      </w:r>
    </w:p>
    <w:p>
      <w:pPr>
        <w:spacing w:after="0" w:line="127" w:lineRule="exact"/>
        <w:rPr>
          <w:sz w:val="20"/>
          <w:szCs w:val="20"/>
          <w:color w:val="auto"/>
        </w:rPr>
      </w:pPr>
    </w:p>
    <w:p>
      <w:pPr>
        <w:ind w:left="8" w:right="500"/>
        <w:spacing w:after="0" w:line="292" w:lineRule="auto"/>
        <w:rPr>
          <w:sz w:val="20"/>
          <w:szCs w:val="20"/>
          <w:color w:val="auto"/>
        </w:rPr>
      </w:pPr>
      <w:r>
        <w:rPr>
          <w:rFonts w:ascii="Arial" w:cs="Arial" w:eastAsia="Arial" w:hAnsi="Arial"/>
          <w:sz w:val="16"/>
          <w:szCs w:val="16"/>
          <w:color w:val="auto"/>
        </w:rPr>
        <w:t>Mr. Stauch brings to our Board extensive knowledge of Pentair as our President and Chief Executive Officer and former Chief Financial Officer and extensive experience as a financial executive with many aspects of public company strategy and operations.</w:t>
      </w:r>
    </w:p>
    <w:p>
      <w:pPr>
        <w:spacing w:after="0" w:line="531" w:lineRule="exact"/>
        <w:rPr>
          <w:sz w:val="20"/>
          <w:szCs w:val="20"/>
          <w:color w:val="auto"/>
        </w:rPr>
      </w:pPr>
    </w:p>
    <w:p>
      <w:pPr>
        <w:sectPr>
          <w:pgSz w:w="11900" w:h="16838" w:orient="portrait"/>
          <w:cols w:equalWidth="0" w:num="2">
            <w:col w:w="1992" w:space="720"/>
            <w:col w:w="8528"/>
          </w:cols>
          <w:pgMar w:left="320" w:top="314"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10780" w:type="dxa"/>
            <w:vAlign w:val="bottom"/>
          </w:tcPr>
          <w:p>
            <w:pPr>
              <w:ind w:left="8260"/>
              <w:spacing w:after="0"/>
              <w:rPr>
                <w:sz w:val="20"/>
                <w:szCs w:val="20"/>
                <w:color w:val="auto"/>
              </w:rPr>
            </w:pPr>
            <w:r>
              <w:rPr>
                <w:rFonts w:ascii="Arial" w:cs="Arial" w:eastAsia="Arial" w:hAnsi="Arial"/>
                <w:sz w:val="16"/>
                <w:szCs w:val="16"/>
                <w:b w:val="1"/>
                <w:bCs w:val="1"/>
                <w:color w:val="auto"/>
              </w:rPr>
              <w:t xml:space="preserve">2026 Proxy Statement </w:t>
            </w:r>
            <w:r>
              <w:rPr>
                <w:rFonts w:ascii="Arial" w:cs="Arial" w:eastAsia="Arial" w:hAnsi="Arial"/>
                <w:sz w:val="16"/>
                <w:szCs w:val="16"/>
                <w:b w:val="1"/>
                <w:bCs w:val="1"/>
                <w:color w:val="0C3471"/>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Pentair</w:t>
            </w:r>
          </w:p>
        </w:tc>
        <w:tc>
          <w:tcPr>
            <w:tcW w:w="460" w:type="dxa"/>
            <w:vAlign w:val="bottom"/>
          </w:tcPr>
          <w:p>
            <w:pPr>
              <w:jc w:val="right"/>
              <w:spacing w:after="0"/>
              <w:rPr>
                <w:sz w:val="20"/>
                <w:szCs w:val="20"/>
                <w:color w:val="auto"/>
              </w:rPr>
            </w:pPr>
            <w:r>
              <w:rPr>
                <w:rFonts w:ascii="Arial" w:cs="Arial" w:eastAsia="Arial" w:hAnsi="Arial"/>
                <w:sz w:val="16"/>
                <w:szCs w:val="16"/>
                <w:b w:val="1"/>
                <w:bCs w:val="1"/>
                <w:color w:val="auto"/>
              </w:rPr>
              <w:t>15</w:t>
            </w:r>
          </w:p>
        </w:tc>
      </w:tr>
      <w:tr>
        <w:trPr>
          <w:trHeight w:val="311"/>
        </w:trPr>
        <w:tc>
          <w:tcPr>
            <w:tcW w:w="107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14" w:right="339" w:bottom="1440" w:gutter="0" w:footer="0" w:header="0"/>
          <w:type w:val="continuous"/>
        </w:sectPr>
      </w:pPr>
    </w:p>
    <w:bookmarkStart w:id="17" w:name="page18"/>
    <w:bookmarkEnd w:id="17"/>
    <w:p>
      <w:pPr>
        <w:ind w:left="374"/>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225425</wp:posOffset>
            </wp:positionH>
            <wp:positionV relativeFrom="page">
              <wp:posOffset>191770</wp:posOffset>
            </wp:positionV>
            <wp:extent cx="102870" cy="11112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clrChange>
                        <a:clrFrom>
                          <a:srgbClr val="FFFFFF"/>
                        </a:clrFrom>
                        <a:clrTo>
                          <a:srgbClr val="FFFFFF">
                            <a:alpha val="0"/>
                          </a:srgbClr>
                        </a:clrTo>
                      </a:clrChange>
                      <a:extLst>
                        <a:ext uri="{28A0092B-C50C-407E-A947-70E740481C1C}"/>
                      </a:extLst>
                    </a:blip>
                    <a:srcRect/>
                    <a:stretch>
                      <a:fillRect/>
                    </a:stretch>
                  </pic:blipFill>
                  <pic:spPr bwMode="auto">
                    <a:xfrm>
                      <a:off x="0" y="0"/>
                      <a:ext cx="102870" cy="111125"/>
                    </a:xfrm>
                    <a:prstGeom prst="rect">
                      <a:avLst/>
                    </a:prstGeom>
                    <a:noFill/>
                  </pic:spPr>
                </pic:pic>
              </a:graphicData>
            </a:graphic>
          </wp:anchor>
        </w:drawing>
        <w:t>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543560</wp:posOffset>
            </wp:positionV>
            <wp:extent cx="7140575" cy="390080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40575" cy="3900805"/>
                    </a:xfrm>
                    <a:prstGeom prst="rect">
                      <a:avLst/>
                    </a:prstGeom>
                    <a:noFill/>
                  </pic:spPr>
                </pic:pic>
              </a:graphicData>
            </a:graphic>
          </wp:anchor>
        </w:drawing>
      </w:r>
    </w:p>
    <w:p>
      <w:pPr>
        <w:sectPr>
          <w:pgSz w:w="11900" w:h="16838" w:orient="portrait"/>
          <w:cols w:equalWidth="0" w:num="1">
            <w:col w:w="10834"/>
          </w:cols>
          <w:pgMar w:left="346" w:top="314" w:right="7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134"/>
        <w:spacing w:after="0"/>
        <w:rPr>
          <w:sz w:val="20"/>
          <w:szCs w:val="20"/>
          <w:color w:val="auto"/>
        </w:rPr>
      </w:pPr>
      <w:r>
        <w:rPr>
          <w:rFonts w:ascii="Arial" w:cs="Arial" w:eastAsia="Arial" w:hAnsi="Arial"/>
          <w:sz w:val="18"/>
          <w:szCs w:val="18"/>
          <w:b w:val="1"/>
          <w:bCs w:val="1"/>
          <w:color w:val="0C3471"/>
        </w:rPr>
        <w:t>BILLIE I.</w:t>
      </w:r>
    </w:p>
    <w:p>
      <w:pPr>
        <w:spacing w:after="0" w:line="27" w:lineRule="exact"/>
        <w:rPr>
          <w:sz w:val="20"/>
          <w:szCs w:val="20"/>
          <w:color w:val="auto"/>
        </w:rPr>
      </w:pPr>
    </w:p>
    <w:p>
      <w:pPr>
        <w:ind w:left="134"/>
        <w:spacing w:after="0"/>
        <w:rPr>
          <w:sz w:val="20"/>
          <w:szCs w:val="20"/>
          <w:color w:val="auto"/>
        </w:rPr>
      </w:pPr>
      <w:r>
        <w:rPr>
          <w:rFonts w:ascii="Arial" w:cs="Arial" w:eastAsia="Arial" w:hAnsi="Arial"/>
          <w:sz w:val="18"/>
          <w:szCs w:val="18"/>
          <w:b w:val="1"/>
          <w:bCs w:val="1"/>
          <w:color w:val="0C3471"/>
        </w:rPr>
        <w:t>WILLIAMSON</w:t>
      </w:r>
    </w:p>
    <w:p>
      <w:pPr>
        <w:spacing w:after="0" w:line="55" w:lineRule="exact"/>
        <w:rPr>
          <w:sz w:val="20"/>
          <w:szCs w:val="20"/>
          <w:color w:val="auto"/>
        </w:rPr>
      </w:pPr>
    </w:p>
    <w:p>
      <w:pPr>
        <w:ind w:left="134"/>
        <w:spacing w:after="0"/>
        <w:rPr>
          <w:sz w:val="20"/>
          <w:szCs w:val="20"/>
          <w:color w:val="auto"/>
        </w:rPr>
      </w:pPr>
      <w:r>
        <w:rPr>
          <w:rFonts w:ascii="Arial" w:cs="Arial" w:eastAsia="Arial" w:hAnsi="Arial"/>
          <w:sz w:val="14"/>
          <w:szCs w:val="14"/>
          <w:color w:val="auto"/>
        </w:rPr>
        <w:t>Retired Senior</w:t>
      </w:r>
    </w:p>
    <w:p>
      <w:pPr>
        <w:spacing w:after="0" w:line="29" w:lineRule="exact"/>
        <w:rPr>
          <w:sz w:val="20"/>
          <w:szCs w:val="20"/>
          <w:color w:val="auto"/>
        </w:rPr>
      </w:pPr>
    </w:p>
    <w:p>
      <w:pPr>
        <w:ind w:left="134"/>
        <w:spacing w:after="0"/>
        <w:rPr>
          <w:sz w:val="20"/>
          <w:szCs w:val="20"/>
          <w:color w:val="auto"/>
        </w:rPr>
      </w:pPr>
      <w:r>
        <w:rPr>
          <w:rFonts w:ascii="Arial" w:cs="Arial" w:eastAsia="Arial" w:hAnsi="Arial"/>
          <w:sz w:val="14"/>
          <w:szCs w:val="14"/>
          <w:color w:val="auto"/>
        </w:rPr>
        <w:t>Assurance Partner,</w:t>
      </w:r>
    </w:p>
    <w:p>
      <w:pPr>
        <w:spacing w:after="0" w:line="15" w:lineRule="exact"/>
        <w:rPr>
          <w:sz w:val="20"/>
          <w:szCs w:val="20"/>
          <w:color w:val="auto"/>
        </w:rPr>
      </w:pPr>
    </w:p>
    <w:p>
      <w:pPr>
        <w:ind w:left="134"/>
        <w:spacing w:after="0"/>
        <w:rPr>
          <w:sz w:val="20"/>
          <w:szCs w:val="20"/>
          <w:color w:val="auto"/>
        </w:rPr>
      </w:pPr>
      <w:r>
        <w:rPr>
          <w:rFonts w:ascii="Arial" w:cs="Arial" w:eastAsia="Arial" w:hAnsi="Arial"/>
          <w:sz w:val="14"/>
          <w:szCs w:val="14"/>
          <w:color w:val="auto"/>
        </w:rPr>
        <w:t>Ernst &amp; Young LLP</w:t>
      </w:r>
    </w:p>
    <w:p>
      <w:pPr>
        <w:spacing w:after="0" w:line="230" w:lineRule="exact"/>
        <w:rPr>
          <w:sz w:val="20"/>
          <w:szCs w:val="20"/>
          <w:color w:val="auto"/>
        </w:rPr>
      </w:pPr>
    </w:p>
    <w:p>
      <w:pPr>
        <w:ind w:left="134"/>
        <w:spacing w:after="0"/>
        <w:rPr>
          <w:sz w:val="20"/>
          <w:szCs w:val="20"/>
          <w:color w:val="auto"/>
        </w:rPr>
      </w:pPr>
      <w:r>
        <w:rPr>
          <w:rFonts w:ascii="Arial" w:cs="Arial" w:eastAsia="Arial" w:hAnsi="Arial"/>
          <w:sz w:val="14"/>
          <w:szCs w:val="14"/>
          <w:color w:val="0C3471"/>
        </w:rPr>
        <w:t>Independent</w:t>
      </w:r>
    </w:p>
    <w:p>
      <w:pPr>
        <w:spacing w:after="0" w:line="29" w:lineRule="exact"/>
        <w:rPr>
          <w:sz w:val="20"/>
          <w:szCs w:val="20"/>
          <w:color w:val="auto"/>
        </w:rPr>
      </w:pPr>
    </w:p>
    <w:p>
      <w:pPr>
        <w:ind w:left="134"/>
        <w:spacing w:after="0"/>
        <w:rPr>
          <w:sz w:val="20"/>
          <w:szCs w:val="20"/>
          <w:color w:val="auto"/>
        </w:rPr>
      </w:pPr>
      <w:r>
        <w:rPr>
          <w:rFonts w:ascii="Arial" w:cs="Arial" w:eastAsia="Arial" w:hAnsi="Arial"/>
          <w:sz w:val="14"/>
          <w:szCs w:val="14"/>
          <w:color w:val="0C3471"/>
        </w:rPr>
        <w:t xml:space="preserve">Age: </w:t>
      </w:r>
      <w:r>
        <w:rPr>
          <w:rFonts w:ascii="Arial" w:cs="Arial" w:eastAsia="Arial" w:hAnsi="Arial"/>
          <w:sz w:val="14"/>
          <w:szCs w:val="14"/>
          <w:color w:val="000000"/>
        </w:rPr>
        <w:t>73</w:t>
      </w:r>
    </w:p>
    <w:p>
      <w:pPr>
        <w:spacing w:after="0" w:line="1" w:lineRule="exact"/>
        <w:rPr>
          <w:sz w:val="20"/>
          <w:szCs w:val="20"/>
          <w:color w:val="auto"/>
        </w:rPr>
      </w:pPr>
    </w:p>
    <w:p>
      <w:pPr>
        <w:ind w:left="134"/>
        <w:spacing w:after="0"/>
        <w:rPr>
          <w:sz w:val="20"/>
          <w:szCs w:val="20"/>
          <w:color w:val="auto"/>
        </w:rPr>
      </w:pPr>
      <w:r>
        <w:rPr>
          <w:rFonts w:ascii="Arial" w:cs="Arial" w:eastAsia="Arial" w:hAnsi="Arial"/>
          <w:sz w:val="14"/>
          <w:szCs w:val="14"/>
          <w:color w:val="0C3471"/>
        </w:rPr>
        <w:t xml:space="preserve">Director Since: </w:t>
      </w:r>
      <w:r>
        <w:rPr>
          <w:rFonts w:ascii="Arial" w:cs="Arial" w:eastAsia="Arial" w:hAnsi="Arial"/>
          <w:sz w:val="14"/>
          <w:szCs w:val="14"/>
          <w:color w:val="000000"/>
        </w:rPr>
        <w:t>2014</w:t>
      </w:r>
    </w:p>
    <w:p>
      <w:pPr>
        <w:spacing w:after="0" w:line="15" w:lineRule="exact"/>
        <w:rPr>
          <w:sz w:val="20"/>
          <w:szCs w:val="20"/>
          <w:color w:val="auto"/>
        </w:rPr>
      </w:pPr>
    </w:p>
    <w:p>
      <w:pPr>
        <w:ind w:left="134"/>
        <w:spacing w:after="0"/>
        <w:rPr>
          <w:sz w:val="20"/>
          <w:szCs w:val="20"/>
          <w:color w:val="auto"/>
        </w:rPr>
      </w:pPr>
      <w:r>
        <w:rPr>
          <w:rFonts w:ascii="Arial" w:cs="Arial" w:eastAsia="Arial" w:hAnsi="Arial"/>
          <w:sz w:val="14"/>
          <w:szCs w:val="14"/>
          <w:color w:val="0C3471"/>
        </w:rPr>
        <w:t>Committees:</w:t>
      </w:r>
    </w:p>
    <w:p>
      <w:pPr>
        <w:spacing w:after="0" w:line="15" w:lineRule="exact"/>
        <w:rPr>
          <w:sz w:val="20"/>
          <w:szCs w:val="20"/>
          <w:color w:val="auto"/>
        </w:rPr>
      </w:pPr>
    </w:p>
    <w:p>
      <w:pPr>
        <w:ind w:left="134"/>
        <w:spacing w:after="0"/>
        <w:rPr>
          <w:sz w:val="20"/>
          <w:szCs w:val="20"/>
          <w:color w:val="auto"/>
        </w:rPr>
      </w:pPr>
      <w:r>
        <w:rPr>
          <w:rFonts w:ascii="Arial" w:cs="Arial" w:eastAsia="Arial" w:hAnsi="Arial"/>
          <w:sz w:val="14"/>
          <w:szCs w:val="14"/>
          <w:color w:val="auto"/>
        </w:rPr>
        <w:t>Governance (Chair)</w:t>
      </w:r>
    </w:p>
    <w:p>
      <w:pPr>
        <w:spacing w:after="0" w:line="15" w:lineRule="exact"/>
        <w:rPr>
          <w:sz w:val="20"/>
          <w:szCs w:val="20"/>
          <w:color w:val="auto"/>
        </w:rPr>
      </w:pPr>
    </w:p>
    <w:p>
      <w:pPr>
        <w:ind w:left="134"/>
        <w:spacing w:after="0"/>
        <w:rPr>
          <w:sz w:val="20"/>
          <w:szCs w:val="20"/>
          <w:color w:val="auto"/>
        </w:rPr>
      </w:pPr>
      <w:r>
        <w:rPr>
          <w:rFonts w:ascii="Arial" w:cs="Arial" w:eastAsia="Arial" w:hAnsi="Arial"/>
          <w:sz w:val="14"/>
          <w:szCs w:val="14"/>
          <w:color w:val="auto"/>
        </w:rPr>
        <w:t>Compensation</w:t>
      </w:r>
    </w:p>
    <w:p>
      <w:pPr>
        <w:spacing w:after="0" w:line="225" w:lineRule="exact"/>
        <w:rPr>
          <w:sz w:val="20"/>
          <w:szCs w:val="20"/>
          <w:color w:val="auto"/>
        </w:rPr>
      </w:pPr>
    </w:p>
    <w:p>
      <w:pPr>
        <w:ind w:left="134"/>
        <w:spacing w:after="0"/>
        <w:rPr>
          <w:sz w:val="20"/>
          <w:szCs w:val="20"/>
          <w:color w:val="auto"/>
        </w:rPr>
      </w:pPr>
      <w:r>
        <w:rPr>
          <w:rFonts w:ascii="Arial" w:cs="Arial" w:eastAsia="Arial" w:hAnsi="Arial"/>
          <w:sz w:val="16"/>
          <w:szCs w:val="16"/>
          <w:b w:val="1"/>
          <w:bCs w:val="1"/>
          <w:color w:val="0C3471"/>
        </w:rPr>
        <w:t>Other Current</w:t>
      </w:r>
    </w:p>
    <w:p>
      <w:pPr>
        <w:spacing w:after="0" w:line="21" w:lineRule="exact"/>
        <w:rPr>
          <w:sz w:val="20"/>
          <w:szCs w:val="20"/>
          <w:color w:val="auto"/>
        </w:rPr>
      </w:pPr>
    </w:p>
    <w:p>
      <w:pPr>
        <w:ind w:left="134"/>
        <w:spacing w:after="0"/>
        <w:rPr>
          <w:sz w:val="20"/>
          <w:szCs w:val="20"/>
          <w:color w:val="auto"/>
        </w:rPr>
      </w:pPr>
      <w:r>
        <w:rPr>
          <w:rFonts w:ascii="Arial" w:cs="Arial" w:eastAsia="Arial" w:hAnsi="Arial"/>
          <w:sz w:val="16"/>
          <w:szCs w:val="16"/>
          <w:b w:val="1"/>
          <w:bCs w:val="1"/>
          <w:color w:val="0C3471"/>
        </w:rPr>
        <w:t>Public Board Service:</w:t>
      </w:r>
    </w:p>
    <w:p>
      <w:pPr>
        <w:spacing w:after="0" w:line="61" w:lineRule="exact"/>
        <w:rPr>
          <w:sz w:val="20"/>
          <w:szCs w:val="20"/>
          <w:color w:val="auto"/>
        </w:rPr>
      </w:pPr>
    </w:p>
    <w:p>
      <w:pPr>
        <w:ind w:left="134"/>
        <w:spacing w:after="0"/>
        <w:rPr>
          <w:sz w:val="20"/>
          <w:szCs w:val="20"/>
          <w:color w:val="auto"/>
        </w:rPr>
      </w:pPr>
      <w:r>
        <w:rPr>
          <w:rFonts w:ascii="Arial" w:cs="Arial" w:eastAsia="Arial" w:hAnsi="Arial"/>
          <w:sz w:val="14"/>
          <w:szCs w:val="14"/>
          <w:color w:val="auto"/>
        </w:rPr>
        <w:t>Cricut Inc.</w:t>
      </w:r>
    </w:p>
    <w:p>
      <w:pPr>
        <w:spacing w:after="0" w:line="15" w:lineRule="exact"/>
        <w:rPr>
          <w:sz w:val="20"/>
          <w:szCs w:val="20"/>
          <w:color w:val="auto"/>
        </w:rPr>
      </w:pPr>
    </w:p>
    <w:p>
      <w:pPr>
        <w:ind w:left="134"/>
        <w:spacing w:after="0"/>
        <w:rPr>
          <w:sz w:val="20"/>
          <w:szCs w:val="20"/>
          <w:color w:val="auto"/>
        </w:rPr>
      </w:pPr>
      <w:r>
        <w:rPr>
          <w:rFonts w:ascii="Arial" w:cs="Arial" w:eastAsia="Arial" w:hAnsi="Arial"/>
          <w:sz w:val="14"/>
          <w:szCs w:val="14"/>
          <w:color w:val="auto"/>
        </w:rPr>
        <w:t>(2021–present)</w:t>
      </w:r>
    </w:p>
    <w:p>
      <w:pPr>
        <w:spacing w:after="0" w:line="41" w:lineRule="exact"/>
        <w:rPr>
          <w:sz w:val="20"/>
          <w:szCs w:val="20"/>
          <w:color w:val="auto"/>
        </w:rPr>
      </w:pPr>
    </w:p>
    <w:p>
      <w:pPr>
        <w:ind w:left="134" w:right="432"/>
        <w:spacing w:after="0" w:line="305" w:lineRule="auto"/>
        <w:rPr>
          <w:sz w:val="20"/>
          <w:szCs w:val="20"/>
          <w:color w:val="auto"/>
        </w:rPr>
      </w:pPr>
      <w:r>
        <w:rPr>
          <w:rFonts w:ascii="Arial" w:cs="Arial" w:eastAsia="Arial" w:hAnsi="Arial"/>
          <w:sz w:val="14"/>
          <w:szCs w:val="14"/>
          <w:color w:val="auto"/>
        </w:rPr>
        <w:t>Cushman &amp; Wakefield plc (2018–present)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8"/>
        <w:spacing w:after="0"/>
        <w:rPr>
          <w:sz w:val="20"/>
          <w:szCs w:val="20"/>
          <w:color w:val="auto"/>
        </w:rPr>
      </w:pPr>
      <w:r>
        <w:rPr>
          <w:rFonts w:ascii="Arial" w:cs="Arial" w:eastAsia="Arial" w:hAnsi="Arial"/>
          <w:sz w:val="16"/>
          <w:szCs w:val="16"/>
          <w:b w:val="1"/>
          <w:bCs w:val="1"/>
          <w:color w:val="0C3471"/>
        </w:rPr>
        <w:t>Biography:</w:t>
      </w:r>
    </w:p>
    <w:p>
      <w:pPr>
        <w:spacing w:after="0" w:line="140" w:lineRule="exact"/>
        <w:rPr>
          <w:sz w:val="20"/>
          <w:szCs w:val="20"/>
          <w:color w:val="auto"/>
        </w:rPr>
      </w:pPr>
    </w:p>
    <w:p>
      <w:pPr>
        <w:ind w:left="188" w:hanging="188"/>
        <w:spacing w:after="0" w:line="304" w:lineRule="auto"/>
        <w:tabs>
          <w:tab w:leader="none" w:pos="144" w:val="left"/>
        </w:tabs>
        <w:numPr>
          <w:ilvl w:val="0"/>
          <w:numId w:val="34"/>
        </w:numPr>
        <w:rPr>
          <w:rFonts w:ascii="Arial" w:cs="Arial" w:eastAsia="Arial" w:hAnsi="Arial"/>
          <w:sz w:val="13"/>
          <w:szCs w:val="13"/>
          <w:color w:val="64A70B"/>
        </w:rPr>
      </w:pPr>
      <w:r>
        <w:rPr>
          <w:rFonts w:ascii="Arial" w:cs="Arial" w:eastAsia="Arial" w:hAnsi="Arial"/>
          <w:sz w:val="16"/>
          <w:szCs w:val="16"/>
          <w:color w:val="auto"/>
        </w:rPr>
        <w:t>Over 32 years of experience auditing public companies as an employee and partner of Ernst &amp; Young LLP, from 1974 to 1993 and 1998 to 2011</w:t>
      </w:r>
    </w:p>
    <w:p>
      <w:pPr>
        <w:spacing w:after="0" w:line="19" w:lineRule="exact"/>
        <w:rPr>
          <w:rFonts w:ascii="Arial" w:cs="Arial" w:eastAsia="Arial" w:hAnsi="Arial"/>
          <w:sz w:val="13"/>
          <w:szCs w:val="13"/>
          <w:color w:val="64A70B"/>
        </w:rPr>
      </w:pPr>
    </w:p>
    <w:p>
      <w:pPr>
        <w:ind w:left="148" w:hanging="148"/>
        <w:spacing w:after="0"/>
        <w:tabs>
          <w:tab w:leader="none" w:pos="148" w:val="left"/>
        </w:tabs>
        <w:numPr>
          <w:ilvl w:val="0"/>
          <w:numId w:val="34"/>
        </w:numPr>
        <w:rPr>
          <w:rFonts w:ascii="Arial" w:cs="Arial" w:eastAsia="Arial" w:hAnsi="Arial"/>
          <w:sz w:val="13"/>
          <w:szCs w:val="13"/>
          <w:color w:val="64A70B"/>
        </w:rPr>
      </w:pPr>
      <w:r>
        <w:rPr>
          <w:rFonts w:ascii="Arial" w:cs="Arial" w:eastAsia="Arial" w:hAnsi="Arial"/>
          <w:sz w:val="16"/>
          <w:szCs w:val="16"/>
          <w:color w:val="auto"/>
        </w:rPr>
        <w:t>Member of the board of directors of Cricut Inc. from 2021 to present</w:t>
      </w:r>
    </w:p>
    <w:p>
      <w:pPr>
        <w:spacing w:after="0" w:line="99" w:lineRule="exact"/>
        <w:rPr>
          <w:rFonts w:ascii="Arial" w:cs="Arial" w:eastAsia="Arial" w:hAnsi="Arial"/>
          <w:sz w:val="13"/>
          <w:szCs w:val="13"/>
          <w:color w:val="64A70B"/>
        </w:rPr>
      </w:pPr>
    </w:p>
    <w:p>
      <w:pPr>
        <w:ind w:left="148" w:hanging="148"/>
        <w:spacing w:after="0"/>
        <w:tabs>
          <w:tab w:leader="none" w:pos="148" w:val="left"/>
        </w:tabs>
        <w:numPr>
          <w:ilvl w:val="0"/>
          <w:numId w:val="34"/>
        </w:numPr>
        <w:rPr>
          <w:rFonts w:ascii="Arial" w:cs="Arial" w:eastAsia="Arial" w:hAnsi="Arial"/>
          <w:sz w:val="13"/>
          <w:szCs w:val="13"/>
          <w:color w:val="64A70B"/>
        </w:rPr>
      </w:pPr>
      <w:r>
        <w:rPr>
          <w:rFonts w:ascii="Arial" w:cs="Arial" w:eastAsia="Arial" w:hAnsi="Arial"/>
          <w:sz w:val="16"/>
          <w:szCs w:val="16"/>
          <w:color w:val="auto"/>
        </w:rPr>
        <w:t>Member of the board of directors of Cushman &amp; Wakefield from 2018 to present</w:t>
      </w:r>
    </w:p>
    <w:p>
      <w:pPr>
        <w:spacing w:after="0" w:line="99" w:lineRule="exact"/>
        <w:rPr>
          <w:rFonts w:ascii="Arial" w:cs="Arial" w:eastAsia="Arial" w:hAnsi="Arial"/>
          <w:sz w:val="13"/>
          <w:szCs w:val="13"/>
          <w:color w:val="64A70B"/>
        </w:rPr>
      </w:pPr>
    </w:p>
    <w:p>
      <w:pPr>
        <w:ind w:left="148" w:hanging="148"/>
        <w:spacing w:after="0"/>
        <w:tabs>
          <w:tab w:leader="none" w:pos="148" w:val="left"/>
        </w:tabs>
        <w:numPr>
          <w:ilvl w:val="0"/>
          <w:numId w:val="34"/>
        </w:numPr>
        <w:rPr>
          <w:rFonts w:ascii="Arial" w:cs="Arial" w:eastAsia="Arial" w:hAnsi="Arial"/>
          <w:sz w:val="13"/>
          <w:szCs w:val="13"/>
          <w:color w:val="64A70B"/>
        </w:rPr>
      </w:pPr>
      <w:r>
        <w:rPr>
          <w:rFonts w:ascii="Arial" w:cs="Arial" w:eastAsia="Arial" w:hAnsi="Arial"/>
          <w:sz w:val="16"/>
          <w:szCs w:val="16"/>
          <w:color w:val="auto"/>
        </w:rPr>
        <w:t>Senior Assurance Partner at Ernst &amp; Young from 1998 to 2011</w:t>
      </w:r>
    </w:p>
    <w:p>
      <w:pPr>
        <w:spacing w:after="0" w:line="99" w:lineRule="exact"/>
        <w:rPr>
          <w:rFonts w:ascii="Arial" w:cs="Arial" w:eastAsia="Arial" w:hAnsi="Arial"/>
          <w:sz w:val="13"/>
          <w:szCs w:val="13"/>
          <w:color w:val="64A70B"/>
        </w:rPr>
      </w:pPr>
    </w:p>
    <w:p>
      <w:pPr>
        <w:ind w:left="148" w:hanging="148"/>
        <w:spacing w:after="0"/>
        <w:tabs>
          <w:tab w:leader="none" w:pos="148" w:val="left"/>
        </w:tabs>
        <w:numPr>
          <w:ilvl w:val="0"/>
          <w:numId w:val="34"/>
        </w:numPr>
        <w:rPr>
          <w:rFonts w:ascii="Arial" w:cs="Arial" w:eastAsia="Arial" w:hAnsi="Arial"/>
          <w:sz w:val="13"/>
          <w:szCs w:val="13"/>
          <w:color w:val="64A70B"/>
        </w:rPr>
      </w:pPr>
      <w:r>
        <w:rPr>
          <w:rFonts w:ascii="Arial" w:cs="Arial" w:eastAsia="Arial" w:hAnsi="Arial"/>
          <w:sz w:val="16"/>
          <w:szCs w:val="16"/>
          <w:color w:val="auto"/>
        </w:rPr>
        <w:t>Senior Vice President, Finance and Corporate Controller at Marriott International, Inc. from 1996 to 1998</w:t>
      </w:r>
    </w:p>
    <w:p>
      <w:pPr>
        <w:spacing w:after="0" w:line="99" w:lineRule="exact"/>
        <w:rPr>
          <w:rFonts w:ascii="Arial" w:cs="Arial" w:eastAsia="Arial" w:hAnsi="Arial"/>
          <w:sz w:val="13"/>
          <w:szCs w:val="13"/>
          <w:color w:val="64A70B"/>
        </w:rPr>
      </w:pPr>
    </w:p>
    <w:p>
      <w:pPr>
        <w:ind w:left="148" w:hanging="148"/>
        <w:spacing w:after="0"/>
        <w:tabs>
          <w:tab w:leader="none" w:pos="148" w:val="left"/>
        </w:tabs>
        <w:numPr>
          <w:ilvl w:val="0"/>
          <w:numId w:val="34"/>
        </w:numPr>
        <w:rPr>
          <w:rFonts w:ascii="Arial" w:cs="Arial" w:eastAsia="Arial" w:hAnsi="Arial"/>
          <w:sz w:val="13"/>
          <w:szCs w:val="13"/>
          <w:color w:val="64A70B"/>
        </w:rPr>
      </w:pPr>
      <w:r>
        <w:rPr>
          <w:rFonts w:ascii="Arial" w:cs="Arial" w:eastAsia="Arial" w:hAnsi="Arial"/>
          <w:sz w:val="16"/>
          <w:szCs w:val="16"/>
          <w:color w:val="auto"/>
        </w:rPr>
        <w:t>Chief Financial Officer at AMX Corporation from 1993 to 1996</w:t>
      </w:r>
    </w:p>
    <w:p>
      <w:pPr>
        <w:spacing w:after="0" w:line="99" w:lineRule="exact"/>
        <w:rPr>
          <w:rFonts w:ascii="Arial" w:cs="Arial" w:eastAsia="Arial" w:hAnsi="Arial"/>
          <w:sz w:val="13"/>
          <w:szCs w:val="13"/>
          <w:color w:val="64A70B"/>
        </w:rPr>
      </w:pPr>
    </w:p>
    <w:p>
      <w:pPr>
        <w:ind w:left="188" w:right="180" w:hanging="188"/>
        <w:spacing w:after="0" w:line="292" w:lineRule="auto"/>
        <w:tabs>
          <w:tab w:leader="none" w:pos="144" w:val="left"/>
        </w:tabs>
        <w:numPr>
          <w:ilvl w:val="0"/>
          <w:numId w:val="34"/>
        </w:numPr>
        <w:rPr>
          <w:rFonts w:ascii="Arial" w:cs="Arial" w:eastAsia="Arial" w:hAnsi="Arial"/>
          <w:sz w:val="13"/>
          <w:szCs w:val="13"/>
          <w:color w:val="64A70B"/>
        </w:rPr>
      </w:pPr>
      <w:r>
        <w:rPr>
          <w:rFonts w:ascii="Arial" w:cs="Arial" w:eastAsia="Arial" w:hAnsi="Arial"/>
          <w:sz w:val="16"/>
          <w:szCs w:val="16"/>
          <w:color w:val="auto"/>
        </w:rPr>
        <w:t>Served as Ernst &amp; Young’s Americas Inclusiveness Officer, a member of its Americas Executive Board, which functions as the board of directors for Ernst &amp; Young dealing with strategic and operational matters, and a member of the Ernst &amp; Young U.S. Executive Board responsible for partnership matters for the firm</w:t>
      </w:r>
    </w:p>
    <w:p>
      <w:pPr>
        <w:spacing w:after="0" w:line="30" w:lineRule="exact"/>
        <w:rPr>
          <w:rFonts w:ascii="Arial" w:cs="Arial" w:eastAsia="Arial" w:hAnsi="Arial"/>
          <w:sz w:val="13"/>
          <w:szCs w:val="13"/>
          <w:color w:val="64A70B"/>
        </w:rPr>
      </w:pPr>
    </w:p>
    <w:p>
      <w:pPr>
        <w:ind w:left="188" w:hanging="188"/>
        <w:spacing w:after="0" w:line="292" w:lineRule="auto"/>
        <w:tabs>
          <w:tab w:leader="none" w:pos="144" w:val="left"/>
        </w:tabs>
        <w:numPr>
          <w:ilvl w:val="0"/>
          <w:numId w:val="34"/>
        </w:numPr>
        <w:rPr>
          <w:rFonts w:ascii="Arial" w:cs="Arial" w:eastAsia="Arial" w:hAnsi="Arial"/>
          <w:sz w:val="13"/>
          <w:szCs w:val="13"/>
          <w:color w:val="64A70B"/>
        </w:rPr>
      </w:pPr>
      <w:r>
        <w:rPr>
          <w:rFonts w:ascii="Arial" w:cs="Arial" w:eastAsia="Arial" w:hAnsi="Arial"/>
          <w:sz w:val="16"/>
          <w:szCs w:val="16"/>
          <w:color w:val="auto"/>
        </w:rPr>
        <w:t>Member of the boards of directors of Kraton Corporation from 2018 to 2022, XL Group Ltd., in 2018, CSRA Inc., from 2015 to 2018, Janus Capital Group Inc., from 2015 to 2017, Exelis Inc., from 2012 to 2015, and Annie’s Inc., from 2012 to 2014</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8"/>
        <w:spacing w:after="0"/>
        <w:rPr>
          <w:sz w:val="20"/>
          <w:szCs w:val="20"/>
          <w:color w:val="auto"/>
        </w:rPr>
      </w:pPr>
      <w:r>
        <w:rPr>
          <w:rFonts w:ascii="Arial" w:cs="Arial" w:eastAsia="Arial" w:hAnsi="Arial"/>
          <w:sz w:val="16"/>
          <w:szCs w:val="16"/>
          <w:b w:val="1"/>
          <w:bCs w:val="1"/>
          <w:color w:val="0C3471"/>
        </w:rPr>
        <w:t>Skills &amp; Qualifications:</w:t>
      </w:r>
    </w:p>
    <w:p>
      <w:pPr>
        <w:spacing w:after="0" w:line="140" w:lineRule="exact"/>
        <w:rPr>
          <w:sz w:val="20"/>
          <w:szCs w:val="20"/>
          <w:color w:val="auto"/>
        </w:rPr>
      </w:pPr>
    </w:p>
    <w:p>
      <w:pPr>
        <w:ind w:left="8" w:right="140"/>
        <w:spacing w:after="0" w:line="283" w:lineRule="auto"/>
        <w:rPr>
          <w:sz w:val="20"/>
          <w:szCs w:val="20"/>
          <w:color w:val="auto"/>
        </w:rPr>
      </w:pPr>
      <w:r>
        <w:rPr>
          <w:rFonts w:ascii="Arial" w:cs="Arial" w:eastAsia="Arial" w:hAnsi="Arial"/>
          <w:sz w:val="16"/>
          <w:szCs w:val="16"/>
          <w:color w:val="auto"/>
        </w:rPr>
        <w:t>Ms. Williamson brings to our Board extensive financial and accounting knowledge and experience, including her service as a principal financial officer and an independent auditor to numerous Fortune 250 companies and her professional training and standing as a Certified Public Accountant, as well as her broad experience with SEC reporting and governance matters.</w:t>
      </w:r>
    </w:p>
    <w:p>
      <w:pPr>
        <w:spacing w:after="0" w:line="200" w:lineRule="exact"/>
        <w:rPr>
          <w:sz w:val="20"/>
          <w:szCs w:val="20"/>
          <w:color w:val="auto"/>
        </w:rPr>
      </w:pPr>
    </w:p>
    <w:p>
      <w:pPr>
        <w:sectPr>
          <w:pgSz w:w="11900" w:h="16838" w:orient="portrait"/>
          <w:cols w:equalWidth="0" w:num="2">
            <w:col w:w="1966" w:space="720"/>
            <w:col w:w="8148"/>
          </w:cols>
          <w:pgMar w:left="346" w:top="314" w:right="7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574" w:hanging="574"/>
        <w:spacing w:after="0"/>
        <w:tabs>
          <w:tab w:leader="none" w:pos="574" w:val="left"/>
        </w:tabs>
        <w:numPr>
          <w:ilvl w:val="0"/>
          <w:numId w:val="35"/>
        </w:numPr>
        <w:rPr>
          <w:rFonts w:ascii="Arial" w:cs="Arial" w:eastAsia="Arial" w:hAnsi="Arial"/>
          <w:sz w:val="16"/>
          <w:szCs w:val="16"/>
          <w:b w:val="1"/>
          <w:bCs w:val="1"/>
          <w:color w:val="auto"/>
        </w:rPr>
      </w:pPr>
      <w:r>
        <w:rPr>
          <w:rFonts w:ascii="Arial" w:cs="Arial" w:eastAsia="Arial" w:hAnsi="Arial"/>
          <w:sz w:val="16"/>
          <w:szCs w:val="16"/>
          <w:color w:val="auto"/>
        </w:rPr>
        <w:t xml:space="preserve">Pentair </w:t>
      </w:r>
      <w:r>
        <w:rPr>
          <w:rFonts w:ascii="Arial" w:cs="Arial" w:eastAsia="Arial" w:hAnsi="Arial"/>
          <w:sz w:val="16"/>
          <w:szCs w:val="16"/>
          <w:b w:val="1"/>
          <w:bCs w:val="1"/>
          <w:color w:val="0C3471"/>
        </w:rPr>
        <w:t>|</w:t>
      </w:r>
      <w:r>
        <w:rPr>
          <w:rFonts w:ascii="Arial" w:cs="Arial" w:eastAsia="Arial" w:hAnsi="Arial"/>
          <w:sz w:val="16"/>
          <w:szCs w:val="16"/>
          <w:color w:val="auto"/>
        </w:rPr>
        <w:t xml:space="preserve"> </w:t>
      </w:r>
      <w:r>
        <w:rPr>
          <w:rFonts w:ascii="Arial" w:cs="Arial" w:eastAsia="Arial" w:hAnsi="Arial"/>
          <w:sz w:val="16"/>
          <w:szCs w:val="16"/>
          <w:b w:val="1"/>
          <w:bCs w:val="1"/>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213995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34"/>
          </w:cols>
          <w:pgMar w:left="346" w:top="314" w:right="719" w:bottom="1440" w:gutter="0" w:footer="0" w:header="0"/>
          <w:type w:val="continuous"/>
        </w:sectPr>
      </w:pPr>
    </w:p>
    <w:bookmarkStart w:id="18" w:name="page19"/>
    <w:bookmarkEnd w:id="18"/>
    <w:p>
      <w:pPr>
        <w:ind w:left="980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6080125</wp:posOffset>
            </wp:positionH>
            <wp:positionV relativeFrom="page">
              <wp:posOffset>191770</wp:posOffset>
            </wp:positionV>
            <wp:extent cx="102870" cy="11112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clrChange>
                        <a:clrFrom>
                          <a:srgbClr val="FFFFFF"/>
                        </a:clrFrom>
                        <a:clrTo>
                          <a:srgbClr val="FFFFFF">
                            <a:alpha val="0"/>
                          </a:srgbClr>
                        </a:clrTo>
                      </a:clrChange>
                      <a:extLst>
                        <a:ext uri="{28A0092B-C50C-407E-A947-70E740481C1C}"/>
                      </a:extLst>
                    </a:blip>
                    <a:srcRect/>
                    <a:stretch>
                      <a:fillRect/>
                    </a:stretch>
                  </pic:blipFill>
                  <pic:spPr bwMode="auto">
                    <a:xfrm>
                      <a:off x="0" y="0"/>
                      <a:ext cx="102870" cy="111125"/>
                    </a:xfrm>
                    <a:prstGeom prst="rect">
                      <a:avLst/>
                    </a:prstGeom>
                    <a:noFill/>
                  </pic:spPr>
                </pic:pic>
              </a:graphicData>
            </a:graphic>
          </wp:anchor>
        </w:drawing>
        <w:t>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0"/>
        <w:spacing w:after="0"/>
        <w:rPr>
          <w:sz w:val="20"/>
          <w:szCs w:val="20"/>
          <w:color w:val="auto"/>
        </w:rPr>
      </w:pPr>
      <w:r>
        <w:rPr>
          <w:rFonts w:ascii="Arial" w:cs="Arial" w:eastAsia="Arial" w:hAnsi="Arial"/>
          <w:sz w:val="29"/>
          <w:szCs w:val="29"/>
          <w:color w:val="64A70B"/>
        </w:rPr>
        <w:t>Director Independence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13" w:lineRule="exact"/>
        <w:rPr>
          <w:sz w:val="20"/>
          <w:szCs w:val="20"/>
          <w:color w:val="auto"/>
        </w:rPr>
      </w:pPr>
    </w:p>
    <w:p>
      <w:pPr>
        <w:ind w:right="260"/>
        <w:spacing w:after="0" w:line="282" w:lineRule="auto"/>
        <w:rPr>
          <w:sz w:val="20"/>
          <w:szCs w:val="20"/>
          <w:color w:val="auto"/>
        </w:rPr>
      </w:pPr>
      <w:r>
        <w:rPr>
          <w:rFonts w:ascii="Arial" w:cs="Arial" w:eastAsia="Arial" w:hAnsi="Arial"/>
          <w:sz w:val="16"/>
          <w:szCs w:val="16"/>
          <w:color w:val="auto"/>
        </w:rPr>
        <w:t>The Board, based on the recommendation of the Governance Committee, determines the independence of each director based upon the New York Stock Exchange (“NYSE”) listing standards and the categorical standards of independence included in our Corporate Governance Principles. Based on these standards, the Board has affirmatively determined that all of our non-employee directors (i.e., Mses. Abutaleb, Barra, Doi, and Williamson and Messrs. Glenn, Harris, Jones, Knight, and Speetzen) are independent and have no material relationship with us (including our directors and officers) that would interfere with their exercise of independent judgment. Mr. Stauch, our President and Chief Executive Officer, is the only director who is not independent.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132320" cy="61722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617220"/>
                    </a:xfrm>
                    <a:prstGeom prst="rect">
                      <a:avLst/>
                    </a:prstGeom>
                    <a:noFill/>
                  </pic:spPr>
                </pic:pic>
              </a:graphicData>
            </a:graphic>
          </wp:anchor>
        </w:drawing>
      </w:r>
    </w:p>
    <w:p>
      <w:pPr>
        <w:spacing w:after="0" w:line="94" w:lineRule="exact"/>
        <w:rPr>
          <w:sz w:val="20"/>
          <w:szCs w:val="20"/>
          <w:color w:val="auto"/>
        </w:rPr>
      </w:pPr>
    </w:p>
    <w:p>
      <w:pPr>
        <w:ind w:left="1680"/>
        <w:spacing w:after="0"/>
        <w:tabs>
          <w:tab w:leader="none" w:pos="4460" w:val="left"/>
        </w:tabs>
        <w:rPr>
          <w:sz w:val="20"/>
          <w:szCs w:val="20"/>
          <w:color w:val="auto"/>
        </w:rPr>
      </w:pPr>
      <w:r>
        <w:rPr>
          <w:rFonts w:ascii="Arial" w:cs="Arial" w:eastAsia="Arial" w:hAnsi="Arial"/>
          <w:sz w:val="36"/>
          <w:szCs w:val="36"/>
          <w:b w:val="1"/>
          <w:bCs w:val="1"/>
          <w:color w:val="0C3471"/>
        </w:rPr>
        <w:t>9/10</w:t>
      </w:r>
      <w:r>
        <w:rPr>
          <w:sz w:val="20"/>
          <w:szCs w:val="20"/>
          <w:color w:val="auto"/>
        </w:rPr>
        <w:tab/>
      </w:r>
      <w:r>
        <w:rPr>
          <w:rFonts w:ascii="Arial" w:cs="Arial" w:eastAsia="Arial" w:hAnsi="Arial"/>
          <w:sz w:val="22"/>
          <w:szCs w:val="22"/>
          <w:color w:val="auto"/>
        </w:rPr>
        <w:t>All Board committees are comprised solely of independent directors</w:t>
      </w:r>
    </w:p>
    <w:p>
      <w:pPr>
        <w:spacing w:after="0" w:line="200" w:lineRule="exact"/>
        <w:rPr>
          <w:sz w:val="20"/>
          <w:szCs w:val="20"/>
          <w:color w:val="auto"/>
        </w:rPr>
      </w:pPr>
    </w:p>
    <w:p>
      <w:pPr>
        <w:ind w:left="620"/>
        <w:spacing w:after="0"/>
        <w:rPr>
          <w:sz w:val="20"/>
          <w:szCs w:val="20"/>
          <w:color w:val="auto"/>
        </w:rPr>
      </w:pPr>
      <w:r>
        <w:rPr>
          <w:rFonts w:ascii="Arial" w:cs="Arial" w:eastAsia="Arial" w:hAnsi="Arial"/>
          <w:sz w:val="18"/>
          <w:szCs w:val="18"/>
          <w:b w:val="1"/>
          <w:bCs w:val="1"/>
          <w:color w:val="0C3471"/>
        </w:rPr>
        <w:t>DIRECTORS ARE INDEPENDENT</w:t>
      </w:r>
    </w:p>
    <w:p>
      <w:pPr>
        <w:spacing w:after="0" w:line="333"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In determining independence, our Board and Governance Committee consider, among other things, circumstances where a director serves as an employee of another company that is a customer or supplier. The Board and Governance Committee have reviewed each of the relationships set forth below. In every case, the relationship involves sales to, or purchases from, the other company that for 2025, were (a) less than the greater of $1 million or 2% of that organization’s consolidated gross revenues during 2025; and (b) not of an amount or nature that impeded the director’s exercise of independent judgment.</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1420" w:type="dxa"/>
            <w:vAlign w:val="bottom"/>
            <w:tcBorders>
              <w:bottom w:val="single" w:sz="8" w:color="0C3471"/>
            </w:tcBorders>
          </w:tcPr>
          <w:p>
            <w:pPr>
              <w:ind w:left="20"/>
              <w:spacing w:after="0"/>
              <w:rPr>
                <w:sz w:val="20"/>
                <w:szCs w:val="20"/>
                <w:color w:val="auto"/>
              </w:rPr>
            </w:pPr>
            <w:r>
              <w:rPr>
                <w:rFonts w:ascii="Arial" w:cs="Arial" w:eastAsia="Arial" w:hAnsi="Arial"/>
                <w:sz w:val="14"/>
                <w:szCs w:val="14"/>
                <w:b w:val="1"/>
                <w:bCs w:val="1"/>
                <w:color w:val="auto"/>
              </w:rPr>
              <w:t>Director</w:t>
            </w:r>
          </w:p>
        </w:tc>
        <w:tc>
          <w:tcPr>
            <w:tcW w:w="9820" w:type="dxa"/>
            <w:vAlign w:val="bottom"/>
            <w:tcBorders>
              <w:bottom w:val="single" w:sz="8" w:color="0C3471"/>
            </w:tcBorders>
          </w:tcPr>
          <w:p>
            <w:pPr>
              <w:ind w:left="400"/>
              <w:spacing w:after="0"/>
              <w:rPr>
                <w:sz w:val="20"/>
                <w:szCs w:val="20"/>
                <w:color w:val="auto"/>
              </w:rPr>
            </w:pPr>
            <w:r>
              <w:rPr>
                <w:rFonts w:ascii="Arial" w:cs="Arial" w:eastAsia="Arial" w:hAnsi="Arial"/>
                <w:sz w:val="14"/>
                <w:szCs w:val="14"/>
                <w:b w:val="1"/>
                <w:bCs w:val="1"/>
                <w:color w:val="auto"/>
              </w:rPr>
              <w:t>Relationship(s) Considered</w:t>
            </w:r>
          </w:p>
        </w:tc>
      </w:tr>
      <w:tr>
        <w:trPr>
          <w:trHeight w:val="239"/>
        </w:trPr>
        <w:tc>
          <w:tcPr>
            <w:tcW w:w="1420" w:type="dxa"/>
            <w:vAlign w:val="bottom"/>
            <w:tcBorders>
              <w:bottom w:val="single" w:sz="8" w:color="0C3471"/>
            </w:tcBorders>
          </w:tcPr>
          <w:p>
            <w:pPr>
              <w:ind w:left="20"/>
              <w:spacing w:after="0"/>
              <w:rPr>
                <w:sz w:val="20"/>
                <w:szCs w:val="20"/>
                <w:color w:val="auto"/>
              </w:rPr>
            </w:pPr>
            <w:r>
              <w:rPr>
                <w:rFonts w:ascii="Arial" w:cs="Arial" w:eastAsia="Arial" w:hAnsi="Arial"/>
                <w:sz w:val="16"/>
                <w:szCs w:val="16"/>
                <w:b w:val="1"/>
                <w:bCs w:val="1"/>
                <w:color w:val="0C3471"/>
              </w:rPr>
              <w:t>Mr. Speetzen</w:t>
            </w:r>
          </w:p>
        </w:tc>
        <w:tc>
          <w:tcPr>
            <w:tcW w:w="9820" w:type="dxa"/>
            <w:vAlign w:val="bottom"/>
            <w:tcBorders>
              <w:bottom w:val="single" w:sz="8" w:color="0C3471"/>
            </w:tcBorders>
          </w:tcPr>
          <w:p>
            <w:pPr>
              <w:ind w:left="400"/>
              <w:spacing w:after="0"/>
              <w:rPr>
                <w:sz w:val="20"/>
                <w:szCs w:val="20"/>
                <w:color w:val="auto"/>
              </w:rPr>
            </w:pPr>
            <w:r>
              <w:rPr>
                <w:rFonts w:ascii="Arial" w:cs="Arial" w:eastAsia="Arial" w:hAnsi="Arial"/>
                <w:sz w:val="16"/>
                <w:szCs w:val="16"/>
                <w:color w:val="auto"/>
              </w:rPr>
              <w:t>Chief Executive Officer, Polaris Inc.</w:t>
            </w:r>
          </w:p>
        </w:tc>
      </w:tr>
    </w:tbl>
    <w:p>
      <w:pPr>
        <w:spacing w:after="0" w:line="400" w:lineRule="exact"/>
        <w:rPr>
          <w:sz w:val="20"/>
          <w:szCs w:val="20"/>
          <w:color w:val="auto"/>
        </w:rPr>
      </w:pPr>
    </w:p>
    <w:p>
      <w:pPr>
        <w:ind w:left="20"/>
        <w:spacing w:after="0"/>
        <w:rPr>
          <w:sz w:val="20"/>
          <w:szCs w:val="20"/>
          <w:color w:val="auto"/>
        </w:rPr>
      </w:pPr>
      <w:r>
        <w:rPr>
          <w:rFonts w:ascii="Arial" w:cs="Arial" w:eastAsia="Arial" w:hAnsi="Arial"/>
          <w:sz w:val="29"/>
          <w:szCs w:val="29"/>
          <w:color w:val="64A70B"/>
        </w:rPr>
        <w:t>Shareholder Recommendations, Nominations and Proxy Access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99"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Our Corporate Governance Principles provide that the Governance Committee will consider persons properly recommended by shareholders to become nominees for election as directors in accordance with the criteria described above under “Director Qualifications, Skills and Expertise.” Recommendations for consideration by the Governance Committee, together with appropriate biographical information concerning each proposed nominee, should be sent in writing to c/o Corporate Secretary, Pentair plc, Regal House, 70 London Road, Twickenham, London, TW1 3QS, United Kingdom.</w:t>
      </w:r>
    </w:p>
    <w:p>
      <w:pPr>
        <w:spacing w:after="0" w:line="72" w:lineRule="exact"/>
        <w:rPr>
          <w:sz w:val="20"/>
          <w:szCs w:val="20"/>
          <w:color w:val="auto"/>
        </w:rPr>
      </w:pPr>
    </w:p>
    <w:p>
      <w:pPr>
        <w:ind w:right="80"/>
        <w:spacing w:after="0" w:line="283" w:lineRule="auto"/>
        <w:rPr>
          <w:sz w:val="20"/>
          <w:szCs w:val="20"/>
          <w:color w:val="auto"/>
        </w:rPr>
      </w:pPr>
      <w:r>
        <w:rPr>
          <w:rFonts w:ascii="Arial" w:cs="Arial" w:eastAsia="Arial" w:hAnsi="Arial"/>
          <w:sz w:val="16"/>
          <w:szCs w:val="16"/>
          <w:color w:val="auto"/>
        </w:rPr>
        <w:t>Our Articles of Association set forth procedures to be followed by shareholders who wish to nominate candidates for election as directors in connection with an Annual General Meeting. All such nominations must be accompanied by certain background and other information specified in the Articles of Association and submitted within the timing requirements set forth in the Articles of Association. See “Shareholder Proposals and Nominations for the 2027 Annual General Meeting of Shareholders” below for more information.</w:t>
      </w:r>
    </w:p>
    <w:p>
      <w:pPr>
        <w:spacing w:after="0" w:line="77" w:lineRule="exact"/>
        <w:rPr>
          <w:sz w:val="20"/>
          <w:szCs w:val="20"/>
          <w:color w:val="auto"/>
        </w:rPr>
      </w:pPr>
    </w:p>
    <w:p>
      <w:pPr>
        <w:ind w:right="140"/>
        <w:spacing w:after="0" w:line="289" w:lineRule="auto"/>
        <w:rPr>
          <w:sz w:val="20"/>
          <w:szCs w:val="20"/>
          <w:color w:val="auto"/>
        </w:rPr>
      </w:pPr>
      <w:r>
        <w:rPr>
          <w:rFonts w:ascii="Arial" w:cs="Arial" w:eastAsia="Arial" w:hAnsi="Arial"/>
          <w:sz w:val="16"/>
          <w:szCs w:val="16"/>
          <w:color w:val="auto"/>
        </w:rPr>
        <w:t>In addition, eligible shareholders may under certain circumstances be able to nominate and include in our proxy materials a specified number of candidates for election as directors under the proxy access provisions in our Articles of Association. All such nominations must be accompanied by certain background and other information specified in our Articles of Association and submitted within the timing requirements set forth in our Articles of Association. See “Shareholder Proposals and Nominations for the 2027 Annual General Meeting of Shareholders” below for more information.</w:t>
      </w: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10780" w:type="dxa"/>
            <w:vAlign w:val="bottom"/>
          </w:tcPr>
          <w:p>
            <w:pPr>
              <w:ind w:left="8260"/>
              <w:spacing w:after="0"/>
              <w:rPr>
                <w:sz w:val="20"/>
                <w:szCs w:val="20"/>
                <w:color w:val="auto"/>
              </w:rPr>
            </w:pPr>
            <w:r>
              <w:rPr>
                <w:rFonts w:ascii="Arial" w:cs="Arial" w:eastAsia="Arial" w:hAnsi="Arial"/>
                <w:sz w:val="16"/>
                <w:szCs w:val="16"/>
                <w:b w:val="1"/>
                <w:bCs w:val="1"/>
                <w:color w:val="auto"/>
              </w:rPr>
              <w:t xml:space="preserve">2026 Proxy Statement </w:t>
            </w:r>
            <w:r>
              <w:rPr>
                <w:rFonts w:ascii="Arial" w:cs="Arial" w:eastAsia="Arial" w:hAnsi="Arial"/>
                <w:sz w:val="16"/>
                <w:szCs w:val="16"/>
                <w:b w:val="1"/>
                <w:bCs w:val="1"/>
                <w:color w:val="0C3471"/>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Pentair</w:t>
            </w:r>
          </w:p>
        </w:tc>
        <w:tc>
          <w:tcPr>
            <w:tcW w:w="460" w:type="dxa"/>
            <w:vAlign w:val="bottom"/>
          </w:tcPr>
          <w:p>
            <w:pPr>
              <w:jc w:val="right"/>
              <w:spacing w:after="0"/>
              <w:rPr>
                <w:sz w:val="20"/>
                <w:szCs w:val="20"/>
                <w:color w:val="auto"/>
              </w:rPr>
            </w:pPr>
            <w:r>
              <w:rPr>
                <w:rFonts w:ascii="Arial" w:cs="Arial" w:eastAsia="Arial" w:hAnsi="Arial"/>
                <w:sz w:val="16"/>
                <w:szCs w:val="16"/>
                <w:b w:val="1"/>
                <w:bCs w:val="1"/>
                <w:color w:val="auto"/>
              </w:rPr>
              <w:t>17</w:t>
            </w:r>
          </w:p>
        </w:tc>
      </w:tr>
      <w:tr>
        <w:trPr>
          <w:trHeight w:val="312"/>
        </w:trPr>
        <w:tc>
          <w:tcPr>
            <w:tcW w:w="107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14" w:right="339" w:bottom="1440" w:gutter="0" w:footer="0" w:header="0"/>
        </w:sectPr>
      </w:pPr>
    </w:p>
    <w:bookmarkStart w:id="19" w:name="page20"/>
    <w:bookmarkEnd w:id="19"/>
    <w:p>
      <w:pPr>
        <w:spacing w:after="0" w:line="7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216535</wp:posOffset>
            </wp:positionH>
            <wp:positionV relativeFrom="page">
              <wp:posOffset>877570</wp:posOffset>
            </wp:positionV>
            <wp:extent cx="445770" cy="47180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clrChange>
                        <a:clrFrom>
                          <a:srgbClr val="FFFFFF"/>
                        </a:clrFrom>
                        <a:clrTo>
                          <a:srgbClr val="FFFFFF">
                            <a:alpha val="0"/>
                          </a:srgbClr>
                        </a:clrTo>
                      </a:clrChange>
                      <a:extLst>
                        <a:ext uri="{28A0092B-C50C-407E-A947-70E740481C1C}"/>
                      </a:extLst>
                    </a:blip>
                    <a:srcRect/>
                    <a:stretch>
                      <a:fillRect/>
                    </a:stretch>
                  </pic:blipFill>
                  <pic:spPr bwMode="auto">
                    <a:xfrm>
                      <a:off x="0" y="0"/>
                      <a:ext cx="445770" cy="471805"/>
                    </a:xfrm>
                    <a:prstGeom prst="rect">
                      <a:avLst/>
                    </a:prstGeom>
                    <a:noFill/>
                  </pic:spPr>
                </pic:pic>
              </a:graphicData>
            </a:graphic>
          </wp:anchor>
        </w:drawing>
      </w:r>
    </w:p>
    <w:p>
      <w:pPr>
        <w:ind w:left="1080"/>
        <w:spacing w:after="0"/>
        <w:rPr>
          <w:sz w:val="20"/>
          <w:szCs w:val="20"/>
          <w:color w:val="auto"/>
        </w:rPr>
      </w:pPr>
      <w:r>
        <w:rPr>
          <w:rFonts w:ascii="Arial" w:cs="Arial" w:eastAsia="Arial" w:hAnsi="Arial"/>
          <w:sz w:val="43"/>
          <w:szCs w:val="43"/>
          <w:b w:val="1"/>
          <w:bCs w:val="1"/>
          <w:color w:val="0C3471"/>
        </w:rPr>
        <w:t>Sustainability Overview</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right="240"/>
        <w:spacing w:after="0" w:line="292" w:lineRule="auto"/>
        <w:rPr>
          <w:sz w:val="20"/>
          <w:szCs w:val="20"/>
          <w:color w:val="auto"/>
        </w:rPr>
      </w:pPr>
      <w:r>
        <w:rPr>
          <w:rFonts w:ascii="Arial" w:cs="Arial" w:eastAsia="Arial" w:hAnsi="Arial"/>
          <w:sz w:val="16"/>
          <w:szCs w:val="16"/>
          <w:color w:val="auto"/>
        </w:rPr>
        <w:t>We are focused on creating a better world for people and the planet through smart, sustainable water solutions. We are committed to continue building on our Win Right values and culture by contributing to the development of a sustainable and responsible society that we believe will help drive our future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56" w:lineRule="exact"/>
        <w:rPr>
          <w:sz w:val="20"/>
          <w:szCs w:val="20"/>
          <w:color w:val="auto"/>
        </w:rPr>
      </w:pPr>
    </w:p>
    <w:p>
      <w:pPr>
        <w:ind w:left="540"/>
        <w:spacing w:after="0"/>
        <w:rPr>
          <w:sz w:val="20"/>
          <w:szCs w:val="20"/>
          <w:color w:val="auto"/>
        </w:rPr>
      </w:pPr>
      <w:r>
        <w:rPr>
          <w:rFonts w:ascii="Arial" w:cs="Arial" w:eastAsia="Arial" w:hAnsi="Arial"/>
          <w:sz w:val="28"/>
          <w:szCs w:val="28"/>
          <w:b w:val="1"/>
          <w:bCs w:val="1"/>
          <w:color w:val="0C3471"/>
        </w:rPr>
        <w:t>ENVIRONMENT</w:t>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We are focused on strategic targets associated with restoration of water volume withdrawn by Pentair manufacturing sites in high-water-stress areas annually, reducing our baseline greenhouse gas emissions and assessing new products against our sustainability scorecard.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-2089785</wp:posOffset>
            </wp:positionH>
            <wp:positionV relativeFrom="paragraph">
              <wp:posOffset>23495</wp:posOffset>
            </wp:positionV>
            <wp:extent cx="713232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660" w:space="640"/>
            <w:col w:w="7940"/>
          </w:cols>
          <w:pgMar w:left="320" w:top="1440" w:right="339" w:bottom="1440" w:gutter="0" w:footer="0" w:header="0"/>
          <w:type w:val="continuous"/>
        </w:sectPr>
      </w:pPr>
    </w:p>
    <w:p>
      <w:pPr>
        <w:spacing w:after="0" w:line="249" w:lineRule="exact"/>
        <w:rPr>
          <w:sz w:val="20"/>
          <w:szCs w:val="20"/>
          <w:color w:val="auto"/>
        </w:rPr>
      </w:pPr>
    </w:p>
    <w:p>
      <w:pPr>
        <w:ind w:left="1020"/>
        <w:spacing w:after="0"/>
        <w:rPr>
          <w:sz w:val="20"/>
          <w:szCs w:val="20"/>
          <w:color w:val="auto"/>
        </w:rPr>
      </w:pPr>
      <w:r>
        <w:rPr>
          <w:rFonts w:ascii="Arial" w:cs="Arial" w:eastAsia="Arial" w:hAnsi="Arial"/>
          <w:sz w:val="28"/>
          <w:szCs w:val="28"/>
          <w:b w:val="1"/>
          <w:bCs w:val="1"/>
          <w:color w:val="0C3471"/>
        </w:rPr>
        <w:t>PEOPLE</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p>
    <w:p>
      <w:pPr>
        <w:ind w:right="40"/>
        <w:spacing w:after="0" w:line="265" w:lineRule="auto"/>
        <w:rPr>
          <w:sz w:val="20"/>
          <w:szCs w:val="20"/>
          <w:color w:val="auto"/>
        </w:rPr>
      </w:pPr>
      <w:r>
        <w:rPr>
          <w:rFonts w:ascii="Arial" w:cs="Arial" w:eastAsia="Arial" w:hAnsi="Arial"/>
          <w:sz w:val="16"/>
          <w:szCs w:val="16"/>
          <w:color w:val="auto"/>
        </w:rPr>
        <w:t>We are focused on enhancing our efforts to engage our suppliers, customers and employees. We partner with our suppliers to build a more sustainable supply chain, including through our supplier code of conduct. We are also focused on continuing our employee engagement efforts. We also remain committed to providing a safe and inclusive workplace for all our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-2140585</wp:posOffset>
            </wp:positionH>
            <wp:positionV relativeFrom="paragraph">
              <wp:posOffset>93345</wp:posOffset>
            </wp:positionV>
            <wp:extent cx="71323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660" w:space="720"/>
            <w:col w:w="7860"/>
          </w:cols>
          <w:pgMar w:left="320" w:top="1440" w:right="339" w:bottom="1440" w:gutter="0" w:footer="0" w:header="0"/>
          <w:type w:val="continuous"/>
        </w:sectPr>
      </w:pPr>
    </w:p>
    <w:p>
      <w:pPr>
        <w:spacing w:after="0" w:line="229" w:lineRule="exact"/>
        <w:rPr>
          <w:sz w:val="20"/>
          <w:szCs w:val="20"/>
          <w:color w:val="auto"/>
        </w:rPr>
      </w:pPr>
    </w:p>
    <w:p>
      <w:pPr>
        <w:ind w:right="360"/>
        <w:spacing w:after="0" w:line="321" w:lineRule="auto"/>
        <w:rPr>
          <w:sz w:val="20"/>
          <w:szCs w:val="20"/>
          <w:color w:val="auto"/>
        </w:rPr>
      </w:pPr>
      <w:r>
        <w:rPr>
          <w:rFonts w:ascii="Arial" w:cs="Arial" w:eastAsia="Arial" w:hAnsi="Arial"/>
          <w:sz w:val="16"/>
          <w:szCs w:val="16"/>
          <w:color w:val="auto"/>
        </w:rPr>
        <w:t>For more information on our sustainability efforts, please visit the Sustainability page of our website, where our reports on sustainability and corporate responsibility are located. This information and the reports are not incorporated by reference herein and do not constitute a part of this Proxy Statement.</w:t>
      </w:r>
    </w:p>
    <w:p>
      <w:pPr>
        <w:spacing w:after="0" w:line="172"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Sustainability Governance</w:t>
      </w:r>
    </w:p>
    <w:p>
      <w:pPr>
        <w:spacing w:after="0" w:line="141" w:lineRule="exact"/>
        <w:rPr>
          <w:sz w:val="20"/>
          <w:szCs w:val="20"/>
          <w:color w:val="auto"/>
        </w:rPr>
      </w:pPr>
    </w:p>
    <w:p>
      <w:pPr>
        <w:ind w:right="200"/>
        <w:spacing w:after="0" w:line="304" w:lineRule="auto"/>
        <w:rPr>
          <w:sz w:val="20"/>
          <w:szCs w:val="20"/>
          <w:color w:val="auto"/>
        </w:rPr>
      </w:pPr>
      <w:r>
        <w:rPr>
          <w:rFonts w:ascii="Arial" w:cs="Arial" w:eastAsia="Arial" w:hAnsi="Arial"/>
          <w:sz w:val="16"/>
          <w:szCs w:val="16"/>
          <w:color w:val="auto"/>
        </w:rPr>
        <w:t>Our Board oversees our environmental, social and governance strategies, including sustainability strategic targets, communications, and risks. In addition, the Governance Committee oversees our sustainability strategy and risks, including business sustainability risks.</w:t>
      </w:r>
    </w:p>
    <w:p>
      <w:pPr>
        <w:spacing w:after="0" w:line="60" w:lineRule="exact"/>
        <w:rPr>
          <w:sz w:val="20"/>
          <w:szCs w:val="20"/>
          <w:color w:val="auto"/>
        </w:rPr>
      </w:pPr>
    </w:p>
    <w:p>
      <w:pPr>
        <w:ind w:right="60"/>
        <w:spacing w:after="0" w:line="304" w:lineRule="auto"/>
        <w:rPr>
          <w:sz w:val="20"/>
          <w:szCs w:val="20"/>
          <w:color w:val="auto"/>
        </w:rPr>
      </w:pPr>
      <w:r>
        <w:rPr>
          <w:rFonts w:ascii="Arial" w:cs="Arial" w:eastAsia="Arial" w:hAnsi="Arial"/>
          <w:sz w:val="16"/>
          <w:szCs w:val="16"/>
          <w:color w:val="auto"/>
        </w:rPr>
        <w:t>Our Vice President of Sustainability leads Pentair’s sustainability programs and reports to our Chief Strategy, Innovation and Digital Officer. Regular updates on our sustainability program are provided to the Governance Committee, and at least annually to the full Board.</w:t>
      </w:r>
    </w:p>
    <w:p>
      <w:pPr>
        <w:spacing w:after="0" w:line="60" w:lineRule="exact"/>
        <w:rPr>
          <w:sz w:val="20"/>
          <w:szCs w:val="20"/>
          <w:color w:val="auto"/>
        </w:rPr>
      </w:pPr>
    </w:p>
    <w:p>
      <w:pPr>
        <w:ind w:right="620"/>
        <w:spacing w:after="0" w:line="292" w:lineRule="auto"/>
        <w:rPr>
          <w:sz w:val="20"/>
          <w:szCs w:val="20"/>
          <w:color w:val="auto"/>
        </w:rPr>
      </w:pPr>
      <w:r>
        <w:rPr>
          <w:rFonts w:ascii="Arial" w:cs="Arial" w:eastAsia="Arial" w:hAnsi="Arial"/>
          <w:sz w:val="16"/>
          <w:szCs w:val="16"/>
          <w:color w:val="auto"/>
        </w:rPr>
        <w:t>Under the leadership of our Vice President of Sustainability, we have a team of professionals dedicated to executing our sustainability strategy and managing sustainability policies, programs, initiatives and reporting. Cross functional leaders work with our dedicated sustainability team to integrate sustainability into their functions and businesses and drive a sustainability culture.</w:t>
      </w:r>
    </w:p>
    <w:p>
      <w:pPr>
        <w:spacing w:after="0" w:line="71"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Through our enterprise risk management and business risk review process, we assess severe weather and climate risks across our portfolio. Our risk assessments provide us with insights for determining applicable management and mitigation measures so that we can take appropriate preventative steps to improve and promote business resiliency and continuity for our operations and our customers. We have internal audit and third-party assurance processes to assess our procedures.</w:t>
      </w:r>
    </w:p>
    <w:p>
      <w:pPr>
        <w:spacing w:after="0" w:line="59" w:lineRule="exact"/>
        <w:rPr>
          <w:sz w:val="20"/>
          <w:szCs w:val="20"/>
          <w:color w:val="auto"/>
        </w:rPr>
      </w:pPr>
    </w:p>
    <w:p>
      <w:pPr>
        <w:ind w:right="200"/>
        <w:spacing w:after="0" w:line="321" w:lineRule="auto"/>
        <w:rPr>
          <w:sz w:val="20"/>
          <w:szCs w:val="20"/>
          <w:color w:val="auto"/>
        </w:rPr>
      </w:pPr>
      <w:r>
        <w:rPr>
          <w:rFonts w:ascii="Arial" w:cs="Arial" w:eastAsia="Arial" w:hAnsi="Arial"/>
          <w:sz w:val="16"/>
          <w:szCs w:val="16"/>
          <w:color w:val="auto"/>
        </w:rPr>
        <w:t>Our efforts center around our culture of Winning Right, which includes focusing on compliance and continuing to prioritize providing a safe environment for our employees.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600" w:hanging="574"/>
        <w:spacing w:after="0"/>
        <w:tabs>
          <w:tab w:leader="none" w:pos="600" w:val="left"/>
        </w:tabs>
        <w:numPr>
          <w:ilvl w:val="0"/>
          <w:numId w:val="36"/>
        </w:numPr>
        <w:rPr>
          <w:rFonts w:ascii="Arial" w:cs="Arial" w:eastAsia="Arial" w:hAnsi="Arial"/>
          <w:sz w:val="16"/>
          <w:szCs w:val="16"/>
          <w:b w:val="1"/>
          <w:bCs w:val="1"/>
          <w:color w:val="auto"/>
        </w:rPr>
      </w:pPr>
      <w:r>
        <w:rPr>
          <w:rFonts w:ascii="Arial" w:cs="Arial" w:eastAsia="Arial" w:hAnsi="Arial"/>
          <w:sz w:val="16"/>
          <w:szCs w:val="16"/>
          <w:color w:val="auto"/>
        </w:rPr>
        <w:t xml:space="preserve">Pentair </w:t>
      </w:r>
      <w:r>
        <w:rPr>
          <w:rFonts w:ascii="Arial" w:cs="Arial" w:eastAsia="Arial" w:hAnsi="Arial"/>
          <w:sz w:val="16"/>
          <w:szCs w:val="16"/>
          <w:b w:val="1"/>
          <w:bCs w:val="1"/>
          <w:color w:val="0C3471"/>
        </w:rPr>
        <w:t>|</w:t>
      </w:r>
      <w:r>
        <w:rPr>
          <w:rFonts w:ascii="Arial" w:cs="Arial" w:eastAsia="Arial" w:hAnsi="Arial"/>
          <w:sz w:val="16"/>
          <w:szCs w:val="16"/>
          <w:color w:val="auto"/>
        </w:rPr>
        <w:t xml:space="preserve"> </w:t>
      </w:r>
      <w:r>
        <w:rPr>
          <w:rFonts w:ascii="Arial" w:cs="Arial" w:eastAsia="Arial" w:hAnsi="Arial"/>
          <w:sz w:val="16"/>
          <w:szCs w:val="16"/>
          <w:b w:val="1"/>
          <w:bCs w:val="1"/>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205105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20" w:name="page21"/>
    <w:bookmarkEnd w:id="20"/>
    <w:p>
      <w:pPr>
        <w:spacing w:after="0" w:line="7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216535</wp:posOffset>
            </wp:positionH>
            <wp:positionV relativeFrom="page">
              <wp:posOffset>877570</wp:posOffset>
            </wp:positionV>
            <wp:extent cx="445770" cy="47180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clrChange>
                        <a:clrFrom>
                          <a:srgbClr val="FFFFFF"/>
                        </a:clrFrom>
                        <a:clrTo>
                          <a:srgbClr val="FFFFFF">
                            <a:alpha val="0"/>
                          </a:srgbClr>
                        </a:clrTo>
                      </a:clrChange>
                      <a:extLst>
                        <a:ext uri="{28A0092B-C50C-407E-A947-70E740481C1C}"/>
                      </a:extLst>
                    </a:blip>
                    <a:srcRect/>
                    <a:stretch>
                      <a:fillRect/>
                    </a:stretch>
                  </pic:blipFill>
                  <pic:spPr bwMode="auto">
                    <a:xfrm>
                      <a:off x="0" y="0"/>
                      <a:ext cx="445770" cy="471805"/>
                    </a:xfrm>
                    <a:prstGeom prst="rect">
                      <a:avLst/>
                    </a:prstGeom>
                    <a:noFill/>
                  </pic:spPr>
                </pic:pic>
              </a:graphicData>
            </a:graphic>
          </wp:anchor>
        </w:drawing>
      </w:r>
    </w:p>
    <w:p>
      <w:pPr>
        <w:ind w:left="1080"/>
        <w:spacing w:after="0"/>
        <w:rPr>
          <w:sz w:val="20"/>
          <w:szCs w:val="20"/>
          <w:color w:val="auto"/>
        </w:rPr>
      </w:pPr>
      <w:r>
        <w:rPr>
          <w:rFonts w:ascii="Arial" w:cs="Arial" w:eastAsia="Arial" w:hAnsi="Arial"/>
          <w:sz w:val="43"/>
          <w:szCs w:val="43"/>
          <w:b w:val="1"/>
          <w:bCs w:val="1"/>
          <w:color w:val="0C3471"/>
        </w:rPr>
        <w:t>Corporate Governance</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32"/>
          <w:szCs w:val="32"/>
          <w:color w:val="0C3471"/>
        </w:rPr>
        <w:t>Board Structure and Processes</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auto"/>
        </w:rPr>
        <w:t>We and our Board are committed to the highest standards of corporate governance and ethics. As part of this commitment, the Board has adopted a set of</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Corporate Governance Principles that sets forth our policies on:</w:t>
      </w:r>
    </w:p>
    <w:p>
      <w:pPr>
        <w:spacing w:after="0" w:line="101" w:lineRule="exact"/>
        <w:rPr>
          <w:sz w:val="20"/>
          <w:szCs w:val="20"/>
          <w:color w:val="auto"/>
        </w:rPr>
      </w:pPr>
    </w:p>
    <w:p>
      <w:pPr>
        <w:ind w:left="160" w:hanging="152"/>
        <w:spacing w:after="0"/>
        <w:tabs>
          <w:tab w:leader="none" w:pos="160" w:val="left"/>
        </w:tabs>
        <w:numPr>
          <w:ilvl w:val="0"/>
          <w:numId w:val="37"/>
        </w:numPr>
        <w:rPr>
          <w:rFonts w:ascii="Arial" w:cs="Arial" w:eastAsia="Arial" w:hAnsi="Arial"/>
          <w:sz w:val="13"/>
          <w:szCs w:val="13"/>
          <w:color w:val="64A70B"/>
        </w:rPr>
      </w:pPr>
      <w:r>
        <w:rPr>
          <w:rFonts w:ascii="Arial" w:cs="Arial" w:eastAsia="Arial" w:hAnsi="Arial"/>
          <w:sz w:val="16"/>
          <w:szCs w:val="16"/>
          <w:color w:val="auto"/>
        </w:rPr>
        <w:t>selection and composition of the Board;</w:t>
      </w:r>
    </w:p>
    <w:p>
      <w:pPr>
        <w:spacing w:after="0" w:line="72" w:lineRule="exact"/>
        <w:rPr>
          <w:rFonts w:ascii="Arial" w:cs="Arial" w:eastAsia="Arial" w:hAnsi="Arial"/>
          <w:sz w:val="13"/>
          <w:szCs w:val="13"/>
          <w:color w:val="64A70B"/>
        </w:rPr>
      </w:pPr>
    </w:p>
    <w:p>
      <w:pPr>
        <w:ind w:left="160" w:hanging="152"/>
        <w:spacing w:after="0"/>
        <w:tabs>
          <w:tab w:leader="none" w:pos="160" w:val="left"/>
        </w:tabs>
        <w:numPr>
          <w:ilvl w:val="0"/>
          <w:numId w:val="37"/>
        </w:numPr>
        <w:rPr>
          <w:rFonts w:ascii="Arial" w:cs="Arial" w:eastAsia="Arial" w:hAnsi="Arial"/>
          <w:sz w:val="13"/>
          <w:szCs w:val="13"/>
          <w:color w:val="64A70B"/>
        </w:rPr>
      </w:pPr>
      <w:r>
        <w:rPr>
          <w:rFonts w:ascii="Arial" w:cs="Arial" w:eastAsia="Arial" w:hAnsi="Arial"/>
          <w:sz w:val="16"/>
          <w:szCs w:val="16"/>
          <w:color w:val="auto"/>
        </w:rPr>
        <w:t>Board leadership;</w:t>
      </w:r>
    </w:p>
    <w:p>
      <w:pPr>
        <w:spacing w:after="0" w:line="59" w:lineRule="exact"/>
        <w:rPr>
          <w:rFonts w:ascii="Arial" w:cs="Arial" w:eastAsia="Arial" w:hAnsi="Arial"/>
          <w:sz w:val="13"/>
          <w:szCs w:val="13"/>
          <w:color w:val="64A70B"/>
        </w:rPr>
      </w:pPr>
    </w:p>
    <w:p>
      <w:pPr>
        <w:ind w:left="160" w:hanging="152"/>
        <w:spacing w:after="0"/>
        <w:tabs>
          <w:tab w:leader="none" w:pos="160" w:val="left"/>
        </w:tabs>
        <w:numPr>
          <w:ilvl w:val="0"/>
          <w:numId w:val="37"/>
        </w:numPr>
        <w:rPr>
          <w:rFonts w:ascii="Arial" w:cs="Arial" w:eastAsia="Arial" w:hAnsi="Arial"/>
          <w:sz w:val="13"/>
          <w:szCs w:val="13"/>
          <w:color w:val="64A70B"/>
        </w:rPr>
      </w:pPr>
      <w:r>
        <w:rPr>
          <w:rFonts w:ascii="Arial" w:cs="Arial" w:eastAsia="Arial" w:hAnsi="Arial"/>
          <w:sz w:val="16"/>
          <w:szCs w:val="16"/>
          <w:color w:val="auto"/>
        </w:rPr>
        <w:t>Board performance;</w:t>
      </w:r>
    </w:p>
    <w:p>
      <w:pPr>
        <w:spacing w:after="0" w:line="59" w:lineRule="exact"/>
        <w:rPr>
          <w:rFonts w:ascii="Arial" w:cs="Arial" w:eastAsia="Arial" w:hAnsi="Arial"/>
          <w:sz w:val="13"/>
          <w:szCs w:val="13"/>
          <w:color w:val="64A70B"/>
        </w:rPr>
      </w:pPr>
    </w:p>
    <w:p>
      <w:pPr>
        <w:ind w:left="160" w:hanging="152"/>
        <w:spacing w:after="0"/>
        <w:tabs>
          <w:tab w:leader="none" w:pos="160" w:val="left"/>
        </w:tabs>
        <w:numPr>
          <w:ilvl w:val="0"/>
          <w:numId w:val="37"/>
        </w:numPr>
        <w:rPr>
          <w:rFonts w:ascii="Arial" w:cs="Arial" w:eastAsia="Arial" w:hAnsi="Arial"/>
          <w:sz w:val="13"/>
          <w:szCs w:val="13"/>
          <w:color w:val="64A70B"/>
        </w:rPr>
      </w:pPr>
      <w:r>
        <w:rPr>
          <w:rFonts w:ascii="Arial" w:cs="Arial" w:eastAsia="Arial" w:hAnsi="Arial"/>
          <w:sz w:val="16"/>
          <w:szCs w:val="16"/>
          <w:color w:val="auto"/>
        </w:rPr>
        <w:t>responsibilities of the Board;</w:t>
      </w:r>
    </w:p>
    <w:p>
      <w:pPr>
        <w:spacing w:after="0" w:line="72" w:lineRule="exact"/>
        <w:rPr>
          <w:rFonts w:ascii="Arial" w:cs="Arial" w:eastAsia="Arial" w:hAnsi="Arial"/>
          <w:sz w:val="13"/>
          <w:szCs w:val="13"/>
          <w:color w:val="64A70B"/>
        </w:rPr>
      </w:pPr>
    </w:p>
    <w:p>
      <w:pPr>
        <w:ind w:left="160" w:hanging="152"/>
        <w:spacing w:after="0"/>
        <w:tabs>
          <w:tab w:leader="none" w:pos="160" w:val="left"/>
        </w:tabs>
        <w:numPr>
          <w:ilvl w:val="0"/>
          <w:numId w:val="37"/>
        </w:numPr>
        <w:rPr>
          <w:rFonts w:ascii="Arial" w:cs="Arial" w:eastAsia="Arial" w:hAnsi="Arial"/>
          <w:sz w:val="13"/>
          <w:szCs w:val="13"/>
          <w:color w:val="64A70B"/>
        </w:rPr>
      </w:pPr>
      <w:r>
        <w:rPr>
          <w:rFonts w:ascii="Arial" w:cs="Arial" w:eastAsia="Arial" w:hAnsi="Arial"/>
          <w:sz w:val="16"/>
          <w:szCs w:val="16"/>
          <w:color w:val="auto"/>
        </w:rPr>
        <w:t>the Board’s relationship to senior management;</w:t>
      </w:r>
    </w:p>
    <w:p>
      <w:pPr>
        <w:spacing w:after="0" w:line="59" w:lineRule="exact"/>
        <w:rPr>
          <w:rFonts w:ascii="Arial" w:cs="Arial" w:eastAsia="Arial" w:hAnsi="Arial"/>
          <w:sz w:val="13"/>
          <w:szCs w:val="13"/>
          <w:color w:val="64A70B"/>
        </w:rPr>
      </w:pPr>
    </w:p>
    <w:p>
      <w:pPr>
        <w:ind w:left="160" w:hanging="152"/>
        <w:spacing w:after="0"/>
        <w:tabs>
          <w:tab w:leader="none" w:pos="160" w:val="left"/>
        </w:tabs>
        <w:numPr>
          <w:ilvl w:val="0"/>
          <w:numId w:val="37"/>
        </w:numPr>
        <w:rPr>
          <w:rFonts w:ascii="Arial" w:cs="Arial" w:eastAsia="Arial" w:hAnsi="Arial"/>
          <w:sz w:val="13"/>
          <w:szCs w:val="13"/>
          <w:color w:val="64A70B"/>
        </w:rPr>
      </w:pPr>
      <w:r>
        <w:rPr>
          <w:rFonts w:ascii="Arial" w:cs="Arial" w:eastAsia="Arial" w:hAnsi="Arial"/>
          <w:sz w:val="16"/>
          <w:szCs w:val="16"/>
          <w:color w:val="auto"/>
        </w:rPr>
        <w:t>meeting procedures;</w:t>
      </w:r>
    </w:p>
    <w:p>
      <w:pPr>
        <w:spacing w:after="0" w:line="72" w:lineRule="exact"/>
        <w:rPr>
          <w:rFonts w:ascii="Arial" w:cs="Arial" w:eastAsia="Arial" w:hAnsi="Arial"/>
          <w:sz w:val="13"/>
          <w:szCs w:val="13"/>
          <w:color w:val="64A70B"/>
        </w:rPr>
      </w:pPr>
    </w:p>
    <w:p>
      <w:pPr>
        <w:ind w:left="160" w:hanging="152"/>
        <w:spacing w:after="0"/>
        <w:tabs>
          <w:tab w:leader="none" w:pos="160" w:val="left"/>
        </w:tabs>
        <w:numPr>
          <w:ilvl w:val="0"/>
          <w:numId w:val="37"/>
        </w:numPr>
        <w:rPr>
          <w:rFonts w:ascii="Arial" w:cs="Arial" w:eastAsia="Arial" w:hAnsi="Arial"/>
          <w:sz w:val="13"/>
          <w:szCs w:val="13"/>
          <w:color w:val="64A70B"/>
        </w:rPr>
      </w:pPr>
      <w:r>
        <w:rPr>
          <w:rFonts w:ascii="Arial" w:cs="Arial" w:eastAsia="Arial" w:hAnsi="Arial"/>
          <w:sz w:val="16"/>
          <w:szCs w:val="16"/>
          <w:color w:val="auto"/>
        </w:rPr>
        <w:t>Board committee matters; and</w:t>
      </w:r>
    </w:p>
    <w:p>
      <w:pPr>
        <w:spacing w:after="0" w:line="72" w:lineRule="exact"/>
        <w:rPr>
          <w:rFonts w:ascii="Arial" w:cs="Arial" w:eastAsia="Arial" w:hAnsi="Arial"/>
          <w:sz w:val="13"/>
          <w:szCs w:val="13"/>
          <w:color w:val="64A70B"/>
        </w:rPr>
      </w:pPr>
    </w:p>
    <w:p>
      <w:pPr>
        <w:ind w:left="160" w:hanging="152"/>
        <w:spacing w:after="0"/>
        <w:tabs>
          <w:tab w:leader="none" w:pos="160" w:val="left"/>
        </w:tabs>
        <w:numPr>
          <w:ilvl w:val="0"/>
          <w:numId w:val="37"/>
        </w:numPr>
        <w:rPr>
          <w:rFonts w:ascii="Arial" w:cs="Arial" w:eastAsia="Arial" w:hAnsi="Arial"/>
          <w:sz w:val="13"/>
          <w:szCs w:val="13"/>
          <w:color w:val="64A70B"/>
        </w:rPr>
      </w:pPr>
      <w:r>
        <w:rPr>
          <w:rFonts w:ascii="Arial" w:cs="Arial" w:eastAsia="Arial" w:hAnsi="Arial"/>
          <w:sz w:val="16"/>
          <w:szCs w:val="16"/>
          <w:color w:val="auto"/>
        </w:rPr>
        <w:t>succession planning and leadership development.</w:t>
      </w:r>
    </w:p>
    <w:p>
      <w:pPr>
        <w:spacing w:after="0" w:line="127" w:lineRule="exact"/>
        <w:rPr>
          <w:sz w:val="20"/>
          <w:szCs w:val="20"/>
          <w:color w:val="auto"/>
        </w:rPr>
      </w:pPr>
    </w:p>
    <w:p>
      <w:pPr>
        <w:ind w:right="80"/>
        <w:spacing w:after="0" w:line="266" w:lineRule="auto"/>
        <w:rPr>
          <w:sz w:val="20"/>
          <w:szCs w:val="20"/>
          <w:color w:val="auto"/>
        </w:rPr>
      </w:pPr>
      <w:r>
        <w:rPr>
          <w:rFonts w:ascii="Arial" w:cs="Arial" w:eastAsia="Arial" w:hAnsi="Arial"/>
          <w:sz w:val="16"/>
          <w:szCs w:val="16"/>
          <w:color w:val="auto"/>
        </w:rPr>
        <w:t>The Board regularly reviews and, if appropriate, revises the Corporate Governance Principles and other governance documents, including the charters of its Audit and Finance, Compensation, and Governance committees, in accordance with rules of the Securities and Exchange Commission (“SEC”), the NYSE and Irish law.</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Copies of these documents are available on our website at </w:t>
      </w:r>
      <w:r>
        <w:rPr>
          <w:rFonts w:ascii="Arial" w:cs="Arial" w:eastAsia="Arial" w:hAnsi="Arial"/>
          <w:sz w:val="16"/>
          <w:szCs w:val="16"/>
          <w:color w:val="0C3471"/>
        </w:rPr>
        <w:t>https://www.pentair.com/en-us/about-pentair/corporate-governance.html</w:t>
      </w:r>
      <w:r>
        <w:rPr>
          <w:rFonts w:ascii="Arial" w:cs="Arial" w:eastAsia="Arial" w:hAnsi="Arial"/>
          <w:sz w:val="16"/>
          <w:szCs w:val="16"/>
          <w:color w:val="auto"/>
        </w:rPr>
        <w:t>.</w:t>
      </w:r>
    </w:p>
    <w:p>
      <w:pPr>
        <w:spacing w:after="0" w:line="200" w:lineRule="exact"/>
        <w:rPr>
          <w:sz w:val="20"/>
          <w:szCs w:val="20"/>
          <w:color w:val="auto"/>
        </w:rPr>
      </w:pPr>
    </w:p>
    <w:p>
      <w:pPr>
        <w:spacing w:after="0" w:line="287" w:lineRule="exact"/>
        <w:rPr>
          <w:sz w:val="20"/>
          <w:szCs w:val="20"/>
          <w:color w:val="auto"/>
        </w:rPr>
      </w:pPr>
    </w:p>
    <w:p>
      <w:pPr>
        <w:ind w:left="20"/>
        <w:spacing w:after="0"/>
        <w:rPr>
          <w:sz w:val="20"/>
          <w:szCs w:val="20"/>
          <w:color w:val="auto"/>
        </w:rPr>
      </w:pPr>
      <w:r>
        <w:rPr>
          <w:rFonts w:ascii="Arial" w:cs="Arial" w:eastAsia="Arial" w:hAnsi="Arial"/>
          <w:sz w:val="29"/>
          <w:szCs w:val="29"/>
          <w:color w:val="64A70B"/>
        </w:rPr>
        <w:t>Board Leadership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3232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80" w:lineRule="exact"/>
        <w:rPr>
          <w:sz w:val="20"/>
          <w:szCs w:val="20"/>
          <w:color w:val="auto"/>
        </w:rPr>
      </w:pPr>
    </w:p>
    <w:p>
      <w:pPr>
        <w:jc w:val="both"/>
        <w:ind w:right="40"/>
        <w:spacing w:after="0" w:line="265" w:lineRule="auto"/>
        <w:rPr>
          <w:sz w:val="20"/>
          <w:szCs w:val="20"/>
          <w:color w:val="auto"/>
        </w:rPr>
      </w:pPr>
      <w:r>
        <w:rPr>
          <w:rFonts w:ascii="Arial" w:cs="Arial" w:eastAsia="Arial" w:hAnsi="Arial"/>
          <w:sz w:val="16"/>
          <w:szCs w:val="16"/>
          <w:color w:val="auto"/>
        </w:rPr>
        <w:t>We do not have a policy requiring the positions of Chair of the Board and Chief Executive Officer to be held by different persons. Rather, the Board has the discretion to determine whether the positions should be combined or separated. Since 2018, the positions of Chief Executive Officer and Chair of the Board have been separated. The Board considers this leadership structure each year and continues to believe that it remains appropriate for our company to serve our shareholders by allowing our Chief Executive Officer to focus on business operations.</w:t>
      </w:r>
    </w:p>
    <w:p>
      <w:pPr>
        <w:spacing w:after="0" w:line="24" w:lineRule="exact"/>
        <w:rPr>
          <w:sz w:val="20"/>
          <w:szCs w:val="20"/>
          <w:color w:val="auto"/>
        </w:rPr>
      </w:pPr>
    </w:p>
    <w:p>
      <w:pPr>
        <w:ind w:right="160"/>
        <w:spacing w:after="0" w:line="271" w:lineRule="auto"/>
        <w:rPr>
          <w:sz w:val="20"/>
          <w:szCs w:val="20"/>
          <w:color w:val="auto"/>
        </w:rPr>
      </w:pPr>
      <w:r>
        <w:rPr>
          <w:rFonts w:ascii="Arial" w:cs="Arial" w:eastAsia="Arial" w:hAnsi="Arial"/>
          <w:sz w:val="16"/>
          <w:szCs w:val="16"/>
          <w:color w:val="auto"/>
        </w:rPr>
        <w:t>Mr. Stauch is our Chief Executive Officer, and Mr. Jones, an independent member of the Board, currently serves as Chair of the Board. Upon completion of the Annual General Meeting, Mr. Glenn, an independent member of the Board, will serve as Chair of the Board. The role of the Chair is to provide independent leadership to the Board, act as liaison between and among the non-employee directors and our company, and seek to ensure that the Board operates independently of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40575" cy="229743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40575" cy="229743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0C3471"/>
        </w:rPr>
        <w:t>T. MICHAEL GLENN</w:t>
      </w:r>
    </w:p>
    <w:p>
      <w:pPr>
        <w:spacing w:after="0" w:line="73" w:lineRule="exact"/>
        <w:rPr>
          <w:sz w:val="20"/>
          <w:szCs w:val="20"/>
          <w:color w:val="auto"/>
        </w:rPr>
      </w:pPr>
    </w:p>
    <w:p>
      <w:pPr>
        <w:ind w:left="160"/>
        <w:spacing w:after="0"/>
        <w:rPr>
          <w:sz w:val="20"/>
          <w:szCs w:val="20"/>
          <w:color w:val="auto"/>
        </w:rPr>
      </w:pPr>
      <w:r>
        <w:rPr>
          <w:rFonts w:ascii="Arial" w:cs="Arial" w:eastAsia="Arial" w:hAnsi="Arial"/>
          <w:sz w:val="14"/>
          <w:szCs w:val="14"/>
          <w:color w:val="auto"/>
        </w:rPr>
        <w:t>Chair of the Board*</w:t>
      </w:r>
    </w:p>
    <w:p>
      <w:pPr>
        <w:spacing w:after="0" w:line="244" w:lineRule="exact"/>
        <w:rPr>
          <w:sz w:val="20"/>
          <w:szCs w:val="20"/>
          <w:color w:val="auto"/>
        </w:rPr>
      </w:pPr>
    </w:p>
    <w:p>
      <w:pPr>
        <w:ind w:left="380" w:hanging="224"/>
        <w:spacing w:after="0"/>
        <w:tabs>
          <w:tab w:leader="none" w:pos="380" w:val="left"/>
        </w:tabs>
        <w:numPr>
          <w:ilvl w:val="0"/>
          <w:numId w:val="38"/>
        </w:numPr>
        <w:rPr>
          <w:rFonts w:ascii="Arial" w:cs="Arial" w:eastAsia="Arial" w:hAnsi="Arial"/>
          <w:sz w:val="14"/>
          <w:szCs w:val="14"/>
          <w:color w:val="auto"/>
        </w:rPr>
      </w:pPr>
      <w:r>
        <w:rPr>
          <w:rFonts w:ascii="Arial" w:cs="Arial" w:eastAsia="Arial" w:hAnsi="Arial"/>
          <w:sz w:val="14"/>
          <w:szCs w:val="14"/>
          <w:color w:val="auto"/>
        </w:rPr>
        <w:t>Upon completion of</w:t>
      </w:r>
    </w:p>
    <w:p>
      <w:pPr>
        <w:spacing w:after="0" w:line="29" w:lineRule="exact"/>
        <w:rPr>
          <w:sz w:val="20"/>
          <w:szCs w:val="20"/>
          <w:color w:val="auto"/>
        </w:rPr>
      </w:pPr>
    </w:p>
    <w:p>
      <w:pPr>
        <w:jc w:val="both"/>
        <w:ind w:left="360"/>
        <w:spacing w:after="0" w:line="272" w:lineRule="auto"/>
        <w:rPr>
          <w:sz w:val="20"/>
          <w:szCs w:val="20"/>
          <w:color w:val="auto"/>
        </w:rPr>
      </w:pPr>
      <w:r>
        <w:rPr>
          <w:rFonts w:ascii="Arial" w:cs="Arial" w:eastAsia="Arial" w:hAnsi="Arial"/>
          <w:sz w:val="14"/>
          <w:szCs w:val="14"/>
          <w:color w:val="auto"/>
        </w:rPr>
        <w:t>the Annual General Meeting, Mr. Glenn will serve as Chair of the Board.</w:t>
      </w:r>
    </w:p>
    <w:p>
      <w:pPr>
        <w:spacing w:after="0" w:line="20" w:lineRule="exact"/>
        <w:rPr>
          <w:sz w:val="20"/>
          <w:szCs w:val="20"/>
          <w:color w:val="auto"/>
        </w:rPr>
      </w:pPr>
      <w:r>
        <w:rPr>
          <w:sz w:val="20"/>
          <w:szCs w:val="20"/>
          <w:color w:val="auto"/>
        </w:rPr>
        <w:br w:type="column"/>
      </w:r>
    </w:p>
    <w:p>
      <w:pPr>
        <w:spacing w:after="0" w:line="242" w:lineRule="exact"/>
        <w:rPr>
          <w:sz w:val="20"/>
          <w:szCs w:val="20"/>
          <w:color w:val="auto"/>
        </w:rPr>
      </w:pPr>
    </w:p>
    <w:p>
      <w:pPr>
        <w:ind w:left="8"/>
        <w:spacing w:after="0"/>
        <w:rPr>
          <w:sz w:val="20"/>
          <w:szCs w:val="20"/>
          <w:color w:val="auto"/>
        </w:rPr>
      </w:pPr>
      <w:r>
        <w:rPr>
          <w:rFonts w:ascii="Arial" w:cs="Arial" w:eastAsia="Arial" w:hAnsi="Arial"/>
          <w:sz w:val="16"/>
          <w:szCs w:val="16"/>
          <w:color w:val="auto"/>
        </w:rPr>
        <w:t>The Chair’s principal responsibilities include:</w:t>
      </w:r>
    </w:p>
    <w:p>
      <w:pPr>
        <w:spacing w:after="0" w:line="113" w:lineRule="exact"/>
        <w:rPr>
          <w:sz w:val="20"/>
          <w:szCs w:val="20"/>
          <w:color w:val="auto"/>
        </w:rPr>
      </w:pPr>
    </w:p>
    <w:p>
      <w:pPr>
        <w:ind w:left="148" w:hanging="148"/>
        <w:spacing w:after="0"/>
        <w:tabs>
          <w:tab w:leader="none" w:pos="148" w:val="left"/>
        </w:tabs>
        <w:numPr>
          <w:ilvl w:val="0"/>
          <w:numId w:val="39"/>
        </w:numPr>
        <w:rPr>
          <w:rFonts w:ascii="Arial" w:cs="Arial" w:eastAsia="Arial" w:hAnsi="Arial"/>
          <w:sz w:val="13"/>
          <w:szCs w:val="13"/>
          <w:color w:val="64A70B"/>
        </w:rPr>
      </w:pPr>
      <w:r>
        <w:rPr>
          <w:rFonts w:ascii="Arial" w:cs="Arial" w:eastAsia="Arial" w:hAnsi="Arial"/>
          <w:sz w:val="16"/>
          <w:szCs w:val="16"/>
          <w:color w:val="auto"/>
        </w:rPr>
        <w:t>leading meetings of the Board;</w:t>
      </w:r>
    </w:p>
    <w:p>
      <w:pPr>
        <w:spacing w:after="0" w:line="72" w:lineRule="exact"/>
        <w:rPr>
          <w:rFonts w:ascii="Arial" w:cs="Arial" w:eastAsia="Arial" w:hAnsi="Arial"/>
          <w:sz w:val="13"/>
          <w:szCs w:val="13"/>
          <w:color w:val="64A70B"/>
        </w:rPr>
      </w:pPr>
    </w:p>
    <w:p>
      <w:pPr>
        <w:ind w:left="148" w:hanging="148"/>
        <w:spacing w:after="0"/>
        <w:tabs>
          <w:tab w:leader="none" w:pos="148" w:val="left"/>
        </w:tabs>
        <w:numPr>
          <w:ilvl w:val="0"/>
          <w:numId w:val="39"/>
        </w:numPr>
        <w:rPr>
          <w:rFonts w:ascii="Arial" w:cs="Arial" w:eastAsia="Arial" w:hAnsi="Arial"/>
          <w:sz w:val="13"/>
          <w:szCs w:val="13"/>
          <w:color w:val="64A70B"/>
        </w:rPr>
      </w:pPr>
      <w:r>
        <w:rPr>
          <w:rFonts w:ascii="Arial" w:cs="Arial" w:eastAsia="Arial" w:hAnsi="Arial"/>
          <w:sz w:val="16"/>
          <w:szCs w:val="16"/>
          <w:color w:val="auto"/>
        </w:rPr>
        <w:t>presiding over all executive sessions of the Board;</w:t>
      </w:r>
    </w:p>
    <w:p>
      <w:pPr>
        <w:spacing w:after="0" w:line="72" w:lineRule="exact"/>
        <w:rPr>
          <w:rFonts w:ascii="Arial" w:cs="Arial" w:eastAsia="Arial" w:hAnsi="Arial"/>
          <w:sz w:val="13"/>
          <w:szCs w:val="13"/>
          <w:color w:val="64A70B"/>
        </w:rPr>
      </w:pPr>
    </w:p>
    <w:p>
      <w:pPr>
        <w:ind w:left="188" w:right="620" w:hanging="188"/>
        <w:spacing w:after="0" w:line="286" w:lineRule="auto"/>
        <w:tabs>
          <w:tab w:leader="none" w:pos="144" w:val="left"/>
        </w:tabs>
        <w:numPr>
          <w:ilvl w:val="0"/>
          <w:numId w:val="39"/>
        </w:numPr>
        <w:rPr>
          <w:rFonts w:ascii="Arial" w:cs="Arial" w:eastAsia="Arial" w:hAnsi="Arial"/>
          <w:sz w:val="13"/>
          <w:szCs w:val="13"/>
          <w:color w:val="64A70B"/>
        </w:rPr>
      </w:pPr>
      <w:r>
        <w:rPr>
          <w:rFonts w:ascii="Arial" w:cs="Arial" w:eastAsia="Arial" w:hAnsi="Arial"/>
          <w:sz w:val="16"/>
          <w:szCs w:val="16"/>
          <w:color w:val="auto"/>
        </w:rPr>
        <w:t>in conjunction with the Chair of the Compensation Committee, reporting to the Chief Executive Officer on the Board’s annual review of his performance;</w:t>
      </w:r>
    </w:p>
    <w:p>
      <w:pPr>
        <w:spacing w:after="0" w:line="7" w:lineRule="exact"/>
        <w:rPr>
          <w:rFonts w:ascii="Arial" w:cs="Arial" w:eastAsia="Arial" w:hAnsi="Arial"/>
          <w:sz w:val="13"/>
          <w:szCs w:val="13"/>
          <w:color w:val="64A70B"/>
        </w:rPr>
      </w:pPr>
    </w:p>
    <w:p>
      <w:pPr>
        <w:ind w:left="188" w:right="680" w:hanging="188"/>
        <w:spacing w:after="0" w:line="286" w:lineRule="auto"/>
        <w:tabs>
          <w:tab w:leader="none" w:pos="144" w:val="left"/>
        </w:tabs>
        <w:numPr>
          <w:ilvl w:val="0"/>
          <w:numId w:val="39"/>
        </w:numPr>
        <w:rPr>
          <w:rFonts w:ascii="Arial" w:cs="Arial" w:eastAsia="Arial" w:hAnsi="Arial"/>
          <w:sz w:val="13"/>
          <w:szCs w:val="13"/>
          <w:color w:val="64A70B"/>
        </w:rPr>
      </w:pPr>
      <w:r>
        <w:rPr>
          <w:rFonts w:ascii="Arial" w:cs="Arial" w:eastAsia="Arial" w:hAnsi="Arial"/>
          <w:sz w:val="16"/>
          <w:szCs w:val="16"/>
          <w:color w:val="auto"/>
        </w:rPr>
        <w:t>approving the agenda for Board meetings, including scheduling to assure sufficient time for discussion of all agenda items;</w:t>
      </w:r>
    </w:p>
    <w:p>
      <w:pPr>
        <w:spacing w:after="0" w:line="7" w:lineRule="exact"/>
        <w:rPr>
          <w:rFonts w:ascii="Arial" w:cs="Arial" w:eastAsia="Arial" w:hAnsi="Arial"/>
          <w:sz w:val="13"/>
          <w:szCs w:val="13"/>
          <w:color w:val="64A70B"/>
        </w:rPr>
      </w:pPr>
    </w:p>
    <w:p>
      <w:pPr>
        <w:ind w:left="148" w:hanging="148"/>
        <w:spacing w:after="0"/>
        <w:tabs>
          <w:tab w:leader="none" w:pos="148" w:val="left"/>
        </w:tabs>
        <w:numPr>
          <w:ilvl w:val="0"/>
          <w:numId w:val="39"/>
        </w:numPr>
        <w:rPr>
          <w:rFonts w:ascii="Arial" w:cs="Arial" w:eastAsia="Arial" w:hAnsi="Arial"/>
          <w:sz w:val="13"/>
          <w:szCs w:val="13"/>
          <w:color w:val="64A70B"/>
        </w:rPr>
      </w:pPr>
      <w:r>
        <w:rPr>
          <w:rFonts w:ascii="Arial" w:cs="Arial" w:eastAsia="Arial" w:hAnsi="Arial"/>
          <w:sz w:val="16"/>
          <w:szCs w:val="16"/>
          <w:color w:val="auto"/>
        </w:rPr>
        <w:t>in conjunction with the Committee Chairs, ensuring an appropriate flow of information to the Board;</w:t>
      </w:r>
    </w:p>
    <w:p>
      <w:pPr>
        <w:spacing w:after="0" w:line="72" w:lineRule="exact"/>
        <w:rPr>
          <w:rFonts w:ascii="Arial" w:cs="Arial" w:eastAsia="Arial" w:hAnsi="Arial"/>
          <w:sz w:val="13"/>
          <w:szCs w:val="13"/>
          <w:color w:val="64A70B"/>
        </w:rPr>
      </w:pPr>
    </w:p>
    <w:p>
      <w:pPr>
        <w:ind w:left="148" w:hanging="148"/>
        <w:spacing w:after="0"/>
        <w:tabs>
          <w:tab w:leader="none" w:pos="148" w:val="left"/>
        </w:tabs>
        <w:numPr>
          <w:ilvl w:val="0"/>
          <w:numId w:val="39"/>
        </w:numPr>
        <w:rPr>
          <w:rFonts w:ascii="Arial" w:cs="Arial" w:eastAsia="Arial" w:hAnsi="Arial"/>
          <w:sz w:val="13"/>
          <w:szCs w:val="13"/>
          <w:color w:val="64A70B"/>
        </w:rPr>
      </w:pPr>
      <w:r>
        <w:rPr>
          <w:rFonts w:ascii="Arial" w:cs="Arial" w:eastAsia="Arial" w:hAnsi="Arial"/>
          <w:sz w:val="16"/>
          <w:szCs w:val="16"/>
          <w:color w:val="auto"/>
        </w:rPr>
        <w:t>holding one-on-one discussions with individual directors when requested by directors or the Board; and</w:t>
      </w:r>
    </w:p>
    <w:p>
      <w:pPr>
        <w:spacing w:after="0" w:line="72" w:lineRule="exact"/>
        <w:rPr>
          <w:rFonts w:ascii="Arial" w:cs="Arial" w:eastAsia="Arial" w:hAnsi="Arial"/>
          <w:sz w:val="13"/>
          <w:szCs w:val="13"/>
          <w:color w:val="64A70B"/>
        </w:rPr>
      </w:pPr>
    </w:p>
    <w:p>
      <w:pPr>
        <w:ind w:left="148" w:hanging="148"/>
        <w:spacing w:after="0"/>
        <w:tabs>
          <w:tab w:leader="none" w:pos="148" w:val="left"/>
        </w:tabs>
        <w:numPr>
          <w:ilvl w:val="0"/>
          <w:numId w:val="39"/>
        </w:numPr>
        <w:rPr>
          <w:rFonts w:ascii="Arial" w:cs="Arial" w:eastAsia="Arial" w:hAnsi="Arial"/>
          <w:sz w:val="13"/>
          <w:szCs w:val="13"/>
          <w:color w:val="64A70B"/>
        </w:rPr>
      </w:pPr>
      <w:r>
        <w:rPr>
          <w:rFonts w:ascii="Arial" w:cs="Arial" w:eastAsia="Arial" w:hAnsi="Arial"/>
          <w:sz w:val="16"/>
          <w:szCs w:val="16"/>
          <w:color w:val="auto"/>
        </w:rPr>
        <w:t>carrying out other duties as requested by the Board.</w:t>
      </w:r>
    </w:p>
    <w:p>
      <w:pPr>
        <w:spacing w:after="0" w:line="1027" w:lineRule="exact"/>
        <w:rPr>
          <w:sz w:val="20"/>
          <w:szCs w:val="20"/>
          <w:color w:val="auto"/>
        </w:rPr>
      </w:pPr>
    </w:p>
    <w:p>
      <w:pPr>
        <w:sectPr>
          <w:pgSz w:w="11900" w:h="16838" w:orient="portrait"/>
          <w:cols w:equalWidth="0" w:num="2">
            <w:col w:w="2180" w:space="532"/>
            <w:col w:w="8528"/>
          </w:cols>
          <w:pgMar w:left="320" w:top="14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10780" w:type="dxa"/>
            <w:vAlign w:val="bottom"/>
          </w:tcPr>
          <w:p>
            <w:pPr>
              <w:ind w:left="8260"/>
              <w:spacing w:after="0"/>
              <w:rPr>
                <w:sz w:val="20"/>
                <w:szCs w:val="20"/>
                <w:color w:val="auto"/>
              </w:rPr>
            </w:pPr>
            <w:r>
              <w:rPr>
                <w:rFonts w:ascii="Arial" w:cs="Arial" w:eastAsia="Arial" w:hAnsi="Arial"/>
                <w:sz w:val="16"/>
                <w:szCs w:val="16"/>
                <w:b w:val="1"/>
                <w:bCs w:val="1"/>
                <w:color w:val="auto"/>
              </w:rPr>
              <w:t xml:space="preserve">2026 Proxy Statement </w:t>
            </w:r>
            <w:r>
              <w:rPr>
                <w:rFonts w:ascii="Arial" w:cs="Arial" w:eastAsia="Arial" w:hAnsi="Arial"/>
                <w:sz w:val="16"/>
                <w:szCs w:val="16"/>
                <w:b w:val="1"/>
                <w:bCs w:val="1"/>
                <w:color w:val="0C3471"/>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Pentair</w:t>
            </w:r>
          </w:p>
        </w:tc>
        <w:tc>
          <w:tcPr>
            <w:tcW w:w="460" w:type="dxa"/>
            <w:vAlign w:val="bottom"/>
          </w:tcPr>
          <w:p>
            <w:pPr>
              <w:jc w:val="right"/>
              <w:spacing w:after="0"/>
              <w:rPr>
                <w:sz w:val="20"/>
                <w:szCs w:val="20"/>
                <w:color w:val="auto"/>
              </w:rPr>
            </w:pPr>
            <w:r>
              <w:rPr>
                <w:rFonts w:ascii="Arial" w:cs="Arial" w:eastAsia="Arial" w:hAnsi="Arial"/>
                <w:sz w:val="16"/>
                <w:szCs w:val="16"/>
                <w:b w:val="1"/>
                <w:bCs w:val="1"/>
                <w:color w:val="auto"/>
              </w:rPr>
              <w:t>19</w:t>
            </w:r>
          </w:p>
        </w:tc>
      </w:tr>
      <w:tr>
        <w:trPr>
          <w:trHeight w:val="325"/>
        </w:trPr>
        <w:tc>
          <w:tcPr>
            <w:tcW w:w="107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21" w:name="page22"/>
    <w:bookmarkEnd w:id="21"/>
    <w:p>
      <w:pPr>
        <w:ind w:left="40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225425</wp:posOffset>
            </wp:positionH>
            <wp:positionV relativeFrom="page">
              <wp:posOffset>191770</wp:posOffset>
            </wp:positionV>
            <wp:extent cx="102870" cy="11176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clrChange>
                        <a:clrFrom>
                          <a:srgbClr val="FFFFFF"/>
                        </a:clrFrom>
                        <a:clrTo>
                          <a:srgbClr val="FFFFFF">
                            <a:alpha val="0"/>
                          </a:srgbClr>
                        </a:clrTo>
                      </a:clrChange>
                      <a:extLst>
                        <a:ext uri="{28A0092B-C50C-407E-A947-70E740481C1C}"/>
                      </a:extLst>
                    </a:blip>
                    <a:srcRect/>
                    <a:stretch>
                      <a:fillRect/>
                    </a:stretch>
                  </pic:blipFill>
                  <pic:spPr bwMode="auto">
                    <a:xfrm>
                      <a:off x="0" y="0"/>
                      <a:ext cx="102870" cy="111760"/>
                    </a:xfrm>
                    <a:prstGeom prst="rect">
                      <a:avLst/>
                    </a:prstGeom>
                    <a:noFill/>
                  </pic:spPr>
                </pic:pic>
              </a:graphicData>
            </a:graphic>
          </wp:anchor>
        </w:drawing>
        <w:t>Corporate Governance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32"/>
          <w:szCs w:val="32"/>
          <w:color w:val="0C3471"/>
        </w:rPr>
        <w:t>Committees of the Board</w:t>
      </w:r>
    </w:p>
    <w:p>
      <w:pPr>
        <w:spacing w:after="0" w:line="146" w:lineRule="exact"/>
        <w:rPr>
          <w:sz w:val="20"/>
          <w:szCs w:val="20"/>
          <w:color w:val="auto"/>
        </w:rPr>
      </w:pPr>
    </w:p>
    <w:p>
      <w:pPr>
        <w:ind w:right="120"/>
        <w:spacing w:after="0" w:line="304" w:lineRule="auto"/>
        <w:rPr>
          <w:sz w:val="20"/>
          <w:szCs w:val="20"/>
          <w:color w:val="auto"/>
        </w:rPr>
      </w:pPr>
      <w:r>
        <w:rPr>
          <w:rFonts w:ascii="Arial" w:cs="Arial" w:eastAsia="Arial" w:hAnsi="Arial"/>
          <w:sz w:val="16"/>
          <w:szCs w:val="16"/>
          <w:color w:val="auto"/>
        </w:rPr>
        <w:t>The Board has three standing committees comprised solely of independent directors: the Audit and Finance Committee, the Compensation Committee, and the Governance Committee. The committee members also meet in executive session without management present at each regularly scheduled meeting.</w:t>
      </w:r>
    </w:p>
    <w:p>
      <w:pPr>
        <w:spacing w:after="0" w:line="60" w:lineRule="exact"/>
        <w:rPr>
          <w:sz w:val="20"/>
          <w:szCs w:val="20"/>
          <w:color w:val="auto"/>
        </w:rPr>
      </w:pPr>
    </w:p>
    <w:p>
      <w:pPr>
        <w:ind w:right="480"/>
        <w:spacing w:after="0" w:line="321" w:lineRule="auto"/>
        <w:rPr>
          <w:sz w:val="20"/>
          <w:szCs w:val="20"/>
          <w:color w:val="auto"/>
        </w:rPr>
      </w:pPr>
      <w:r>
        <w:rPr>
          <w:rFonts w:ascii="Arial" w:cs="Arial" w:eastAsia="Arial" w:hAnsi="Arial"/>
          <w:sz w:val="16"/>
          <w:szCs w:val="16"/>
          <w:color w:val="auto"/>
        </w:rPr>
        <w:t>The information below reflects the number of meetings of the Board and each committee held during fiscal year 2025. The information below regarding committee membership lists the current members.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47625</wp:posOffset>
            </wp:positionV>
            <wp:extent cx="7140575" cy="41148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40575" cy="411480"/>
                    </a:xfrm>
                    <a:prstGeom prst="rect">
                      <a:avLst/>
                    </a:prstGeom>
                    <a:noFill/>
                  </pic:spPr>
                </pic:pic>
              </a:graphicData>
            </a:graphic>
          </wp:anchor>
        </w:drawing>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FFFFFF"/>
        </w:rPr>
        <w:t xml:space="preserve">6 </w:t>
      </w:r>
      <w:r>
        <w:rPr>
          <w:rFonts w:ascii="Arial" w:cs="Arial" w:eastAsia="Arial" w:hAnsi="Arial"/>
          <w:sz w:val="21"/>
          <w:szCs w:val="21"/>
          <w:b w:val="1"/>
          <w:bCs w:val="1"/>
          <w:color w:val="FFFFFF"/>
        </w:rPr>
        <w:t>Meetings of the Board of Directors</w:t>
      </w:r>
    </w:p>
    <w:p>
      <w:pPr>
        <w:spacing w:after="0" w:line="180" w:lineRule="exact"/>
        <w:rPr>
          <w:sz w:val="20"/>
          <w:szCs w:val="20"/>
          <w:color w:val="auto"/>
        </w:rPr>
      </w:pPr>
    </w:p>
    <w:tbl>
      <w:tblPr>
        <w:tblLayout w:type="fixed"/>
        <w:tblInd w:w="10" w:type="dxa"/>
        <w:tblCellMar>
          <w:top w:w="0" w:type="dxa"/>
          <w:left w:w="0" w:type="dxa"/>
          <w:bottom w:w="0" w:type="dxa"/>
          <w:right w:w="0" w:type="dxa"/>
        </w:tblCellMar>
      </w:tblPr>
      <w:tr>
        <w:trPr>
          <w:trHeight w:val="359"/>
        </w:trPr>
        <w:tc>
          <w:tcPr>
            <w:tcW w:w="660" w:type="dxa"/>
            <w:vAlign w:val="bottom"/>
            <w:tcBorders>
              <w:top w:val="single" w:sz="8" w:color="64A70B"/>
            </w:tcBorders>
          </w:tcPr>
          <w:p>
            <w:pPr>
              <w:jc w:val="right"/>
              <w:ind w:right="145"/>
              <w:spacing w:after="0"/>
              <w:rPr>
                <w:sz w:val="20"/>
                <w:szCs w:val="20"/>
                <w:color w:val="auto"/>
              </w:rPr>
            </w:pPr>
            <w:r>
              <w:rPr>
                <w:rFonts w:ascii="Arial" w:cs="Arial" w:eastAsia="Arial" w:hAnsi="Arial"/>
                <w:sz w:val="25"/>
                <w:szCs w:val="25"/>
                <w:b w:val="1"/>
                <w:bCs w:val="1"/>
                <w:color w:val="0C3471"/>
              </w:rPr>
              <w:t>8</w:t>
            </w:r>
          </w:p>
        </w:tc>
        <w:tc>
          <w:tcPr>
            <w:tcW w:w="3100" w:type="dxa"/>
            <w:vAlign w:val="bottom"/>
            <w:tcBorders>
              <w:top w:val="single" w:sz="8" w:color="64A70B"/>
              <w:right w:val="single" w:sz="8" w:color="CED6E3"/>
            </w:tcBorders>
            <w:gridSpan w:val="2"/>
          </w:tcPr>
          <w:p>
            <w:pPr>
              <w:ind w:left="120"/>
              <w:spacing w:after="0"/>
              <w:rPr>
                <w:sz w:val="20"/>
                <w:szCs w:val="20"/>
                <w:color w:val="auto"/>
              </w:rPr>
            </w:pPr>
            <w:r>
              <w:rPr>
                <w:rFonts w:ascii="Arial" w:cs="Arial" w:eastAsia="Arial" w:hAnsi="Arial"/>
                <w:sz w:val="18"/>
                <w:szCs w:val="18"/>
                <w:b w:val="1"/>
                <w:bCs w:val="1"/>
                <w:color w:val="0C3471"/>
              </w:rPr>
              <w:t>Meetings of the Audit and</w:t>
            </w:r>
          </w:p>
        </w:tc>
        <w:tc>
          <w:tcPr>
            <w:tcW w:w="600" w:type="dxa"/>
            <w:vAlign w:val="bottom"/>
            <w:tcBorders>
              <w:top w:val="single" w:sz="8" w:color="64A70B"/>
            </w:tcBorders>
          </w:tcPr>
          <w:p>
            <w:pPr>
              <w:jc w:val="right"/>
              <w:ind w:right="34"/>
              <w:spacing w:after="0"/>
              <w:rPr>
                <w:sz w:val="20"/>
                <w:szCs w:val="20"/>
                <w:color w:val="auto"/>
              </w:rPr>
            </w:pPr>
            <w:r>
              <w:rPr>
                <w:rFonts w:ascii="Arial" w:cs="Arial" w:eastAsia="Arial" w:hAnsi="Arial"/>
                <w:sz w:val="25"/>
                <w:szCs w:val="25"/>
                <w:b w:val="1"/>
                <w:bCs w:val="1"/>
                <w:color w:val="0C3471"/>
              </w:rPr>
              <w:t>4</w:t>
            </w:r>
          </w:p>
        </w:tc>
        <w:tc>
          <w:tcPr>
            <w:tcW w:w="3140" w:type="dxa"/>
            <w:vAlign w:val="bottom"/>
            <w:tcBorders>
              <w:top w:val="single" w:sz="8" w:color="64A70B"/>
              <w:right w:val="single" w:sz="8" w:color="CED6E3"/>
            </w:tcBorders>
          </w:tcPr>
          <w:p>
            <w:pPr>
              <w:ind w:left="160"/>
              <w:spacing w:after="0"/>
              <w:rPr>
                <w:sz w:val="20"/>
                <w:szCs w:val="20"/>
                <w:color w:val="auto"/>
              </w:rPr>
            </w:pPr>
            <w:r>
              <w:rPr>
                <w:rFonts w:ascii="Arial" w:cs="Arial" w:eastAsia="Arial" w:hAnsi="Arial"/>
                <w:sz w:val="18"/>
                <w:szCs w:val="18"/>
                <w:b w:val="1"/>
                <w:bCs w:val="1"/>
                <w:color w:val="0C3471"/>
              </w:rPr>
              <w:t>Meetings of the</w:t>
            </w:r>
          </w:p>
        </w:tc>
        <w:tc>
          <w:tcPr>
            <w:tcW w:w="580" w:type="dxa"/>
            <w:vAlign w:val="bottom"/>
            <w:tcBorders>
              <w:top w:val="single" w:sz="8" w:color="64A70B"/>
            </w:tcBorders>
          </w:tcPr>
          <w:p>
            <w:pPr>
              <w:jc w:val="right"/>
              <w:ind w:right="54"/>
              <w:spacing w:after="0"/>
              <w:rPr>
                <w:sz w:val="20"/>
                <w:szCs w:val="20"/>
                <w:color w:val="auto"/>
              </w:rPr>
            </w:pPr>
            <w:r>
              <w:rPr>
                <w:rFonts w:ascii="Arial" w:cs="Arial" w:eastAsia="Arial" w:hAnsi="Arial"/>
                <w:sz w:val="25"/>
                <w:szCs w:val="25"/>
                <w:b w:val="1"/>
                <w:bCs w:val="1"/>
                <w:color w:val="0C3471"/>
              </w:rPr>
              <w:t>4</w:t>
            </w:r>
          </w:p>
        </w:tc>
        <w:tc>
          <w:tcPr>
            <w:tcW w:w="3180" w:type="dxa"/>
            <w:vAlign w:val="bottom"/>
            <w:tcBorders>
              <w:top w:val="single" w:sz="8" w:color="64A70B"/>
            </w:tcBorders>
          </w:tcPr>
          <w:p>
            <w:pPr>
              <w:ind w:left="200"/>
              <w:spacing w:after="0"/>
              <w:rPr>
                <w:sz w:val="20"/>
                <w:szCs w:val="20"/>
                <w:color w:val="auto"/>
              </w:rPr>
            </w:pPr>
            <w:r>
              <w:rPr>
                <w:rFonts w:ascii="Arial" w:cs="Arial" w:eastAsia="Arial" w:hAnsi="Arial"/>
                <w:sz w:val="18"/>
                <w:szCs w:val="18"/>
                <w:b w:val="1"/>
                <w:bCs w:val="1"/>
                <w:color w:val="0C3471"/>
              </w:rPr>
              <w:t>Meetings of the</w:t>
            </w:r>
          </w:p>
        </w:tc>
      </w:tr>
      <w:tr>
        <w:trPr>
          <w:trHeight w:val="247"/>
        </w:trPr>
        <w:tc>
          <w:tcPr>
            <w:tcW w:w="660" w:type="dxa"/>
            <w:vAlign w:val="bottom"/>
          </w:tcPr>
          <w:p>
            <w:pPr>
              <w:spacing w:after="0"/>
              <w:rPr>
                <w:sz w:val="21"/>
                <w:szCs w:val="21"/>
                <w:color w:val="auto"/>
              </w:rPr>
            </w:pPr>
          </w:p>
        </w:tc>
        <w:tc>
          <w:tcPr>
            <w:tcW w:w="1920" w:type="dxa"/>
            <w:vAlign w:val="bottom"/>
          </w:tcPr>
          <w:p>
            <w:pPr>
              <w:ind w:left="120"/>
              <w:spacing w:after="0"/>
              <w:rPr>
                <w:sz w:val="20"/>
                <w:szCs w:val="20"/>
                <w:color w:val="auto"/>
              </w:rPr>
            </w:pPr>
            <w:r>
              <w:rPr>
                <w:rFonts w:ascii="Arial" w:cs="Arial" w:eastAsia="Arial" w:hAnsi="Arial"/>
                <w:sz w:val="18"/>
                <w:szCs w:val="18"/>
                <w:b w:val="1"/>
                <w:bCs w:val="1"/>
                <w:color w:val="0C3471"/>
              </w:rPr>
              <w:t>Finance Committee</w:t>
            </w:r>
          </w:p>
        </w:tc>
        <w:tc>
          <w:tcPr>
            <w:tcW w:w="1180" w:type="dxa"/>
            <w:vAlign w:val="bottom"/>
            <w:tcBorders>
              <w:right w:val="single" w:sz="8" w:color="CED6E3"/>
            </w:tcBorders>
          </w:tcPr>
          <w:p>
            <w:pPr>
              <w:spacing w:after="0"/>
              <w:rPr>
                <w:sz w:val="21"/>
                <w:szCs w:val="21"/>
                <w:color w:val="auto"/>
              </w:rPr>
            </w:pPr>
          </w:p>
        </w:tc>
        <w:tc>
          <w:tcPr>
            <w:tcW w:w="600" w:type="dxa"/>
            <w:vAlign w:val="bottom"/>
          </w:tcPr>
          <w:p>
            <w:pPr>
              <w:spacing w:after="0"/>
              <w:rPr>
                <w:sz w:val="21"/>
                <w:szCs w:val="21"/>
                <w:color w:val="auto"/>
              </w:rPr>
            </w:pPr>
          </w:p>
        </w:tc>
        <w:tc>
          <w:tcPr>
            <w:tcW w:w="3140" w:type="dxa"/>
            <w:vAlign w:val="bottom"/>
            <w:tcBorders>
              <w:right w:val="single" w:sz="8" w:color="CED6E3"/>
            </w:tcBorders>
          </w:tcPr>
          <w:p>
            <w:pPr>
              <w:ind w:left="160"/>
              <w:spacing w:after="0"/>
              <w:rPr>
                <w:sz w:val="20"/>
                <w:szCs w:val="20"/>
                <w:color w:val="auto"/>
              </w:rPr>
            </w:pPr>
            <w:r>
              <w:rPr>
                <w:rFonts w:ascii="Arial" w:cs="Arial" w:eastAsia="Arial" w:hAnsi="Arial"/>
                <w:sz w:val="18"/>
                <w:szCs w:val="18"/>
                <w:b w:val="1"/>
                <w:bCs w:val="1"/>
                <w:color w:val="0C3471"/>
              </w:rPr>
              <w:t>Compensation Committee</w:t>
            </w:r>
          </w:p>
        </w:tc>
        <w:tc>
          <w:tcPr>
            <w:tcW w:w="580" w:type="dxa"/>
            <w:vAlign w:val="bottom"/>
          </w:tcPr>
          <w:p>
            <w:pPr>
              <w:spacing w:after="0"/>
              <w:rPr>
                <w:sz w:val="21"/>
                <w:szCs w:val="21"/>
                <w:color w:val="auto"/>
              </w:rPr>
            </w:pPr>
          </w:p>
        </w:tc>
        <w:tc>
          <w:tcPr>
            <w:tcW w:w="3180" w:type="dxa"/>
            <w:vAlign w:val="bottom"/>
          </w:tcPr>
          <w:p>
            <w:pPr>
              <w:ind w:left="200"/>
              <w:spacing w:after="0"/>
              <w:rPr>
                <w:sz w:val="20"/>
                <w:szCs w:val="20"/>
                <w:color w:val="auto"/>
              </w:rPr>
            </w:pPr>
            <w:r>
              <w:rPr>
                <w:rFonts w:ascii="Arial" w:cs="Arial" w:eastAsia="Arial" w:hAnsi="Arial"/>
                <w:sz w:val="18"/>
                <w:szCs w:val="18"/>
                <w:b w:val="1"/>
                <w:bCs w:val="1"/>
                <w:color w:val="0C3471"/>
              </w:rPr>
              <w:t>Governance Committee</w:t>
            </w:r>
          </w:p>
        </w:tc>
      </w:tr>
      <w:tr>
        <w:trPr>
          <w:trHeight w:val="28"/>
        </w:trPr>
        <w:tc>
          <w:tcPr>
            <w:tcW w:w="3760" w:type="dxa"/>
            <w:vAlign w:val="bottom"/>
            <w:tcBorders>
              <w:bottom w:val="single" w:sz="8" w:color="CED6E3"/>
              <w:right w:val="single" w:sz="8" w:color="CED6E3"/>
            </w:tcBorders>
            <w:gridSpan w:val="3"/>
          </w:tcPr>
          <w:p>
            <w:pPr>
              <w:spacing w:after="0"/>
              <w:rPr>
                <w:sz w:val="2"/>
                <w:szCs w:val="2"/>
                <w:color w:val="auto"/>
              </w:rPr>
            </w:pPr>
          </w:p>
        </w:tc>
        <w:tc>
          <w:tcPr>
            <w:tcW w:w="600" w:type="dxa"/>
            <w:vAlign w:val="bottom"/>
            <w:tcBorders>
              <w:bottom w:val="single" w:sz="8" w:color="CED6E3"/>
            </w:tcBorders>
          </w:tcPr>
          <w:p>
            <w:pPr>
              <w:spacing w:after="0"/>
              <w:rPr>
                <w:sz w:val="2"/>
                <w:szCs w:val="2"/>
                <w:color w:val="auto"/>
              </w:rPr>
            </w:pPr>
          </w:p>
        </w:tc>
        <w:tc>
          <w:tcPr>
            <w:tcW w:w="3140" w:type="dxa"/>
            <w:vAlign w:val="bottom"/>
            <w:tcBorders>
              <w:bottom w:val="single" w:sz="8" w:color="CED6E3"/>
              <w:right w:val="single" w:sz="8" w:color="CED6E3"/>
            </w:tcBorders>
          </w:tcPr>
          <w:p>
            <w:pPr>
              <w:spacing w:after="0"/>
              <w:rPr>
                <w:sz w:val="2"/>
                <w:szCs w:val="2"/>
                <w:color w:val="auto"/>
              </w:rPr>
            </w:pPr>
          </w:p>
        </w:tc>
        <w:tc>
          <w:tcPr>
            <w:tcW w:w="580" w:type="dxa"/>
            <w:vAlign w:val="bottom"/>
            <w:tcBorders>
              <w:bottom w:val="single" w:sz="8" w:color="CED6E3"/>
            </w:tcBorders>
          </w:tcPr>
          <w:p>
            <w:pPr>
              <w:spacing w:after="0"/>
              <w:rPr>
                <w:sz w:val="2"/>
                <w:szCs w:val="2"/>
                <w:color w:val="auto"/>
              </w:rPr>
            </w:pPr>
          </w:p>
        </w:tc>
        <w:tc>
          <w:tcPr>
            <w:tcW w:w="3180" w:type="dxa"/>
            <w:vAlign w:val="bottom"/>
            <w:tcBorders>
              <w:bottom w:val="single" w:sz="8" w:color="CED6E3"/>
            </w:tcBorders>
          </w:tcPr>
          <w:p>
            <w:pPr>
              <w:spacing w:after="0"/>
              <w:rPr>
                <w:sz w:val="2"/>
                <w:szCs w:val="2"/>
                <w:color w:val="auto"/>
              </w:rPr>
            </w:pPr>
          </w:p>
        </w:tc>
      </w:tr>
      <w:tr>
        <w:trPr>
          <w:trHeight w:val="223"/>
        </w:trPr>
        <w:tc>
          <w:tcPr>
            <w:tcW w:w="3760" w:type="dxa"/>
            <w:vAlign w:val="bottom"/>
            <w:tcBorders>
              <w:bottom w:val="single" w:sz="8" w:color="0C3471"/>
            </w:tcBorders>
            <w:gridSpan w:val="3"/>
          </w:tcPr>
          <w:p>
            <w:pPr>
              <w:spacing w:after="0"/>
              <w:rPr>
                <w:sz w:val="19"/>
                <w:szCs w:val="19"/>
                <w:color w:val="auto"/>
              </w:rPr>
            </w:pPr>
          </w:p>
        </w:tc>
        <w:tc>
          <w:tcPr>
            <w:tcW w:w="600" w:type="dxa"/>
            <w:vAlign w:val="bottom"/>
            <w:tcBorders>
              <w:bottom w:val="single" w:sz="8" w:color="0C3471"/>
            </w:tcBorders>
          </w:tcPr>
          <w:p>
            <w:pPr>
              <w:spacing w:after="0"/>
              <w:rPr>
                <w:sz w:val="19"/>
                <w:szCs w:val="19"/>
                <w:color w:val="auto"/>
              </w:rPr>
            </w:pPr>
          </w:p>
        </w:tc>
        <w:tc>
          <w:tcPr>
            <w:tcW w:w="3140" w:type="dxa"/>
            <w:vAlign w:val="bottom"/>
            <w:tcBorders>
              <w:bottom w:val="single" w:sz="8" w:color="0C3471"/>
            </w:tcBorders>
          </w:tcPr>
          <w:p>
            <w:pPr>
              <w:spacing w:after="0"/>
              <w:rPr>
                <w:sz w:val="19"/>
                <w:szCs w:val="19"/>
                <w:color w:val="auto"/>
              </w:rPr>
            </w:pPr>
          </w:p>
        </w:tc>
        <w:tc>
          <w:tcPr>
            <w:tcW w:w="580" w:type="dxa"/>
            <w:vAlign w:val="bottom"/>
            <w:tcBorders>
              <w:bottom w:val="single" w:sz="8" w:color="0C3471"/>
            </w:tcBorders>
          </w:tcPr>
          <w:p>
            <w:pPr>
              <w:spacing w:after="0"/>
              <w:rPr>
                <w:sz w:val="19"/>
                <w:szCs w:val="19"/>
                <w:color w:val="auto"/>
              </w:rPr>
            </w:pPr>
          </w:p>
        </w:tc>
        <w:tc>
          <w:tcPr>
            <w:tcW w:w="3180" w:type="dxa"/>
            <w:vAlign w:val="bottom"/>
            <w:tcBorders>
              <w:bottom w:val="single" w:sz="8" w:color="0C3471"/>
            </w:tcBorders>
          </w:tcPr>
          <w:p>
            <w:pPr>
              <w:spacing w:after="0"/>
              <w:rPr>
                <w:sz w:val="19"/>
                <w:szCs w:val="19"/>
                <w:color w:val="auto"/>
              </w:rPr>
            </w:pPr>
          </w:p>
        </w:tc>
      </w:tr>
      <w:tr>
        <w:trPr>
          <w:trHeight w:val="439"/>
        </w:trPr>
        <w:tc>
          <w:tcPr>
            <w:tcW w:w="3760" w:type="dxa"/>
            <w:vAlign w:val="bottom"/>
            <w:tcBorders>
              <w:left w:val="single" w:sz="8" w:color="0C3471"/>
              <w:right w:val="single" w:sz="8" w:color="64A70B"/>
            </w:tcBorders>
            <w:gridSpan w:val="3"/>
            <w:shd w:val="clear" w:color="auto" w:fill="64A70B"/>
          </w:tcPr>
          <w:p>
            <w:pPr>
              <w:ind w:left="80"/>
              <w:spacing w:after="0"/>
              <w:rPr>
                <w:sz w:val="20"/>
                <w:szCs w:val="20"/>
                <w:color w:val="auto"/>
              </w:rPr>
            </w:pPr>
            <w:r>
              <w:rPr>
                <w:rFonts w:ascii="Arial" w:cs="Arial" w:eastAsia="Arial" w:hAnsi="Arial"/>
                <w:sz w:val="25"/>
                <w:szCs w:val="25"/>
                <w:b w:val="1"/>
                <w:bCs w:val="1"/>
                <w:color w:val="auto"/>
              </w:rPr>
              <w:t>Audit and Finance Committee</w:t>
            </w:r>
          </w:p>
        </w:tc>
        <w:tc>
          <w:tcPr>
            <w:tcW w:w="600" w:type="dxa"/>
            <w:vAlign w:val="bottom"/>
            <w:shd w:val="clear" w:color="auto" w:fill="64A70B"/>
          </w:tcPr>
          <w:p>
            <w:pPr>
              <w:spacing w:after="0"/>
              <w:rPr>
                <w:sz w:val="24"/>
                <w:szCs w:val="24"/>
                <w:color w:val="auto"/>
              </w:rPr>
            </w:pPr>
          </w:p>
        </w:tc>
        <w:tc>
          <w:tcPr>
            <w:tcW w:w="3140" w:type="dxa"/>
            <w:vAlign w:val="bottom"/>
            <w:tcBorders>
              <w:right w:val="single" w:sz="8" w:color="64A70B"/>
            </w:tcBorders>
            <w:shd w:val="clear" w:color="auto" w:fill="64A70B"/>
          </w:tcPr>
          <w:p>
            <w:pPr>
              <w:spacing w:after="0"/>
              <w:rPr>
                <w:sz w:val="24"/>
                <w:szCs w:val="24"/>
                <w:color w:val="auto"/>
              </w:rPr>
            </w:pPr>
          </w:p>
        </w:tc>
        <w:tc>
          <w:tcPr>
            <w:tcW w:w="580" w:type="dxa"/>
            <w:vAlign w:val="bottom"/>
            <w:shd w:val="clear" w:color="auto" w:fill="64A70B"/>
          </w:tcPr>
          <w:p>
            <w:pPr>
              <w:spacing w:after="0"/>
              <w:rPr>
                <w:sz w:val="24"/>
                <w:szCs w:val="24"/>
                <w:color w:val="auto"/>
              </w:rPr>
            </w:pPr>
          </w:p>
        </w:tc>
        <w:tc>
          <w:tcPr>
            <w:tcW w:w="3180" w:type="dxa"/>
            <w:vAlign w:val="bottom"/>
            <w:tcBorders>
              <w:right w:val="single" w:sz="8" w:color="0C3471"/>
            </w:tcBorders>
            <w:shd w:val="clear" w:color="auto" w:fill="64A70B"/>
          </w:tcPr>
          <w:p>
            <w:pPr>
              <w:spacing w:after="0"/>
              <w:rPr>
                <w:sz w:val="24"/>
                <w:szCs w:val="24"/>
                <w:color w:val="auto"/>
              </w:rPr>
            </w:pPr>
          </w:p>
        </w:tc>
      </w:tr>
      <w:tr>
        <w:trPr>
          <w:trHeight w:val="122"/>
        </w:trPr>
        <w:tc>
          <w:tcPr>
            <w:tcW w:w="660" w:type="dxa"/>
            <w:vAlign w:val="bottom"/>
            <w:tcBorders>
              <w:left w:val="single" w:sz="8" w:color="0C3471"/>
              <w:bottom w:val="single" w:sz="8" w:color="0C3471"/>
            </w:tcBorders>
            <w:shd w:val="clear" w:color="auto" w:fill="64A70B"/>
          </w:tcPr>
          <w:p>
            <w:pPr>
              <w:spacing w:after="0"/>
              <w:rPr>
                <w:sz w:val="10"/>
                <w:szCs w:val="10"/>
                <w:color w:val="auto"/>
              </w:rPr>
            </w:pPr>
          </w:p>
        </w:tc>
        <w:tc>
          <w:tcPr>
            <w:tcW w:w="1920" w:type="dxa"/>
            <w:vAlign w:val="bottom"/>
            <w:tcBorders>
              <w:bottom w:val="single" w:sz="8" w:color="0C3471"/>
            </w:tcBorders>
            <w:shd w:val="clear" w:color="auto" w:fill="64A70B"/>
          </w:tcPr>
          <w:p>
            <w:pPr>
              <w:spacing w:after="0"/>
              <w:rPr>
                <w:sz w:val="10"/>
                <w:szCs w:val="10"/>
                <w:color w:val="auto"/>
              </w:rPr>
            </w:pPr>
          </w:p>
        </w:tc>
        <w:tc>
          <w:tcPr>
            <w:tcW w:w="8680" w:type="dxa"/>
            <w:vAlign w:val="bottom"/>
            <w:tcBorders>
              <w:bottom w:val="single" w:sz="8" w:color="0C3471"/>
              <w:right w:val="single" w:sz="8" w:color="0C3471"/>
            </w:tcBorders>
            <w:gridSpan w:val="5"/>
            <w:shd w:val="clear" w:color="auto" w:fill="64A70B"/>
          </w:tcPr>
          <w:p>
            <w:pPr>
              <w:spacing w:after="0"/>
              <w:rPr>
                <w:sz w:val="10"/>
                <w:szCs w:val="10"/>
                <w:color w:val="auto"/>
              </w:rPr>
            </w:pPr>
          </w:p>
        </w:tc>
      </w:tr>
      <w:tr>
        <w:trPr>
          <w:trHeight w:val="383"/>
        </w:trPr>
        <w:tc>
          <w:tcPr>
            <w:tcW w:w="660" w:type="dxa"/>
            <w:vAlign w:val="bottom"/>
          </w:tcPr>
          <w:p>
            <w:pPr>
              <w:ind w:left="80"/>
              <w:spacing w:after="0"/>
              <w:rPr>
                <w:sz w:val="20"/>
                <w:szCs w:val="20"/>
                <w:color w:val="auto"/>
              </w:rPr>
            </w:pPr>
            <w:r>
              <w:rPr>
                <w:rFonts w:ascii="Arial" w:cs="Arial" w:eastAsia="Arial" w:hAnsi="Arial"/>
                <w:sz w:val="19"/>
                <w:szCs w:val="19"/>
                <w:b w:val="1"/>
                <w:bCs w:val="1"/>
                <w:color w:val="0C3471"/>
              </w:rPr>
              <w:t>Role:</w:t>
            </w:r>
          </w:p>
        </w:tc>
        <w:tc>
          <w:tcPr>
            <w:tcW w:w="1920" w:type="dxa"/>
            <w:vAlign w:val="bottom"/>
          </w:tcPr>
          <w:p>
            <w:pPr>
              <w:ind w:left="1800"/>
              <w:spacing w:after="0"/>
              <w:rPr>
                <w:sz w:val="20"/>
                <w:szCs w:val="20"/>
                <w:color w:val="auto"/>
              </w:rPr>
            </w:pPr>
            <w:r>
              <w:rPr>
                <w:rFonts w:ascii="Arial" w:cs="Arial" w:eastAsia="Arial" w:hAnsi="Arial"/>
                <w:sz w:val="13"/>
                <w:szCs w:val="13"/>
                <w:color w:val="64A70B"/>
              </w:rPr>
              <w:t>u</w:t>
            </w:r>
          </w:p>
        </w:tc>
        <w:tc>
          <w:tcPr>
            <w:tcW w:w="8680" w:type="dxa"/>
            <w:vAlign w:val="bottom"/>
            <w:gridSpan w:val="5"/>
          </w:tcPr>
          <w:p>
            <w:pPr>
              <w:ind w:left="40"/>
              <w:spacing w:after="0"/>
              <w:rPr>
                <w:sz w:val="20"/>
                <w:szCs w:val="20"/>
                <w:color w:val="auto"/>
              </w:rPr>
            </w:pPr>
            <w:r>
              <w:rPr>
                <w:rFonts w:ascii="Arial" w:cs="Arial" w:eastAsia="Arial" w:hAnsi="Arial"/>
                <w:sz w:val="16"/>
                <w:szCs w:val="16"/>
                <w:color w:val="auto"/>
              </w:rPr>
              <w:t>Responsible for, among other things, assisting the Board with oversight of our accounting and financial reporting</w:t>
            </w:r>
          </w:p>
        </w:tc>
      </w:tr>
      <w:tr>
        <w:trPr>
          <w:trHeight w:val="204"/>
        </w:trPr>
        <w:tc>
          <w:tcPr>
            <w:tcW w:w="66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8680" w:type="dxa"/>
            <w:vAlign w:val="bottom"/>
            <w:gridSpan w:val="5"/>
          </w:tcPr>
          <w:p>
            <w:pPr>
              <w:ind w:left="80"/>
              <w:spacing w:after="0"/>
              <w:rPr>
                <w:sz w:val="20"/>
                <w:szCs w:val="20"/>
                <w:color w:val="auto"/>
              </w:rPr>
            </w:pPr>
            <w:r>
              <w:rPr>
                <w:rFonts w:ascii="Arial" w:cs="Arial" w:eastAsia="Arial" w:hAnsi="Arial"/>
                <w:sz w:val="16"/>
                <w:szCs w:val="16"/>
                <w:color w:val="auto"/>
              </w:rPr>
              <w:t>processes, oversight of our financing strategy, investment policies and financial condition, and audits of our financial</w:t>
            </w:r>
          </w:p>
        </w:tc>
      </w:tr>
      <w:tr>
        <w:trPr>
          <w:trHeight w:val="215"/>
        </w:trPr>
        <w:tc>
          <w:tcPr>
            <w:tcW w:w="6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8680" w:type="dxa"/>
            <w:vAlign w:val="bottom"/>
            <w:gridSpan w:val="5"/>
          </w:tcPr>
          <w:p>
            <w:pPr>
              <w:ind w:left="80"/>
              <w:spacing w:after="0"/>
              <w:rPr>
                <w:sz w:val="20"/>
                <w:szCs w:val="20"/>
                <w:color w:val="auto"/>
              </w:rPr>
            </w:pPr>
            <w:r>
              <w:rPr>
                <w:rFonts w:ascii="Arial" w:cs="Arial" w:eastAsia="Arial" w:hAnsi="Arial"/>
                <w:sz w:val="16"/>
                <w:szCs w:val="16"/>
                <w:color w:val="auto"/>
              </w:rPr>
              <w:t>statements. These responsibilities include the integrity of the financial statements, compliance with legal and regulatory</w:t>
            </w:r>
          </w:p>
        </w:tc>
      </w:tr>
      <w:tr>
        <w:trPr>
          <w:trHeight w:val="216"/>
        </w:trPr>
        <w:tc>
          <w:tcPr>
            <w:tcW w:w="6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8680" w:type="dxa"/>
            <w:vAlign w:val="bottom"/>
            <w:gridSpan w:val="5"/>
          </w:tcPr>
          <w:p>
            <w:pPr>
              <w:ind w:left="80"/>
              <w:spacing w:after="0"/>
              <w:rPr>
                <w:sz w:val="20"/>
                <w:szCs w:val="20"/>
                <w:color w:val="auto"/>
              </w:rPr>
            </w:pPr>
            <w:r>
              <w:rPr>
                <w:rFonts w:ascii="Arial" w:cs="Arial" w:eastAsia="Arial" w:hAnsi="Arial"/>
                <w:sz w:val="16"/>
                <w:szCs w:val="16"/>
                <w:color w:val="auto"/>
              </w:rPr>
              <w:t>requirements, the independence and qualifications of our external auditor and the performance of our internal audit</w:t>
            </w:r>
          </w:p>
        </w:tc>
      </w:tr>
      <w:tr>
        <w:trPr>
          <w:trHeight w:val="216"/>
        </w:trPr>
        <w:tc>
          <w:tcPr>
            <w:tcW w:w="6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920" w:type="dxa"/>
            <w:vAlign w:val="bottom"/>
            <w:gridSpan w:val="3"/>
          </w:tcPr>
          <w:p>
            <w:pPr>
              <w:ind w:left="80"/>
              <w:spacing w:after="0"/>
              <w:rPr>
                <w:sz w:val="20"/>
                <w:szCs w:val="20"/>
                <w:color w:val="auto"/>
              </w:rPr>
            </w:pPr>
            <w:r>
              <w:rPr>
                <w:rFonts w:ascii="Arial" w:cs="Arial" w:eastAsia="Arial" w:hAnsi="Arial"/>
                <w:sz w:val="16"/>
                <w:szCs w:val="16"/>
                <w:color w:val="auto"/>
              </w:rPr>
              <w:t>function and of the external auditor.</w:t>
            </w:r>
          </w:p>
        </w:tc>
        <w:tc>
          <w:tcPr>
            <w:tcW w:w="580" w:type="dxa"/>
            <w:vAlign w:val="bottom"/>
          </w:tcPr>
          <w:p>
            <w:pPr>
              <w:spacing w:after="0"/>
              <w:rPr>
                <w:sz w:val="18"/>
                <w:szCs w:val="18"/>
                <w:color w:val="auto"/>
              </w:rPr>
            </w:pPr>
          </w:p>
        </w:tc>
        <w:tc>
          <w:tcPr>
            <w:tcW w:w="318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-795020</wp:posOffset>
            </wp:positionV>
            <wp:extent cx="7132320" cy="347218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3472180"/>
                    </a:xfrm>
                    <a:prstGeom prst="rect">
                      <a:avLst/>
                    </a:prstGeom>
                    <a:noFill/>
                  </pic:spPr>
                </pic:pic>
              </a:graphicData>
            </a:graphic>
          </wp:anchor>
        </w:drawing>
      </w:r>
    </w:p>
    <w:p>
      <w:pPr>
        <w:spacing w:after="0" w:line="35" w:lineRule="exact"/>
        <w:rPr>
          <w:sz w:val="20"/>
          <w:szCs w:val="20"/>
          <w:color w:val="auto"/>
        </w:rPr>
      </w:pPr>
    </w:p>
    <w:p>
      <w:pPr>
        <w:ind w:left="2660" w:right="60" w:hanging="199"/>
        <w:spacing w:after="0" w:line="321" w:lineRule="auto"/>
        <w:tabs>
          <w:tab w:leader="none" w:pos="2617" w:val="left"/>
        </w:tabs>
        <w:numPr>
          <w:ilvl w:val="0"/>
          <w:numId w:val="40"/>
        </w:numPr>
        <w:rPr>
          <w:rFonts w:ascii="Arial" w:cs="Arial" w:eastAsia="Arial" w:hAnsi="Arial"/>
          <w:sz w:val="13"/>
          <w:szCs w:val="13"/>
          <w:color w:val="64A70B"/>
        </w:rPr>
      </w:pPr>
      <w:r>
        <w:rPr>
          <w:rFonts w:ascii="Arial" w:cs="Arial" w:eastAsia="Arial" w:hAnsi="Arial"/>
          <w:sz w:val="16"/>
          <w:szCs w:val="16"/>
          <w:color w:val="auto"/>
        </w:rPr>
        <w:t>Meets periodically with management to review and oversee risk exposures related to information security, cyber security and data protection, and the steps management has taken to monitor and control such exposures.</w:t>
      </w:r>
    </w:p>
    <w:p>
      <w:pPr>
        <w:spacing w:after="0" w:line="7" w:lineRule="exact"/>
        <w:rPr>
          <w:rFonts w:ascii="Arial" w:cs="Arial" w:eastAsia="Arial" w:hAnsi="Arial"/>
          <w:sz w:val="13"/>
          <w:szCs w:val="13"/>
          <w:color w:val="64A70B"/>
        </w:rPr>
      </w:pPr>
    </w:p>
    <w:p>
      <w:pPr>
        <w:ind w:left="2620" w:hanging="159"/>
        <w:spacing w:after="0"/>
        <w:tabs>
          <w:tab w:leader="none" w:pos="2620" w:val="left"/>
        </w:tabs>
        <w:numPr>
          <w:ilvl w:val="0"/>
          <w:numId w:val="40"/>
        </w:numPr>
        <w:rPr>
          <w:rFonts w:ascii="Arial" w:cs="Arial" w:eastAsia="Arial" w:hAnsi="Arial"/>
          <w:sz w:val="13"/>
          <w:szCs w:val="13"/>
          <w:color w:val="64A70B"/>
        </w:rPr>
      </w:pPr>
      <w:r>
        <w:rPr>
          <w:rFonts w:ascii="Arial" w:cs="Arial" w:eastAsia="Arial" w:hAnsi="Arial"/>
          <w:sz w:val="16"/>
          <w:szCs w:val="16"/>
          <w:color w:val="auto"/>
        </w:rPr>
        <w:t>Reviews and discusses disclosure of non-GAAP measures.</w:t>
      </w:r>
    </w:p>
    <w:p>
      <w:pPr>
        <w:spacing w:after="0" w:line="99" w:lineRule="exact"/>
        <w:rPr>
          <w:rFonts w:ascii="Arial" w:cs="Arial" w:eastAsia="Arial" w:hAnsi="Arial"/>
          <w:sz w:val="13"/>
          <w:szCs w:val="13"/>
          <w:color w:val="64A70B"/>
        </w:rPr>
      </w:pPr>
    </w:p>
    <w:p>
      <w:pPr>
        <w:ind w:left="2660" w:right="520" w:hanging="199"/>
        <w:spacing w:after="0" w:line="304" w:lineRule="auto"/>
        <w:tabs>
          <w:tab w:leader="none" w:pos="2617" w:val="left"/>
        </w:tabs>
        <w:numPr>
          <w:ilvl w:val="0"/>
          <w:numId w:val="40"/>
        </w:numPr>
        <w:rPr>
          <w:rFonts w:ascii="Arial" w:cs="Arial" w:eastAsia="Arial" w:hAnsi="Arial"/>
          <w:sz w:val="13"/>
          <w:szCs w:val="13"/>
          <w:color w:val="64A70B"/>
        </w:rPr>
      </w:pPr>
      <w:r>
        <w:rPr>
          <w:rFonts w:ascii="Arial" w:cs="Arial" w:eastAsia="Arial" w:hAnsi="Arial"/>
          <w:sz w:val="16"/>
          <w:szCs w:val="16"/>
          <w:color w:val="auto"/>
        </w:rPr>
        <w:t>Directly responsible for the appointment, compensation, evaluation, terms of engagement (including retention and termination), and oversight of the independent registered public accounting firm.</w:t>
      </w:r>
    </w:p>
    <w:p>
      <w:pPr>
        <w:spacing w:after="0" w:line="19" w:lineRule="exact"/>
        <w:rPr>
          <w:rFonts w:ascii="Arial" w:cs="Arial" w:eastAsia="Arial" w:hAnsi="Arial"/>
          <w:sz w:val="13"/>
          <w:szCs w:val="13"/>
          <w:color w:val="64A70B"/>
        </w:rPr>
      </w:pPr>
    </w:p>
    <w:p>
      <w:pPr>
        <w:ind w:left="2620" w:hanging="159"/>
        <w:spacing w:after="0"/>
        <w:tabs>
          <w:tab w:leader="none" w:pos="2620" w:val="left"/>
        </w:tabs>
        <w:numPr>
          <w:ilvl w:val="0"/>
          <w:numId w:val="40"/>
        </w:numPr>
        <w:rPr>
          <w:rFonts w:ascii="Arial" w:cs="Arial" w:eastAsia="Arial" w:hAnsi="Arial"/>
          <w:sz w:val="13"/>
          <w:szCs w:val="13"/>
          <w:color w:val="64A70B"/>
        </w:rPr>
      </w:pPr>
      <w:r>
        <w:rPr>
          <w:rFonts w:ascii="Arial" w:cs="Arial" w:eastAsia="Arial" w:hAnsi="Arial"/>
          <w:sz w:val="16"/>
          <w:szCs w:val="16"/>
          <w:color w:val="auto"/>
        </w:rPr>
        <w:t>Discusses with the independent auditor any critical audit matters.</w:t>
      </w:r>
    </w:p>
    <w:p>
      <w:pPr>
        <w:spacing w:after="0" w:line="99" w:lineRule="exact"/>
        <w:rPr>
          <w:rFonts w:ascii="Arial" w:cs="Arial" w:eastAsia="Arial" w:hAnsi="Arial"/>
          <w:sz w:val="13"/>
          <w:szCs w:val="13"/>
          <w:color w:val="64A70B"/>
        </w:rPr>
      </w:pPr>
    </w:p>
    <w:p>
      <w:pPr>
        <w:ind w:left="2660" w:right="60" w:hanging="199"/>
        <w:spacing w:after="0" w:line="301" w:lineRule="auto"/>
        <w:tabs>
          <w:tab w:leader="none" w:pos="2617" w:val="left"/>
        </w:tabs>
        <w:numPr>
          <w:ilvl w:val="0"/>
          <w:numId w:val="40"/>
        </w:numPr>
        <w:rPr>
          <w:rFonts w:ascii="Arial" w:cs="Arial" w:eastAsia="Arial" w:hAnsi="Arial"/>
          <w:sz w:val="13"/>
          <w:szCs w:val="13"/>
          <w:color w:val="64A70B"/>
        </w:rPr>
      </w:pPr>
      <w:r>
        <w:rPr>
          <w:rFonts w:ascii="Arial" w:cs="Arial" w:eastAsia="Arial" w:hAnsi="Arial"/>
          <w:sz w:val="16"/>
          <w:szCs w:val="16"/>
          <w:color w:val="auto"/>
        </w:rPr>
        <w:t>Holds meetings regularly with our independent and internal auditors, the Board, and management to review and monitor the adequacy and effectiveness of reporting, internal controls, risk assessment and compliance with our Code of Business Conduct and Ethics and other policies.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080" w:type="dxa"/>
            <w:vAlign w:val="bottom"/>
          </w:tcPr>
          <w:p>
            <w:pPr>
              <w:ind w:left="80"/>
              <w:spacing w:after="0"/>
              <w:rPr>
                <w:sz w:val="20"/>
                <w:szCs w:val="20"/>
                <w:color w:val="auto"/>
              </w:rPr>
            </w:pPr>
            <w:r>
              <w:rPr>
                <w:rFonts w:ascii="Arial" w:cs="Arial" w:eastAsia="Arial" w:hAnsi="Arial"/>
                <w:sz w:val="19"/>
                <w:szCs w:val="19"/>
                <w:b w:val="1"/>
                <w:bCs w:val="1"/>
                <w:color w:val="0C3471"/>
              </w:rPr>
              <w:t>Members:</w:t>
            </w:r>
          </w:p>
        </w:tc>
        <w:tc>
          <w:tcPr>
            <w:tcW w:w="9160" w:type="dxa"/>
            <w:vAlign w:val="bottom"/>
          </w:tcPr>
          <w:p>
            <w:pPr>
              <w:ind w:left="380"/>
              <w:spacing w:after="0"/>
              <w:rPr>
                <w:sz w:val="20"/>
                <w:szCs w:val="20"/>
                <w:color w:val="auto"/>
              </w:rPr>
            </w:pPr>
            <w:r>
              <w:rPr>
                <w:rFonts w:ascii="Arial" w:cs="Arial" w:eastAsia="Arial" w:hAnsi="Arial"/>
                <w:sz w:val="16"/>
                <w:szCs w:val="16"/>
                <w:color w:val="auto"/>
              </w:rPr>
              <w:t>Michael T. Speetzen (Chair), Mona Abutaleb Stephenson, Melissa Barra, Tracey C. Doi, and Gregory E. Knight. Upon</w:t>
            </w:r>
          </w:p>
        </w:tc>
      </w:tr>
      <w:tr>
        <w:trPr>
          <w:trHeight w:val="215"/>
        </w:trPr>
        <w:tc>
          <w:tcPr>
            <w:tcW w:w="2080" w:type="dxa"/>
            <w:vAlign w:val="bottom"/>
          </w:tcPr>
          <w:p>
            <w:pPr>
              <w:spacing w:after="0"/>
              <w:rPr>
                <w:sz w:val="18"/>
                <w:szCs w:val="18"/>
                <w:color w:val="auto"/>
              </w:rPr>
            </w:pPr>
          </w:p>
        </w:tc>
        <w:tc>
          <w:tcPr>
            <w:tcW w:w="9160" w:type="dxa"/>
            <w:vAlign w:val="bottom"/>
          </w:tcPr>
          <w:p>
            <w:pPr>
              <w:ind w:left="380"/>
              <w:spacing w:after="0"/>
              <w:rPr>
                <w:sz w:val="20"/>
                <w:szCs w:val="20"/>
                <w:color w:val="auto"/>
              </w:rPr>
            </w:pPr>
            <w:r>
              <w:rPr>
                <w:rFonts w:ascii="Arial" w:cs="Arial" w:eastAsia="Arial" w:hAnsi="Arial"/>
                <w:sz w:val="16"/>
                <w:szCs w:val="16"/>
                <w:color w:val="auto"/>
              </w:rPr>
              <w:t>completion of the Annual General Meeting, Ms. Abutaleb will leave the Audit and Finance Committee. All members have</w:t>
            </w:r>
          </w:p>
        </w:tc>
      </w:tr>
      <w:tr>
        <w:trPr>
          <w:trHeight w:val="215"/>
        </w:trPr>
        <w:tc>
          <w:tcPr>
            <w:tcW w:w="2080" w:type="dxa"/>
            <w:vAlign w:val="bottom"/>
          </w:tcPr>
          <w:p>
            <w:pPr>
              <w:spacing w:after="0"/>
              <w:rPr>
                <w:sz w:val="18"/>
                <w:szCs w:val="18"/>
                <w:color w:val="auto"/>
              </w:rPr>
            </w:pPr>
          </w:p>
        </w:tc>
        <w:tc>
          <w:tcPr>
            <w:tcW w:w="9160" w:type="dxa"/>
            <w:vAlign w:val="bottom"/>
          </w:tcPr>
          <w:p>
            <w:pPr>
              <w:ind w:left="380"/>
              <w:spacing w:after="0"/>
              <w:rPr>
                <w:sz w:val="20"/>
                <w:szCs w:val="20"/>
                <w:color w:val="auto"/>
              </w:rPr>
            </w:pPr>
            <w:r>
              <w:rPr>
                <w:rFonts w:ascii="Arial" w:cs="Arial" w:eastAsia="Arial" w:hAnsi="Arial"/>
                <w:sz w:val="16"/>
                <w:szCs w:val="16"/>
                <w:color w:val="auto"/>
              </w:rPr>
              <w:t>been determined to be independent under SEC and NYSE rules.</w:t>
            </w:r>
          </w:p>
        </w:tc>
      </w:tr>
      <w:tr>
        <w:trPr>
          <w:trHeight w:val="97"/>
        </w:trPr>
        <w:tc>
          <w:tcPr>
            <w:tcW w:w="2080" w:type="dxa"/>
            <w:vAlign w:val="bottom"/>
            <w:tcBorders>
              <w:bottom w:val="single" w:sz="8" w:color="BCBEC0"/>
            </w:tcBorders>
          </w:tcPr>
          <w:p>
            <w:pPr>
              <w:spacing w:after="0"/>
              <w:rPr>
                <w:sz w:val="8"/>
                <w:szCs w:val="8"/>
                <w:color w:val="auto"/>
              </w:rPr>
            </w:pPr>
          </w:p>
        </w:tc>
        <w:tc>
          <w:tcPr>
            <w:tcW w:w="9160" w:type="dxa"/>
            <w:vAlign w:val="bottom"/>
            <w:tcBorders>
              <w:bottom w:val="single" w:sz="8" w:color="BCBEC0"/>
            </w:tcBorders>
          </w:tcPr>
          <w:p>
            <w:pPr>
              <w:spacing w:after="0"/>
              <w:rPr>
                <w:sz w:val="8"/>
                <w:szCs w:val="8"/>
                <w:color w:val="auto"/>
              </w:rPr>
            </w:pPr>
          </w:p>
        </w:tc>
      </w:tr>
      <w:tr>
        <w:trPr>
          <w:trHeight w:val="320"/>
        </w:trPr>
        <w:tc>
          <w:tcPr>
            <w:tcW w:w="2080" w:type="dxa"/>
            <w:vAlign w:val="bottom"/>
          </w:tcPr>
          <w:p>
            <w:pPr>
              <w:ind w:left="80"/>
              <w:spacing w:after="0"/>
              <w:rPr>
                <w:sz w:val="20"/>
                <w:szCs w:val="20"/>
                <w:color w:val="auto"/>
              </w:rPr>
            </w:pPr>
            <w:r>
              <w:rPr>
                <w:rFonts w:ascii="Arial" w:cs="Arial" w:eastAsia="Arial" w:hAnsi="Arial"/>
                <w:sz w:val="19"/>
                <w:szCs w:val="19"/>
                <w:b w:val="1"/>
                <w:bCs w:val="1"/>
                <w:color w:val="0C3471"/>
              </w:rPr>
              <w:t>Report:</w:t>
            </w:r>
          </w:p>
        </w:tc>
        <w:tc>
          <w:tcPr>
            <w:tcW w:w="9160" w:type="dxa"/>
            <w:vAlign w:val="bottom"/>
          </w:tcPr>
          <w:p>
            <w:pPr>
              <w:ind w:left="380"/>
              <w:spacing w:after="0"/>
              <w:rPr>
                <w:sz w:val="20"/>
                <w:szCs w:val="20"/>
                <w:color w:val="auto"/>
              </w:rPr>
            </w:pPr>
            <w:r>
              <w:rPr>
                <w:rFonts w:ascii="Arial" w:cs="Arial" w:eastAsia="Arial" w:hAnsi="Arial"/>
                <w:sz w:val="16"/>
                <w:szCs w:val="16"/>
                <w:color w:val="auto"/>
              </w:rPr>
              <w:t>You can find the Audit and Finance Committee Report under “Audit and Finance Committee Report.”</w:t>
            </w:r>
          </w:p>
        </w:tc>
      </w:tr>
      <w:tr>
        <w:trPr>
          <w:trHeight w:val="65"/>
        </w:trPr>
        <w:tc>
          <w:tcPr>
            <w:tcW w:w="2080" w:type="dxa"/>
            <w:vAlign w:val="bottom"/>
            <w:tcBorders>
              <w:bottom w:val="single" w:sz="8" w:color="BCBEC0"/>
            </w:tcBorders>
          </w:tcPr>
          <w:p>
            <w:pPr>
              <w:spacing w:after="0"/>
              <w:rPr>
                <w:sz w:val="5"/>
                <w:szCs w:val="5"/>
                <w:color w:val="auto"/>
              </w:rPr>
            </w:pPr>
          </w:p>
        </w:tc>
        <w:tc>
          <w:tcPr>
            <w:tcW w:w="9160" w:type="dxa"/>
            <w:vAlign w:val="bottom"/>
            <w:tcBorders>
              <w:bottom w:val="single" w:sz="8" w:color="BCBEC0"/>
            </w:tcBorders>
          </w:tcPr>
          <w:p>
            <w:pPr>
              <w:spacing w:after="0"/>
              <w:rPr>
                <w:sz w:val="5"/>
                <w:szCs w:val="5"/>
                <w:color w:val="auto"/>
              </w:rPr>
            </w:pPr>
          </w:p>
        </w:tc>
      </w:tr>
      <w:tr>
        <w:trPr>
          <w:trHeight w:val="250"/>
        </w:trPr>
        <w:tc>
          <w:tcPr>
            <w:tcW w:w="2080" w:type="dxa"/>
            <w:vAlign w:val="bottom"/>
          </w:tcPr>
          <w:p>
            <w:pPr>
              <w:ind w:left="80"/>
              <w:spacing w:after="0"/>
              <w:rPr>
                <w:sz w:val="20"/>
                <w:szCs w:val="20"/>
                <w:color w:val="auto"/>
              </w:rPr>
            </w:pPr>
            <w:r>
              <w:rPr>
                <w:rFonts w:ascii="Arial" w:cs="Arial" w:eastAsia="Arial" w:hAnsi="Arial"/>
                <w:sz w:val="19"/>
                <w:szCs w:val="19"/>
                <w:b w:val="1"/>
                <w:bCs w:val="1"/>
                <w:color w:val="0C3471"/>
              </w:rPr>
              <w:t>Financial Experts:</w:t>
            </w:r>
          </w:p>
        </w:tc>
        <w:tc>
          <w:tcPr>
            <w:tcW w:w="9160" w:type="dxa"/>
            <w:vAlign w:val="bottom"/>
          </w:tcPr>
          <w:p>
            <w:pPr>
              <w:ind w:left="380"/>
              <w:spacing w:after="0"/>
              <w:rPr>
                <w:sz w:val="20"/>
                <w:szCs w:val="20"/>
                <w:color w:val="auto"/>
              </w:rPr>
            </w:pPr>
            <w:r>
              <w:rPr>
                <w:rFonts w:ascii="Arial" w:cs="Arial" w:eastAsia="Arial" w:hAnsi="Arial"/>
                <w:sz w:val="16"/>
                <w:szCs w:val="16"/>
                <w:color w:val="auto"/>
              </w:rPr>
              <w:t>The Board has determined that all members of the Committee are financially literate under NYSE rules and that Ms. Doi</w:t>
            </w:r>
          </w:p>
        </w:tc>
      </w:tr>
      <w:tr>
        <w:trPr>
          <w:trHeight w:val="215"/>
        </w:trPr>
        <w:tc>
          <w:tcPr>
            <w:tcW w:w="2080" w:type="dxa"/>
            <w:vAlign w:val="bottom"/>
          </w:tcPr>
          <w:p>
            <w:pPr>
              <w:spacing w:after="0"/>
              <w:rPr>
                <w:sz w:val="18"/>
                <w:szCs w:val="18"/>
                <w:color w:val="auto"/>
              </w:rPr>
            </w:pPr>
          </w:p>
        </w:tc>
        <w:tc>
          <w:tcPr>
            <w:tcW w:w="9160" w:type="dxa"/>
            <w:vAlign w:val="bottom"/>
          </w:tcPr>
          <w:p>
            <w:pPr>
              <w:ind w:left="380"/>
              <w:spacing w:after="0"/>
              <w:rPr>
                <w:sz w:val="20"/>
                <w:szCs w:val="20"/>
                <w:color w:val="auto"/>
              </w:rPr>
            </w:pPr>
            <w:r>
              <w:rPr>
                <w:rFonts w:ascii="Arial" w:cs="Arial" w:eastAsia="Arial" w:hAnsi="Arial"/>
                <w:sz w:val="16"/>
                <w:szCs w:val="16"/>
                <w:color w:val="auto"/>
              </w:rPr>
              <w:t>and Mr. Speetzen qualify as “audit committee financial experts” under SEC standards.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00" w:hanging="574"/>
        <w:spacing w:after="0"/>
        <w:tabs>
          <w:tab w:leader="none" w:pos="600" w:val="left"/>
        </w:tabs>
        <w:numPr>
          <w:ilvl w:val="0"/>
          <w:numId w:val="41"/>
        </w:numPr>
        <w:rPr>
          <w:rFonts w:ascii="Arial" w:cs="Arial" w:eastAsia="Arial" w:hAnsi="Arial"/>
          <w:sz w:val="16"/>
          <w:szCs w:val="16"/>
          <w:b w:val="1"/>
          <w:bCs w:val="1"/>
          <w:color w:val="auto"/>
        </w:rPr>
      </w:pPr>
      <w:r>
        <w:rPr>
          <w:rFonts w:ascii="Arial" w:cs="Arial" w:eastAsia="Arial" w:hAnsi="Arial"/>
          <w:sz w:val="16"/>
          <w:szCs w:val="16"/>
          <w:color w:val="auto"/>
        </w:rPr>
        <w:t xml:space="preserve">Pentair </w:t>
      </w:r>
      <w:r>
        <w:rPr>
          <w:rFonts w:ascii="Arial" w:cs="Arial" w:eastAsia="Arial" w:hAnsi="Arial"/>
          <w:sz w:val="16"/>
          <w:szCs w:val="16"/>
          <w:b w:val="1"/>
          <w:bCs w:val="1"/>
          <w:color w:val="0C3471"/>
        </w:rPr>
        <w:t>|</w:t>
      </w:r>
      <w:r>
        <w:rPr>
          <w:rFonts w:ascii="Arial" w:cs="Arial" w:eastAsia="Arial" w:hAnsi="Arial"/>
          <w:sz w:val="16"/>
          <w:szCs w:val="16"/>
          <w:color w:val="auto"/>
        </w:rPr>
        <w:t xml:space="preserve"> </w:t>
      </w:r>
      <w:r>
        <w:rPr>
          <w:rFonts w:ascii="Arial" w:cs="Arial" w:eastAsia="Arial" w:hAnsi="Arial"/>
          <w:sz w:val="16"/>
          <w:szCs w:val="16"/>
          <w:b w:val="1"/>
          <w:bCs w:val="1"/>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205105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341" w:right="319" w:bottom="1440" w:gutter="0" w:footer="0" w:header="0"/>
        </w:sectPr>
      </w:pPr>
    </w:p>
    <w:bookmarkStart w:id="22" w:name="page23"/>
    <w:bookmarkEnd w:id="22"/>
    <w:p>
      <w:pPr>
        <w:ind w:left="958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5831840</wp:posOffset>
            </wp:positionH>
            <wp:positionV relativeFrom="page">
              <wp:posOffset>191770</wp:posOffset>
            </wp:positionV>
            <wp:extent cx="102870" cy="11176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clrChange>
                        <a:clrFrom>
                          <a:srgbClr val="FFFFFF"/>
                        </a:clrFrom>
                        <a:clrTo>
                          <a:srgbClr val="FFFFFF">
                            <a:alpha val="0"/>
                          </a:srgbClr>
                        </a:clrTo>
                      </a:clrChange>
                      <a:extLst>
                        <a:ext uri="{28A0092B-C50C-407E-A947-70E740481C1C}"/>
                      </a:extLst>
                    </a:blip>
                    <a:srcRect/>
                    <a:stretch>
                      <a:fillRect/>
                    </a:stretch>
                  </pic:blipFill>
                  <pic:spPr bwMode="auto">
                    <a:xfrm>
                      <a:off x="0" y="0"/>
                      <a:ext cx="102870" cy="111760"/>
                    </a:xfrm>
                    <a:prstGeom prst="rect">
                      <a:avLst/>
                    </a:prstGeom>
                    <a:noFill/>
                  </pic:spPr>
                </pic:pic>
              </a:graphicData>
            </a:graphic>
          </wp:anchor>
        </w:drawing>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543560</wp:posOffset>
            </wp:positionV>
            <wp:extent cx="7140575" cy="349758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40575" cy="3497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80"/>
        <w:spacing w:after="0"/>
        <w:rPr>
          <w:sz w:val="20"/>
          <w:szCs w:val="20"/>
          <w:color w:val="auto"/>
        </w:rPr>
      </w:pPr>
      <w:r>
        <w:rPr>
          <w:rFonts w:ascii="Arial" w:cs="Arial" w:eastAsia="Arial" w:hAnsi="Arial"/>
          <w:sz w:val="25"/>
          <w:szCs w:val="25"/>
          <w:b w:val="1"/>
          <w:bCs w:val="1"/>
          <w:color w:val="auto"/>
        </w:rPr>
        <w:t>Compensation Committee</w:t>
      </w:r>
    </w:p>
    <w:p>
      <w:pPr>
        <w:sectPr>
          <w:pgSz w:w="11900" w:h="16838" w:orient="portrait"/>
          <w:cols w:equalWidth="0" w:num="1">
            <w:col w:w="11260"/>
          </w:cols>
          <w:pgMar w:left="320" w:top="314" w:right="319" w:bottom="1440" w:gutter="0" w:footer="0" w:header="0"/>
        </w:sectPr>
      </w:pPr>
    </w:p>
    <w:p>
      <w:pPr>
        <w:spacing w:after="0" w:line="304"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0C3471"/>
        </w:rPr>
        <w:t>Role:</w:t>
      </w:r>
    </w:p>
    <w:p>
      <w:pPr>
        <w:spacing w:after="0" w:line="20" w:lineRule="exact"/>
        <w:rPr>
          <w:sz w:val="20"/>
          <w:szCs w:val="20"/>
          <w:color w:val="auto"/>
        </w:rPr>
      </w:pPr>
      <w:r>
        <w:rPr>
          <w:sz w:val="20"/>
          <w:szCs w:val="20"/>
          <w:color w:val="auto"/>
        </w:rPr>
        <w:br w:type="column"/>
      </w:r>
    </w:p>
    <w:p>
      <w:pPr>
        <w:spacing w:after="0" w:line="337" w:lineRule="exact"/>
        <w:rPr>
          <w:sz w:val="20"/>
          <w:szCs w:val="20"/>
          <w:color w:val="auto"/>
        </w:rPr>
      </w:pPr>
    </w:p>
    <w:p>
      <w:pPr>
        <w:ind w:right="120" w:hanging="193"/>
        <w:spacing w:after="0" w:line="301" w:lineRule="auto"/>
        <w:rPr>
          <w:sz w:val="20"/>
          <w:szCs w:val="20"/>
          <w:color w:val="auto"/>
        </w:rPr>
      </w:pPr>
      <w:r>
        <w:rPr>
          <w:rFonts w:ascii="Arial" w:cs="Arial" w:eastAsia="Arial" w:hAnsi="Arial"/>
          <w:sz w:val="13"/>
          <w:szCs w:val="13"/>
          <w:color w:val="64A70B"/>
        </w:rPr>
        <w:t xml:space="preserve">u </w:t>
      </w:r>
      <w:r>
        <w:rPr>
          <w:rFonts w:ascii="Arial" w:cs="Arial" w:eastAsia="Arial" w:hAnsi="Arial"/>
          <w:sz w:val="16"/>
          <w:szCs w:val="16"/>
          <w:color w:val="000000"/>
        </w:rPr>
        <w:t>Approves, amends and administers the policies that govern executive compensation. This includes establishing and</w:t>
      </w:r>
      <w:r>
        <w:rPr>
          <w:rFonts w:ascii="Arial" w:cs="Arial" w:eastAsia="Arial" w:hAnsi="Arial"/>
          <w:sz w:val="13"/>
          <w:szCs w:val="13"/>
          <w:color w:val="64A70B"/>
        </w:rPr>
        <w:t xml:space="preserve"> </w:t>
      </w:r>
      <w:r>
        <w:rPr>
          <w:rFonts w:ascii="Arial" w:cs="Arial" w:eastAsia="Arial" w:hAnsi="Arial"/>
          <w:sz w:val="16"/>
          <w:szCs w:val="16"/>
          <w:color w:val="000000"/>
        </w:rPr>
        <w:t>reviewing executive base salaries and administering cash bonus and equity-based compensation under the Pentair plc 2020 Share and Incentive Plan (the “2020 Plan”).</w:t>
      </w:r>
    </w:p>
    <w:p>
      <w:pPr>
        <w:spacing w:after="0" w:line="10" w:lineRule="exact"/>
        <w:rPr>
          <w:sz w:val="20"/>
          <w:szCs w:val="20"/>
          <w:color w:val="auto"/>
        </w:rPr>
      </w:pPr>
    </w:p>
    <w:p>
      <w:pPr>
        <w:sectPr>
          <w:pgSz w:w="11900" w:h="16838" w:orient="portrait"/>
          <w:cols w:equalWidth="0" w:num="2">
            <w:col w:w="1940" w:space="720"/>
            <w:col w:w="8600"/>
          </w:cols>
          <w:pgMar w:left="320" w:top="314" w:right="319" w:bottom="1440" w:gutter="0" w:footer="0" w:header="0"/>
          <w:type w:val="continuous"/>
        </w:sectPr>
      </w:pPr>
    </w:p>
    <w:p>
      <w:pPr>
        <w:ind w:left="2460"/>
        <w:spacing w:after="0"/>
        <w:rPr>
          <w:sz w:val="20"/>
          <w:szCs w:val="20"/>
          <w:color w:val="auto"/>
        </w:rPr>
      </w:pPr>
      <w:r>
        <w:rPr>
          <w:rFonts w:ascii="Arial" w:cs="Arial" w:eastAsia="Arial" w:hAnsi="Arial"/>
          <w:sz w:val="13"/>
          <w:szCs w:val="13"/>
          <w:color w:val="64A70B"/>
        </w:rPr>
        <w:t xml:space="preserve">u </w:t>
      </w:r>
      <w:r>
        <w:rPr>
          <w:rFonts w:ascii="Arial" w:cs="Arial" w:eastAsia="Arial" w:hAnsi="Arial"/>
          <w:sz w:val="16"/>
          <w:szCs w:val="16"/>
          <w:color w:val="000000"/>
        </w:rPr>
        <w:t>Sets the Chief Executive Officer’s compensation in conjunction with the Board’s annual evaluation of his performance.</w:t>
      </w:r>
    </w:p>
    <w:p>
      <w:pPr>
        <w:spacing w:after="0" w:line="100" w:lineRule="exact"/>
        <w:rPr>
          <w:sz w:val="20"/>
          <w:szCs w:val="20"/>
          <w:color w:val="auto"/>
        </w:rPr>
      </w:pPr>
    </w:p>
    <w:p>
      <w:pPr>
        <w:ind w:left="2660" w:right="140" w:hanging="193"/>
        <w:spacing w:after="0" w:line="289" w:lineRule="auto"/>
        <w:rPr>
          <w:sz w:val="20"/>
          <w:szCs w:val="20"/>
          <w:color w:val="auto"/>
        </w:rPr>
      </w:pPr>
      <w:r>
        <w:rPr>
          <w:rFonts w:ascii="Arial" w:cs="Arial" w:eastAsia="Arial" w:hAnsi="Arial"/>
          <w:sz w:val="13"/>
          <w:szCs w:val="13"/>
          <w:color w:val="64A70B"/>
        </w:rPr>
        <w:t xml:space="preserve">u </w:t>
      </w:r>
      <w:r>
        <w:rPr>
          <w:rFonts w:ascii="Arial" w:cs="Arial" w:eastAsia="Arial" w:hAnsi="Arial"/>
          <w:sz w:val="16"/>
          <w:szCs w:val="16"/>
          <w:color w:val="000000"/>
        </w:rPr>
        <w:t>Has engaged Aon Consulting, a human resources consulting firm, to aid the Committee in its annual review of our</w:t>
      </w:r>
      <w:r>
        <w:rPr>
          <w:rFonts w:ascii="Arial" w:cs="Arial" w:eastAsia="Arial" w:hAnsi="Arial"/>
          <w:sz w:val="13"/>
          <w:szCs w:val="13"/>
          <w:color w:val="64A70B"/>
        </w:rPr>
        <w:t xml:space="preserve"> </w:t>
      </w:r>
      <w:r>
        <w:rPr>
          <w:rFonts w:ascii="Arial" w:cs="Arial" w:eastAsia="Arial" w:hAnsi="Arial"/>
          <w:sz w:val="16"/>
          <w:szCs w:val="16"/>
          <w:color w:val="000000"/>
        </w:rPr>
        <w:t>executive compensation program for continuing appropriateness and reasonableness and to make recommendations regarding executive officer compensation levels and structures. In reviewing our executive compensation program, the Committee also considers other sources to evaluate external market, industry and peer-company practices.</w:t>
      </w:r>
    </w:p>
    <w:p>
      <w:pPr>
        <w:sectPr>
          <w:pgSz w:w="11900" w:h="16838" w:orient="portrait"/>
          <w:cols w:equalWidth="0" w:num="1">
            <w:col w:w="11260"/>
          </w:cols>
          <w:pgMar w:left="320" w:top="314" w:right="319" w:bottom="1440" w:gutter="0" w:footer="0" w:header="0"/>
          <w:type w:val="continuous"/>
        </w:sectPr>
      </w:pPr>
    </w:p>
    <w:p>
      <w:pPr>
        <w:spacing w:after="0" w:line="74" w:lineRule="exact"/>
        <w:rPr>
          <w:sz w:val="20"/>
          <w:szCs w:val="20"/>
          <w:color w:val="auto"/>
        </w:rPr>
      </w:pPr>
    </w:p>
    <w:p>
      <w:pPr>
        <w:ind w:left="2460"/>
        <w:spacing w:after="0"/>
        <w:rPr>
          <w:sz w:val="20"/>
          <w:szCs w:val="20"/>
          <w:color w:val="auto"/>
        </w:rPr>
      </w:pPr>
      <w:r>
        <w:rPr>
          <w:rFonts w:ascii="Arial" w:cs="Arial" w:eastAsia="Arial" w:hAnsi="Arial"/>
          <w:sz w:val="16"/>
          <w:szCs w:val="16"/>
          <w:i w:val="1"/>
          <w:iCs w:val="1"/>
          <w:color w:val="auto"/>
        </w:rPr>
        <w:t>Information regarding the independence of Aon Consulting is included under the “Compensation Discussion and Analysis</w:t>
      </w:r>
    </w:p>
    <w:p>
      <w:pPr>
        <w:spacing w:after="0" w:line="29" w:lineRule="exact"/>
        <w:rPr>
          <w:sz w:val="20"/>
          <w:szCs w:val="20"/>
          <w:color w:val="auto"/>
        </w:rPr>
      </w:pPr>
    </w:p>
    <w:p>
      <w:pPr>
        <w:ind w:left="2460" w:right="160"/>
        <w:spacing w:after="0" w:line="293" w:lineRule="auto"/>
        <w:rPr>
          <w:sz w:val="20"/>
          <w:szCs w:val="20"/>
          <w:color w:val="auto"/>
        </w:rPr>
      </w:pPr>
      <w:r>
        <w:rPr>
          <w:rFonts w:ascii="Arial" w:cs="Arial" w:eastAsia="Arial" w:hAnsi="Arial"/>
          <w:sz w:val="16"/>
          <w:szCs w:val="16"/>
          <w:i w:val="1"/>
          <w:iCs w:val="1"/>
          <w:color w:val="auto"/>
        </w:rPr>
        <w:t>— Compensation Consultant” section of this Proxy Statement. A more complete description of the Committee’s practices can be found under the “Compensation Discussion and Analysis” section of this Proxy Statement under the headings “Comparative Framework” and “Compensation Consultant.”</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1720" w:type="dxa"/>
            <w:vAlign w:val="bottom"/>
          </w:tcPr>
          <w:p>
            <w:pPr>
              <w:ind w:left="80"/>
              <w:spacing w:after="0"/>
              <w:rPr>
                <w:sz w:val="20"/>
                <w:szCs w:val="20"/>
                <w:color w:val="auto"/>
              </w:rPr>
            </w:pPr>
            <w:r>
              <w:rPr>
                <w:rFonts w:ascii="Arial" w:cs="Arial" w:eastAsia="Arial" w:hAnsi="Arial"/>
                <w:sz w:val="19"/>
                <w:szCs w:val="19"/>
                <w:b w:val="1"/>
                <w:bCs w:val="1"/>
                <w:color w:val="0C3471"/>
              </w:rPr>
              <w:t>Members:</w:t>
            </w:r>
          </w:p>
        </w:tc>
        <w:tc>
          <w:tcPr>
            <w:tcW w:w="9520" w:type="dxa"/>
            <w:vAlign w:val="bottom"/>
          </w:tcPr>
          <w:p>
            <w:pPr>
              <w:ind w:left="740"/>
              <w:spacing w:after="0"/>
              <w:rPr>
                <w:sz w:val="20"/>
                <w:szCs w:val="20"/>
                <w:color w:val="auto"/>
              </w:rPr>
            </w:pPr>
            <w:r>
              <w:rPr>
                <w:rFonts w:ascii="Arial" w:cs="Arial" w:eastAsia="Arial" w:hAnsi="Arial"/>
                <w:sz w:val="16"/>
                <w:szCs w:val="16"/>
                <w:color w:val="auto"/>
              </w:rPr>
              <w:t>T. Michael Glenn (Chair), Theodore L. Harris, David A. Jones, and Billie I. Williamson. The term of Mr. Jones as a Director</w:t>
            </w:r>
          </w:p>
        </w:tc>
      </w:tr>
      <w:tr>
        <w:trPr>
          <w:trHeight w:val="203"/>
        </w:trPr>
        <w:tc>
          <w:tcPr>
            <w:tcW w:w="1720" w:type="dxa"/>
            <w:vAlign w:val="bottom"/>
          </w:tcPr>
          <w:p>
            <w:pPr>
              <w:spacing w:after="0"/>
              <w:rPr>
                <w:sz w:val="17"/>
                <w:szCs w:val="17"/>
                <w:color w:val="auto"/>
              </w:rPr>
            </w:pPr>
          </w:p>
        </w:tc>
        <w:tc>
          <w:tcPr>
            <w:tcW w:w="9520" w:type="dxa"/>
            <w:vAlign w:val="bottom"/>
          </w:tcPr>
          <w:p>
            <w:pPr>
              <w:ind w:left="740"/>
              <w:spacing w:after="0"/>
              <w:rPr>
                <w:sz w:val="20"/>
                <w:szCs w:val="20"/>
                <w:color w:val="auto"/>
              </w:rPr>
            </w:pPr>
            <w:r>
              <w:rPr>
                <w:rFonts w:ascii="Arial" w:cs="Arial" w:eastAsia="Arial" w:hAnsi="Arial"/>
                <w:sz w:val="16"/>
                <w:szCs w:val="16"/>
                <w:color w:val="auto"/>
              </w:rPr>
              <w:t>will expire at the Annual General Meeting and he will no longer serve as a member of the Compensation Committee upon</w:t>
            </w:r>
          </w:p>
        </w:tc>
      </w:tr>
      <w:tr>
        <w:trPr>
          <w:trHeight w:val="215"/>
        </w:trPr>
        <w:tc>
          <w:tcPr>
            <w:tcW w:w="1720" w:type="dxa"/>
            <w:vAlign w:val="bottom"/>
          </w:tcPr>
          <w:p>
            <w:pPr>
              <w:spacing w:after="0"/>
              <w:rPr>
                <w:sz w:val="18"/>
                <w:szCs w:val="18"/>
                <w:color w:val="auto"/>
              </w:rPr>
            </w:pPr>
          </w:p>
        </w:tc>
        <w:tc>
          <w:tcPr>
            <w:tcW w:w="9520" w:type="dxa"/>
            <w:vAlign w:val="bottom"/>
          </w:tcPr>
          <w:p>
            <w:pPr>
              <w:ind w:left="740"/>
              <w:spacing w:after="0"/>
              <w:rPr>
                <w:sz w:val="20"/>
                <w:szCs w:val="20"/>
                <w:color w:val="auto"/>
              </w:rPr>
            </w:pPr>
            <w:r>
              <w:rPr>
                <w:rFonts w:ascii="Arial" w:cs="Arial" w:eastAsia="Arial" w:hAnsi="Arial"/>
                <w:sz w:val="16"/>
                <w:szCs w:val="16"/>
                <w:color w:val="auto"/>
              </w:rPr>
              <w:t>completion of the Annual General Meeting. Upon the completion of the Annual General Meeting, Ms. Abutaleb will join the</w:t>
            </w:r>
          </w:p>
        </w:tc>
      </w:tr>
      <w:tr>
        <w:trPr>
          <w:trHeight w:val="204"/>
        </w:trPr>
        <w:tc>
          <w:tcPr>
            <w:tcW w:w="1720" w:type="dxa"/>
            <w:vAlign w:val="bottom"/>
          </w:tcPr>
          <w:p>
            <w:pPr>
              <w:spacing w:after="0"/>
              <w:rPr>
                <w:sz w:val="17"/>
                <w:szCs w:val="17"/>
                <w:color w:val="auto"/>
              </w:rPr>
            </w:pPr>
          </w:p>
        </w:tc>
        <w:tc>
          <w:tcPr>
            <w:tcW w:w="9520" w:type="dxa"/>
            <w:vAlign w:val="bottom"/>
          </w:tcPr>
          <w:p>
            <w:pPr>
              <w:ind w:left="740"/>
              <w:spacing w:after="0"/>
              <w:rPr>
                <w:sz w:val="20"/>
                <w:szCs w:val="20"/>
                <w:color w:val="auto"/>
              </w:rPr>
            </w:pPr>
            <w:r>
              <w:rPr>
                <w:rFonts w:ascii="Arial" w:cs="Arial" w:eastAsia="Arial" w:hAnsi="Arial"/>
                <w:sz w:val="16"/>
                <w:szCs w:val="16"/>
                <w:color w:val="auto"/>
              </w:rPr>
              <w:t>Compensation Committee and Mr. Harris will become Chair of the Compensation Committee. All current and proposed</w:t>
            </w:r>
          </w:p>
        </w:tc>
      </w:tr>
      <w:tr>
        <w:trPr>
          <w:trHeight w:val="215"/>
        </w:trPr>
        <w:tc>
          <w:tcPr>
            <w:tcW w:w="1720" w:type="dxa"/>
            <w:vAlign w:val="bottom"/>
          </w:tcPr>
          <w:p>
            <w:pPr>
              <w:spacing w:after="0"/>
              <w:rPr>
                <w:sz w:val="18"/>
                <w:szCs w:val="18"/>
                <w:color w:val="auto"/>
              </w:rPr>
            </w:pPr>
          </w:p>
        </w:tc>
        <w:tc>
          <w:tcPr>
            <w:tcW w:w="9520" w:type="dxa"/>
            <w:vAlign w:val="bottom"/>
          </w:tcPr>
          <w:p>
            <w:pPr>
              <w:ind w:left="740"/>
              <w:spacing w:after="0"/>
              <w:rPr>
                <w:sz w:val="20"/>
                <w:szCs w:val="20"/>
                <w:color w:val="auto"/>
              </w:rPr>
            </w:pPr>
            <w:r>
              <w:rPr>
                <w:rFonts w:ascii="Arial" w:cs="Arial" w:eastAsia="Arial" w:hAnsi="Arial"/>
                <w:sz w:val="16"/>
                <w:szCs w:val="16"/>
                <w:color w:val="auto"/>
              </w:rPr>
              <w:t>members have been determined to be independent under SEC and NYSE rules.</w:t>
            </w:r>
          </w:p>
        </w:tc>
      </w:tr>
      <w:tr>
        <w:trPr>
          <w:trHeight w:val="97"/>
        </w:trPr>
        <w:tc>
          <w:tcPr>
            <w:tcW w:w="1720" w:type="dxa"/>
            <w:vAlign w:val="bottom"/>
            <w:tcBorders>
              <w:bottom w:val="single" w:sz="8" w:color="BCBEC0"/>
            </w:tcBorders>
          </w:tcPr>
          <w:p>
            <w:pPr>
              <w:spacing w:after="0"/>
              <w:rPr>
                <w:sz w:val="8"/>
                <w:szCs w:val="8"/>
                <w:color w:val="auto"/>
              </w:rPr>
            </w:pPr>
          </w:p>
        </w:tc>
        <w:tc>
          <w:tcPr>
            <w:tcW w:w="9520" w:type="dxa"/>
            <w:vAlign w:val="bottom"/>
            <w:tcBorders>
              <w:bottom w:val="single" w:sz="8" w:color="BCBEC0"/>
            </w:tcBorders>
          </w:tcPr>
          <w:p>
            <w:pPr>
              <w:spacing w:after="0"/>
              <w:rPr>
                <w:sz w:val="8"/>
                <w:szCs w:val="8"/>
                <w:color w:val="auto"/>
              </w:rPr>
            </w:pPr>
          </w:p>
        </w:tc>
      </w:tr>
      <w:tr>
        <w:trPr>
          <w:trHeight w:val="263"/>
        </w:trPr>
        <w:tc>
          <w:tcPr>
            <w:tcW w:w="1720" w:type="dxa"/>
            <w:vAlign w:val="bottom"/>
          </w:tcPr>
          <w:p>
            <w:pPr>
              <w:ind w:left="80"/>
              <w:spacing w:after="0"/>
              <w:rPr>
                <w:sz w:val="20"/>
                <w:szCs w:val="20"/>
                <w:color w:val="auto"/>
              </w:rPr>
            </w:pPr>
            <w:r>
              <w:rPr>
                <w:rFonts w:ascii="Arial" w:cs="Arial" w:eastAsia="Arial" w:hAnsi="Arial"/>
                <w:sz w:val="19"/>
                <w:szCs w:val="19"/>
                <w:b w:val="1"/>
                <w:bCs w:val="1"/>
                <w:color w:val="0C3471"/>
              </w:rPr>
              <w:t>Report:</w:t>
            </w:r>
          </w:p>
        </w:tc>
        <w:tc>
          <w:tcPr>
            <w:tcW w:w="9520" w:type="dxa"/>
            <w:vAlign w:val="bottom"/>
          </w:tcPr>
          <w:p>
            <w:pPr>
              <w:ind w:left="740"/>
              <w:spacing w:after="0"/>
              <w:rPr>
                <w:sz w:val="20"/>
                <w:szCs w:val="20"/>
                <w:color w:val="auto"/>
              </w:rPr>
            </w:pPr>
            <w:r>
              <w:rPr>
                <w:rFonts w:ascii="Arial" w:cs="Arial" w:eastAsia="Arial" w:hAnsi="Arial"/>
                <w:sz w:val="16"/>
                <w:szCs w:val="16"/>
                <w:color w:val="auto"/>
              </w:rPr>
              <w:t>You can find the Compensation Committee Report under the “Compensation Committee Report” section of this Proxy</w:t>
            </w:r>
          </w:p>
        </w:tc>
      </w:tr>
      <w:tr>
        <w:trPr>
          <w:trHeight w:val="215"/>
        </w:trPr>
        <w:tc>
          <w:tcPr>
            <w:tcW w:w="1720" w:type="dxa"/>
            <w:vAlign w:val="bottom"/>
          </w:tcPr>
          <w:p>
            <w:pPr>
              <w:spacing w:after="0"/>
              <w:rPr>
                <w:sz w:val="18"/>
                <w:szCs w:val="18"/>
                <w:color w:val="auto"/>
              </w:rPr>
            </w:pPr>
          </w:p>
        </w:tc>
        <w:tc>
          <w:tcPr>
            <w:tcW w:w="9520" w:type="dxa"/>
            <w:vAlign w:val="bottom"/>
          </w:tcPr>
          <w:p>
            <w:pPr>
              <w:ind w:left="740"/>
              <w:spacing w:after="0"/>
              <w:rPr>
                <w:sz w:val="20"/>
                <w:szCs w:val="20"/>
                <w:color w:val="auto"/>
              </w:rPr>
            </w:pPr>
            <w:r>
              <w:rPr>
                <w:rFonts w:ascii="Arial" w:cs="Arial" w:eastAsia="Arial" w:hAnsi="Arial"/>
                <w:sz w:val="16"/>
                <w:szCs w:val="16"/>
                <w:color w:val="auto"/>
              </w:rPr>
              <w:t>Statement.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207010</wp:posOffset>
            </wp:positionV>
            <wp:extent cx="7140575" cy="3683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40575" cy="36830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left="80"/>
        <w:spacing w:after="0"/>
        <w:rPr>
          <w:sz w:val="20"/>
          <w:szCs w:val="20"/>
          <w:color w:val="auto"/>
        </w:rPr>
      </w:pPr>
      <w:r>
        <w:rPr>
          <w:rFonts w:ascii="Arial" w:cs="Arial" w:eastAsia="Arial" w:hAnsi="Arial"/>
          <w:sz w:val="25"/>
          <w:szCs w:val="25"/>
          <w:b w:val="1"/>
          <w:bCs w:val="1"/>
          <w:color w:val="auto"/>
        </w:rPr>
        <w:t>Governance Committee</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403"/>
        </w:trPr>
        <w:tc>
          <w:tcPr>
            <w:tcW w:w="2260" w:type="dxa"/>
            <w:vAlign w:val="bottom"/>
            <w:tcBorders>
              <w:top w:val="single" w:sz="8" w:color="0C3471"/>
              <w:right w:val="single" w:sz="8" w:color="BCBEC0"/>
            </w:tcBorders>
          </w:tcPr>
          <w:p>
            <w:pPr>
              <w:ind w:left="80"/>
              <w:spacing w:after="0"/>
              <w:rPr>
                <w:sz w:val="20"/>
                <w:szCs w:val="20"/>
                <w:color w:val="auto"/>
              </w:rPr>
            </w:pPr>
            <w:r>
              <w:rPr>
                <w:rFonts w:ascii="Arial" w:cs="Arial" w:eastAsia="Arial" w:hAnsi="Arial"/>
                <w:sz w:val="19"/>
                <w:szCs w:val="19"/>
                <w:b w:val="1"/>
                <w:bCs w:val="1"/>
                <w:color w:val="0C3471"/>
              </w:rPr>
              <w:t>Role:</w:t>
            </w:r>
          </w:p>
        </w:tc>
        <w:tc>
          <w:tcPr>
            <w:tcW w:w="320" w:type="dxa"/>
            <w:vAlign w:val="bottom"/>
            <w:tcBorders>
              <w:top w:val="single" w:sz="8" w:color="0C3471"/>
            </w:tcBorders>
          </w:tcPr>
          <w:p>
            <w:pPr>
              <w:ind w:left="200"/>
              <w:spacing w:after="0"/>
              <w:rPr>
                <w:sz w:val="20"/>
                <w:szCs w:val="20"/>
                <w:color w:val="auto"/>
              </w:rPr>
            </w:pPr>
            <w:r>
              <w:rPr>
                <w:rFonts w:ascii="Arial" w:cs="Arial" w:eastAsia="Arial" w:hAnsi="Arial"/>
                <w:sz w:val="13"/>
                <w:szCs w:val="13"/>
                <w:color w:val="64A70B"/>
              </w:rPr>
              <w:t>u</w:t>
            </w:r>
          </w:p>
        </w:tc>
        <w:tc>
          <w:tcPr>
            <w:tcW w:w="8660" w:type="dxa"/>
            <w:vAlign w:val="bottom"/>
            <w:tcBorders>
              <w:top w:val="single" w:sz="8" w:color="0C3471"/>
            </w:tcBorders>
          </w:tcPr>
          <w:p>
            <w:pPr>
              <w:ind w:left="40"/>
              <w:spacing w:after="0"/>
              <w:rPr>
                <w:sz w:val="20"/>
                <w:szCs w:val="20"/>
                <w:color w:val="auto"/>
              </w:rPr>
            </w:pPr>
            <w:r>
              <w:rPr>
                <w:rFonts w:ascii="Arial" w:cs="Arial" w:eastAsia="Arial" w:hAnsi="Arial"/>
                <w:sz w:val="16"/>
                <w:szCs w:val="16"/>
                <w:color w:val="auto"/>
              </w:rPr>
              <w:t>Responsible for, among other things, identifying individuals suited to become directors and recommending nominees to</w:t>
            </w:r>
          </w:p>
        </w:tc>
        <w:tc>
          <w:tcPr>
            <w:tcW w:w="20" w:type="dxa"/>
            <w:vAlign w:val="bottom"/>
            <w:tcBorders>
              <w:top w:val="single" w:sz="8" w:color="0C3471"/>
            </w:tcBorders>
          </w:tcPr>
          <w:p>
            <w:pPr>
              <w:spacing w:after="0"/>
              <w:rPr>
                <w:sz w:val="24"/>
                <w:szCs w:val="24"/>
                <w:color w:val="auto"/>
              </w:rPr>
            </w:pPr>
          </w:p>
        </w:tc>
      </w:tr>
      <w:tr>
        <w:trPr>
          <w:trHeight w:val="216"/>
        </w:trPr>
        <w:tc>
          <w:tcPr>
            <w:tcW w:w="2260" w:type="dxa"/>
            <w:vAlign w:val="bottom"/>
            <w:tcBorders>
              <w:right w:val="single" w:sz="8" w:color="BCBEC0"/>
            </w:tcBorders>
          </w:tcPr>
          <w:p>
            <w:pPr>
              <w:spacing w:after="0"/>
              <w:rPr>
                <w:sz w:val="18"/>
                <w:szCs w:val="18"/>
                <w:color w:val="auto"/>
              </w:rPr>
            </w:pPr>
          </w:p>
        </w:tc>
        <w:tc>
          <w:tcPr>
            <w:tcW w:w="320" w:type="dxa"/>
            <w:vAlign w:val="bottom"/>
          </w:tcPr>
          <w:p>
            <w:pPr>
              <w:spacing w:after="0"/>
              <w:rPr>
                <w:sz w:val="18"/>
                <w:szCs w:val="18"/>
                <w:color w:val="auto"/>
              </w:rPr>
            </w:pPr>
          </w:p>
        </w:tc>
        <w:tc>
          <w:tcPr>
            <w:tcW w:w="8660" w:type="dxa"/>
            <w:vAlign w:val="bottom"/>
          </w:tcPr>
          <w:p>
            <w:pPr>
              <w:ind w:left="80"/>
              <w:spacing w:after="0"/>
              <w:rPr>
                <w:sz w:val="20"/>
                <w:szCs w:val="20"/>
                <w:color w:val="auto"/>
              </w:rPr>
            </w:pPr>
            <w:r>
              <w:rPr>
                <w:rFonts w:ascii="Arial" w:cs="Arial" w:eastAsia="Arial" w:hAnsi="Arial"/>
                <w:sz w:val="16"/>
                <w:szCs w:val="16"/>
                <w:color w:val="auto"/>
              </w:rPr>
              <w:t>the Board for election at Annual General Meetings.</w:t>
            </w:r>
          </w:p>
        </w:tc>
        <w:tc>
          <w:tcPr>
            <w:tcW w:w="20" w:type="dxa"/>
            <w:vAlign w:val="bottom"/>
          </w:tcPr>
          <w:p>
            <w:pPr>
              <w:spacing w:after="0"/>
              <w:rPr>
                <w:sz w:val="18"/>
                <w:szCs w:val="18"/>
                <w:color w:val="auto"/>
              </w:rPr>
            </w:pPr>
          </w:p>
        </w:tc>
      </w:tr>
      <w:tr>
        <w:trPr>
          <w:trHeight w:val="271"/>
        </w:trPr>
        <w:tc>
          <w:tcPr>
            <w:tcW w:w="2260" w:type="dxa"/>
            <w:vAlign w:val="bottom"/>
            <w:tcBorders>
              <w:right w:val="single" w:sz="8" w:color="BCBEC0"/>
            </w:tcBorders>
          </w:tcPr>
          <w:p>
            <w:pPr>
              <w:spacing w:after="0"/>
              <w:rPr>
                <w:sz w:val="23"/>
                <w:szCs w:val="23"/>
                <w:color w:val="auto"/>
              </w:rPr>
            </w:pPr>
          </w:p>
        </w:tc>
        <w:tc>
          <w:tcPr>
            <w:tcW w:w="320" w:type="dxa"/>
            <w:vAlign w:val="bottom"/>
          </w:tcPr>
          <w:p>
            <w:pPr>
              <w:ind w:left="200"/>
              <w:spacing w:after="0"/>
              <w:rPr>
                <w:sz w:val="20"/>
                <w:szCs w:val="20"/>
                <w:color w:val="auto"/>
              </w:rPr>
            </w:pPr>
            <w:r>
              <w:rPr>
                <w:rFonts w:ascii="Arial" w:cs="Arial" w:eastAsia="Arial" w:hAnsi="Arial"/>
                <w:sz w:val="13"/>
                <w:szCs w:val="13"/>
                <w:color w:val="64A70B"/>
              </w:rPr>
              <w:t>u</w:t>
            </w:r>
          </w:p>
        </w:tc>
        <w:tc>
          <w:tcPr>
            <w:tcW w:w="8660" w:type="dxa"/>
            <w:vAlign w:val="bottom"/>
          </w:tcPr>
          <w:p>
            <w:pPr>
              <w:ind w:left="40"/>
              <w:spacing w:after="0"/>
              <w:rPr>
                <w:sz w:val="20"/>
                <w:szCs w:val="20"/>
                <w:color w:val="auto"/>
              </w:rPr>
            </w:pPr>
            <w:r>
              <w:rPr>
                <w:rFonts w:ascii="Arial" w:cs="Arial" w:eastAsia="Arial" w:hAnsi="Arial"/>
                <w:sz w:val="16"/>
                <w:szCs w:val="16"/>
                <w:color w:val="auto"/>
              </w:rPr>
              <w:t>Monitors developments in director compensation and, as appropriate, recommends changes in director compensation to</w:t>
            </w:r>
          </w:p>
        </w:tc>
        <w:tc>
          <w:tcPr>
            <w:tcW w:w="20" w:type="dxa"/>
            <w:vAlign w:val="bottom"/>
          </w:tcPr>
          <w:p>
            <w:pPr>
              <w:spacing w:after="0"/>
              <w:rPr>
                <w:sz w:val="23"/>
                <w:szCs w:val="23"/>
                <w:color w:val="auto"/>
              </w:rPr>
            </w:pPr>
          </w:p>
        </w:tc>
      </w:tr>
      <w:tr>
        <w:trPr>
          <w:trHeight w:val="215"/>
        </w:trPr>
        <w:tc>
          <w:tcPr>
            <w:tcW w:w="2260" w:type="dxa"/>
            <w:vAlign w:val="bottom"/>
            <w:tcBorders>
              <w:right w:val="single" w:sz="8" w:color="BCBEC0"/>
            </w:tcBorders>
          </w:tcPr>
          <w:p>
            <w:pPr>
              <w:spacing w:after="0"/>
              <w:rPr>
                <w:sz w:val="18"/>
                <w:szCs w:val="18"/>
                <w:color w:val="auto"/>
              </w:rPr>
            </w:pPr>
          </w:p>
        </w:tc>
        <w:tc>
          <w:tcPr>
            <w:tcW w:w="320" w:type="dxa"/>
            <w:vAlign w:val="bottom"/>
          </w:tcPr>
          <w:p>
            <w:pPr>
              <w:spacing w:after="0"/>
              <w:rPr>
                <w:sz w:val="18"/>
                <w:szCs w:val="18"/>
                <w:color w:val="auto"/>
              </w:rPr>
            </w:pPr>
          </w:p>
        </w:tc>
        <w:tc>
          <w:tcPr>
            <w:tcW w:w="8660" w:type="dxa"/>
            <w:vAlign w:val="bottom"/>
          </w:tcPr>
          <w:p>
            <w:pPr>
              <w:ind w:left="80"/>
              <w:spacing w:after="0"/>
              <w:rPr>
                <w:sz w:val="20"/>
                <w:szCs w:val="20"/>
                <w:color w:val="auto"/>
              </w:rPr>
            </w:pPr>
            <w:r>
              <w:rPr>
                <w:rFonts w:ascii="Arial" w:cs="Arial" w:eastAsia="Arial" w:hAnsi="Arial"/>
                <w:sz w:val="16"/>
                <w:szCs w:val="16"/>
                <w:color w:val="auto"/>
              </w:rPr>
              <w:t>the Board.</w:t>
            </w:r>
          </w:p>
        </w:tc>
        <w:tc>
          <w:tcPr>
            <w:tcW w:w="20" w:type="dxa"/>
            <w:vAlign w:val="bottom"/>
          </w:tcPr>
          <w:p>
            <w:pPr>
              <w:spacing w:after="0"/>
              <w:rPr>
                <w:sz w:val="18"/>
                <w:szCs w:val="18"/>
                <w:color w:val="auto"/>
              </w:rPr>
            </w:pPr>
          </w:p>
        </w:tc>
      </w:tr>
      <w:tr>
        <w:trPr>
          <w:trHeight w:val="283"/>
        </w:trPr>
        <w:tc>
          <w:tcPr>
            <w:tcW w:w="2260" w:type="dxa"/>
            <w:vAlign w:val="bottom"/>
            <w:tcBorders>
              <w:right w:val="single" w:sz="8" w:color="BCBEC0"/>
            </w:tcBorders>
          </w:tcPr>
          <w:p>
            <w:pPr>
              <w:spacing w:after="0"/>
              <w:rPr>
                <w:sz w:val="24"/>
                <w:szCs w:val="24"/>
                <w:color w:val="auto"/>
              </w:rPr>
            </w:pPr>
          </w:p>
        </w:tc>
        <w:tc>
          <w:tcPr>
            <w:tcW w:w="320" w:type="dxa"/>
            <w:vAlign w:val="bottom"/>
          </w:tcPr>
          <w:p>
            <w:pPr>
              <w:ind w:left="200"/>
              <w:spacing w:after="0"/>
              <w:rPr>
                <w:sz w:val="20"/>
                <w:szCs w:val="20"/>
                <w:color w:val="auto"/>
              </w:rPr>
            </w:pPr>
            <w:r>
              <w:rPr>
                <w:rFonts w:ascii="Arial" w:cs="Arial" w:eastAsia="Arial" w:hAnsi="Arial"/>
                <w:sz w:val="13"/>
                <w:szCs w:val="13"/>
                <w:color w:val="64A70B"/>
              </w:rPr>
              <w:t>u</w:t>
            </w:r>
          </w:p>
        </w:tc>
        <w:tc>
          <w:tcPr>
            <w:tcW w:w="8660" w:type="dxa"/>
            <w:vAlign w:val="bottom"/>
          </w:tcPr>
          <w:p>
            <w:pPr>
              <w:ind w:left="40"/>
              <w:spacing w:after="0"/>
              <w:rPr>
                <w:sz w:val="20"/>
                <w:szCs w:val="20"/>
                <w:color w:val="auto"/>
              </w:rPr>
            </w:pPr>
            <w:r>
              <w:rPr>
                <w:rFonts w:ascii="Arial" w:cs="Arial" w:eastAsia="Arial" w:hAnsi="Arial"/>
                <w:sz w:val="16"/>
                <w:szCs w:val="16"/>
                <w:color w:val="auto"/>
              </w:rPr>
              <w:t>Responsible for reviewing annually, and recommending to the Board, changes to our Corporate Governance Principles</w:t>
            </w:r>
          </w:p>
        </w:tc>
        <w:tc>
          <w:tcPr>
            <w:tcW w:w="20" w:type="dxa"/>
            <w:vAlign w:val="bottom"/>
          </w:tcPr>
          <w:p>
            <w:pPr>
              <w:spacing w:after="0"/>
              <w:rPr>
                <w:sz w:val="24"/>
                <w:szCs w:val="24"/>
                <w:color w:val="auto"/>
              </w:rPr>
            </w:pPr>
          </w:p>
        </w:tc>
      </w:tr>
      <w:tr>
        <w:trPr>
          <w:trHeight w:val="216"/>
        </w:trPr>
        <w:tc>
          <w:tcPr>
            <w:tcW w:w="2260" w:type="dxa"/>
            <w:vAlign w:val="bottom"/>
            <w:tcBorders>
              <w:right w:val="single" w:sz="8" w:color="BCBEC0"/>
            </w:tcBorders>
          </w:tcPr>
          <w:p>
            <w:pPr>
              <w:spacing w:after="0"/>
              <w:rPr>
                <w:sz w:val="18"/>
                <w:szCs w:val="18"/>
                <w:color w:val="auto"/>
              </w:rPr>
            </w:pPr>
          </w:p>
        </w:tc>
        <w:tc>
          <w:tcPr>
            <w:tcW w:w="320" w:type="dxa"/>
            <w:vAlign w:val="bottom"/>
          </w:tcPr>
          <w:p>
            <w:pPr>
              <w:spacing w:after="0"/>
              <w:rPr>
                <w:sz w:val="18"/>
                <w:szCs w:val="18"/>
                <w:color w:val="auto"/>
              </w:rPr>
            </w:pPr>
          </w:p>
        </w:tc>
        <w:tc>
          <w:tcPr>
            <w:tcW w:w="8660" w:type="dxa"/>
            <w:vAlign w:val="bottom"/>
          </w:tcPr>
          <w:p>
            <w:pPr>
              <w:ind w:left="80"/>
              <w:spacing w:after="0"/>
              <w:rPr>
                <w:sz w:val="20"/>
                <w:szCs w:val="20"/>
                <w:color w:val="auto"/>
              </w:rPr>
            </w:pPr>
            <w:r>
              <w:rPr>
                <w:rFonts w:ascii="Arial" w:cs="Arial" w:eastAsia="Arial" w:hAnsi="Arial"/>
                <w:sz w:val="16"/>
                <w:szCs w:val="16"/>
                <w:color w:val="auto"/>
              </w:rPr>
              <w:t>and administering the annual Board and Board committee self-assessments.</w:t>
            </w:r>
          </w:p>
        </w:tc>
        <w:tc>
          <w:tcPr>
            <w:tcW w:w="20" w:type="dxa"/>
            <w:vAlign w:val="bottom"/>
          </w:tcPr>
          <w:p>
            <w:pPr>
              <w:spacing w:after="0"/>
              <w:rPr>
                <w:sz w:val="18"/>
                <w:szCs w:val="18"/>
                <w:color w:val="auto"/>
              </w:rPr>
            </w:pPr>
          </w:p>
        </w:tc>
      </w:tr>
      <w:tr>
        <w:trPr>
          <w:trHeight w:val="283"/>
        </w:trPr>
        <w:tc>
          <w:tcPr>
            <w:tcW w:w="2260" w:type="dxa"/>
            <w:vAlign w:val="bottom"/>
            <w:tcBorders>
              <w:right w:val="single" w:sz="8" w:color="BCBEC0"/>
            </w:tcBorders>
          </w:tcPr>
          <w:p>
            <w:pPr>
              <w:spacing w:after="0"/>
              <w:rPr>
                <w:sz w:val="24"/>
                <w:szCs w:val="24"/>
                <w:color w:val="auto"/>
              </w:rPr>
            </w:pPr>
          </w:p>
        </w:tc>
        <w:tc>
          <w:tcPr>
            <w:tcW w:w="320" w:type="dxa"/>
            <w:vAlign w:val="bottom"/>
          </w:tcPr>
          <w:p>
            <w:pPr>
              <w:ind w:left="200"/>
              <w:spacing w:after="0"/>
              <w:rPr>
                <w:sz w:val="20"/>
                <w:szCs w:val="20"/>
                <w:color w:val="auto"/>
              </w:rPr>
            </w:pPr>
            <w:r>
              <w:rPr>
                <w:rFonts w:ascii="Arial" w:cs="Arial" w:eastAsia="Arial" w:hAnsi="Arial"/>
                <w:sz w:val="13"/>
                <w:szCs w:val="13"/>
                <w:color w:val="64A70B"/>
              </w:rPr>
              <w:t>u</w:t>
            </w:r>
          </w:p>
        </w:tc>
        <w:tc>
          <w:tcPr>
            <w:tcW w:w="8660" w:type="dxa"/>
            <w:vAlign w:val="bottom"/>
          </w:tcPr>
          <w:p>
            <w:pPr>
              <w:ind w:left="40"/>
              <w:spacing w:after="0"/>
              <w:rPr>
                <w:sz w:val="20"/>
                <w:szCs w:val="20"/>
                <w:color w:val="auto"/>
              </w:rPr>
            </w:pPr>
            <w:r>
              <w:rPr>
                <w:rFonts w:ascii="Arial" w:cs="Arial" w:eastAsia="Arial" w:hAnsi="Arial"/>
                <w:sz w:val="16"/>
                <w:szCs w:val="16"/>
                <w:color w:val="auto"/>
              </w:rPr>
              <w:t>Oversees public policy matters and compliance with our Code of Business Conduct and Ethics and other policies.</w:t>
            </w:r>
          </w:p>
        </w:tc>
        <w:tc>
          <w:tcPr>
            <w:tcW w:w="20" w:type="dxa"/>
            <w:vAlign w:val="bottom"/>
          </w:tcPr>
          <w:p>
            <w:pPr>
              <w:spacing w:after="0"/>
              <w:rPr>
                <w:sz w:val="24"/>
                <w:szCs w:val="24"/>
                <w:color w:val="auto"/>
              </w:rPr>
            </w:pPr>
          </w:p>
        </w:tc>
      </w:tr>
      <w:tr>
        <w:trPr>
          <w:trHeight w:val="270"/>
        </w:trPr>
        <w:tc>
          <w:tcPr>
            <w:tcW w:w="2260" w:type="dxa"/>
            <w:vAlign w:val="bottom"/>
            <w:tcBorders>
              <w:right w:val="single" w:sz="8" w:color="BCBEC0"/>
            </w:tcBorders>
          </w:tcPr>
          <w:p>
            <w:pPr>
              <w:spacing w:after="0"/>
              <w:rPr>
                <w:sz w:val="23"/>
                <w:szCs w:val="23"/>
                <w:color w:val="auto"/>
              </w:rPr>
            </w:pPr>
          </w:p>
        </w:tc>
        <w:tc>
          <w:tcPr>
            <w:tcW w:w="320" w:type="dxa"/>
            <w:vAlign w:val="bottom"/>
          </w:tcPr>
          <w:p>
            <w:pPr>
              <w:ind w:left="200"/>
              <w:spacing w:after="0"/>
              <w:rPr>
                <w:sz w:val="20"/>
                <w:szCs w:val="20"/>
                <w:color w:val="auto"/>
              </w:rPr>
            </w:pPr>
            <w:r>
              <w:rPr>
                <w:rFonts w:ascii="Arial" w:cs="Arial" w:eastAsia="Arial" w:hAnsi="Arial"/>
                <w:sz w:val="13"/>
                <w:szCs w:val="13"/>
                <w:color w:val="64A70B"/>
              </w:rPr>
              <w:t>u</w:t>
            </w:r>
          </w:p>
        </w:tc>
        <w:tc>
          <w:tcPr>
            <w:tcW w:w="8660" w:type="dxa"/>
            <w:vAlign w:val="bottom"/>
          </w:tcPr>
          <w:p>
            <w:pPr>
              <w:ind w:left="40"/>
              <w:spacing w:after="0"/>
              <w:rPr>
                <w:sz w:val="20"/>
                <w:szCs w:val="20"/>
                <w:color w:val="auto"/>
              </w:rPr>
            </w:pPr>
            <w:r>
              <w:rPr>
                <w:rFonts w:ascii="Arial" w:cs="Arial" w:eastAsia="Arial" w:hAnsi="Arial"/>
                <w:sz w:val="16"/>
                <w:szCs w:val="16"/>
                <w:color w:val="auto"/>
              </w:rPr>
              <w:t>Oversees the sustainability of the Company’s business operations and practices regarding environmental, social and</w:t>
            </w:r>
          </w:p>
        </w:tc>
        <w:tc>
          <w:tcPr>
            <w:tcW w:w="20" w:type="dxa"/>
            <w:vAlign w:val="bottom"/>
          </w:tcPr>
          <w:p>
            <w:pPr>
              <w:spacing w:after="0"/>
              <w:rPr>
                <w:sz w:val="23"/>
                <w:szCs w:val="23"/>
                <w:color w:val="auto"/>
              </w:rPr>
            </w:pPr>
          </w:p>
        </w:tc>
      </w:tr>
      <w:tr>
        <w:trPr>
          <w:trHeight w:val="216"/>
        </w:trPr>
        <w:tc>
          <w:tcPr>
            <w:tcW w:w="2260" w:type="dxa"/>
            <w:vAlign w:val="bottom"/>
            <w:tcBorders>
              <w:right w:val="single" w:sz="8" w:color="BCBEC0"/>
            </w:tcBorders>
          </w:tcPr>
          <w:p>
            <w:pPr>
              <w:spacing w:after="0"/>
              <w:rPr>
                <w:sz w:val="18"/>
                <w:szCs w:val="18"/>
                <w:color w:val="auto"/>
              </w:rPr>
            </w:pPr>
          </w:p>
        </w:tc>
        <w:tc>
          <w:tcPr>
            <w:tcW w:w="320" w:type="dxa"/>
            <w:vAlign w:val="bottom"/>
          </w:tcPr>
          <w:p>
            <w:pPr>
              <w:spacing w:after="0"/>
              <w:rPr>
                <w:sz w:val="18"/>
                <w:szCs w:val="18"/>
                <w:color w:val="auto"/>
              </w:rPr>
            </w:pPr>
          </w:p>
        </w:tc>
        <w:tc>
          <w:tcPr>
            <w:tcW w:w="8660" w:type="dxa"/>
            <w:vAlign w:val="bottom"/>
          </w:tcPr>
          <w:p>
            <w:pPr>
              <w:ind w:left="80"/>
              <w:spacing w:after="0"/>
              <w:rPr>
                <w:sz w:val="20"/>
                <w:szCs w:val="20"/>
                <w:color w:val="auto"/>
              </w:rPr>
            </w:pPr>
            <w:r>
              <w:rPr>
                <w:rFonts w:ascii="Arial" w:cs="Arial" w:eastAsia="Arial" w:hAnsi="Arial"/>
                <w:sz w:val="16"/>
                <w:szCs w:val="16"/>
                <w:color w:val="auto"/>
              </w:rPr>
              <w:t>political matters.</w:t>
            </w:r>
          </w:p>
        </w:tc>
        <w:tc>
          <w:tcPr>
            <w:tcW w:w="20" w:type="dxa"/>
            <w:vAlign w:val="bottom"/>
          </w:tcPr>
          <w:p>
            <w:pPr>
              <w:spacing w:after="0"/>
              <w:rPr>
                <w:sz w:val="18"/>
                <w:szCs w:val="18"/>
                <w:color w:val="auto"/>
              </w:rPr>
            </w:pPr>
          </w:p>
        </w:tc>
      </w:tr>
      <w:tr>
        <w:trPr>
          <w:trHeight w:val="164"/>
        </w:trPr>
        <w:tc>
          <w:tcPr>
            <w:tcW w:w="2260" w:type="dxa"/>
            <w:vAlign w:val="bottom"/>
            <w:tcBorders>
              <w:bottom w:val="single" w:sz="8" w:color="BCBEC0"/>
              <w:right w:val="single" w:sz="8" w:color="BCBEC0"/>
            </w:tcBorders>
          </w:tcPr>
          <w:p>
            <w:pPr>
              <w:spacing w:after="0"/>
              <w:rPr>
                <w:sz w:val="14"/>
                <w:szCs w:val="14"/>
                <w:color w:val="auto"/>
              </w:rPr>
            </w:pPr>
          </w:p>
        </w:tc>
        <w:tc>
          <w:tcPr>
            <w:tcW w:w="8980" w:type="dxa"/>
            <w:vAlign w:val="bottom"/>
            <w:tcBorders>
              <w:bottom w:val="single" w:sz="8" w:color="BCBEC0"/>
            </w:tcBorders>
            <w:gridSpan w:val="2"/>
          </w:tcPr>
          <w:p>
            <w:pPr>
              <w:spacing w:after="0"/>
              <w:rPr>
                <w:sz w:val="14"/>
                <w:szCs w:val="14"/>
                <w:color w:val="auto"/>
              </w:rPr>
            </w:pPr>
          </w:p>
        </w:tc>
        <w:tc>
          <w:tcPr>
            <w:tcW w:w="20" w:type="dxa"/>
            <w:vAlign w:val="bottom"/>
          </w:tcPr>
          <w:p>
            <w:pPr>
              <w:spacing w:after="0"/>
              <w:rPr>
                <w:sz w:val="14"/>
                <w:szCs w:val="14"/>
                <w:color w:val="auto"/>
              </w:rPr>
            </w:pPr>
          </w:p>
        </w:tc>
      </w:tr>
      <w:tr>
        <w:trPr>
          <w:trHeight w:val="250"/>
        </w:trPr>
        <w:tc>
          <w:tcPr>
            <w:tcW w:w="2260" w:type="dxa"/>
            <w:vAlign w:val="bottom"/>
            <w:tcBorders>
              <w:right w:val="single" w:sz="8" w:color="BCBEC0"/>
            </w:tcBorders>
          </w:tcPr>
          <w:p>
            <w:pPr>
              <w:ind w:left="80"/>
              <w:spacing w:after="0"/>
              <w:rPr>
                <w:sz w:val="20"/>
                <w:szCs w:val="20"/>
                <w:color w:val="auto"/>
              </w:rPr>
            </w:pPr>
            <w:r>
              <w:rPr>
                <w:rFonts w:ascii="Arial" w:cs="Arial" w:eastAsia="Arial" w:hAnsi="Arial"/>
                <w:sz w:val="19"/>
                <w:szCs w:val="19"/>
                <w:b w:val="1"/>
                <w:bCs w:val="1"/>
                <w:color w:val="0C3471"/>
              </w:rPr>
              <w:t>Members:</w:t>
            </w:r>
          </w:p>
        </w:tc>
        <w:tc>
          <w:tcPr>
            <w:tcW w:w="8980" w:type="dxa"/>
            <w:vAlign w:val="bottom"/>
            <w:gridSpan w:val="2"/>
          </w:tcPr>
          <w:p>
            <w:pPr>
              <w:ind w:left="200"/>
              <w:spacing w:after="0"/>
              <w:rPr>
                <w:sz w:val="20"/>
                <w:szCs w:val="20"/>
                <w:color w:val="auto"/>
              </w:rPr>
            </w:pPr>
            <w:r>
              <w:rPr>
                <w:rFonts w:ascii="Arial" w:cs="Arial" w:eastAsia="Arial" w:hAnsi="Arial"/>
                <w:sz w:val="16"/>
                <w:szCs w:val="16"/>
                <w:color w:val="auto"/>
              </w:rPr>
              <w:t>Billie I. Williamson (Chair), T. Michael Glenn, Theodore L. Harris, and David A. Jones. The term of Mr. Jones as a Director</w:t>
            </w:r>
          </w:p>
        </w:tc>
        <w:tc>
          <w:tcPr>
            <w:tcW w:w="20" w:type="dxa"/>
            <w:vAlign w:val="bottom"/>
          </w:tcPr>
          <w:p>
            <w:pPr>
              <w:spacing w:after="0"/>
              <w:rPr>
                <w:sz w:val="21"/>
                <w:szCs w:val="21"/>
                <w:color w:val="auto"/>
              </w:rPr>
            </w:pPr>
          </w:p>
        </w:tc>
      </w:tr>
      <w:tr>
        <w:trPr>
          <w:trHeight w:val="215"/>
        </w:trPr>
        <w:tc>
          <w:tcPr>
            <w:tcW w:w="2260" w:type="dxa"/>
            <w:vAlign w:val="bottom"/>
            <w:tcBorders>
              <w:right w:val="single" w:sz="8" w:color="BCBEC0"/>
            </w:tcBorders>
          </w:tcPr>
          <w:p>
            <w:pPr>
              <w:spacing w:after="0"/>
              <w:rPr>
                <w:sz w:val="18"/>
                <w:szCs w:val="18"/>
                <w:color w:val="auto"/>
              </w:rPr>
            </w:pPr>
          </w:p>
        </w:tc>
        <w:tc>
          <w:tcPr>
            <w:tcW w:w="8980" w:type="dxa"/>
            <w:vAlign w:val="bottom"/>
            <w:gridSpan w:val="2"/>
          </w:tcPr>
          <w:p>
            <w:pPr>
              <w:ind w:left="200"/>
              <w:spacing w:after="0"/>
              <w:rPr>
                <w:sz w:val="20"/>
                <w:szCs w:val="20"/>
                <w:color w:val="auto"/>
              </w:rPr>
            </w:pPr>
            <w:r>
              <w:rPr>
                <w:rFonts w:ascii="Arial" w:cs="Arial" w:eastAsia="Arial" w:hAnsi="Arial"/>
                <w:sz w:val="16"/>
                <w:szCs w:val="16"/>
                <w:color w:val="auto"/>
              </w:rPr>
              <w:t>will expire at the Annual General Meeting and he will no longer serve as a member of the Governance Committee upon</w:t>
            </w:r>
          </w:p>
        </w:tc>
        <w:tc>
          <w:tcPr>
            <w:tcW w:w="20" w:type="dxa"/>
            <w:vAlign w:val="bottom"/>
          </w:tcPr>
          <w:p>
            <w:pPr>
              <w:spacing w:after="0"/>
              <w:rPr>
                <w:sz w:val="18"/>
                <w:szCs w:val="18"/>
                <w:color w:val="auto"/>
              </w:rPr>
            </w:pPr>
          </w:p>
        </w:tc>
      </w:tr>
      <w:tr>
        <w:trPr>
          <w:trHeight w:val="203"/>
        </w:trPr>
        <w:tc>
          <w:tcPr>
            <w:tcW w:w="2260" w:type="dxa"/>
            <w:vAlign w:val="bottom"/>
            <w:tcBorders>
              <w:right w:val="single" w:sz="8" w:color="BCBEC0"/>
            </w:tcBorders>
          </w:tcPr>
          <w:p>
            <w:pPr>
              <w:spacing w:after="0"/>
              <w:rPr>
                <w:sz w:val="17"/>
                <w:szCs w:val="17"/>
                <w:color w:val="auto"/>
              </w:rPr>
            </w:pPr>
          </w:p>
        </w:tc>
        <w:tc>
          <w:tcPr>
            <w:tcW w:w="8980" w:type="dxa"/>
            <w:vAlign w:val="bottom"/>
            <w:gridSpan w:val="2"/>
          </w:tcPr>
          <w:p>
            <w:pPr>
              <w:ind w:left="200"/>
              <w:spacing w:after="0"/>
              <w:rPr>
                <w:sz w:val="20"/>
                <w:szCs w:val="20"/>
                <w:color w:val="auto"/>
              </w:rPr>
            </w:pPr>
            <w:r>
              <w:rPr>
                <w:rFonts w:ascii="Arial" w:cs="Arial" w:eastAsia="Arial" w:hAnsi="Arial"/>
                <w:sz w:val="16"/>
                <w:szCs w:val="16"/>
                <w:color w:val="auto"/>
              </w:rPr>
              <w:t>completion of the Annual General Meeting. Upon the completion of the Annual General Meeting, Ms. Abutaleb will join the</w:t>
            </w:r>
          </w:p>
        </w:tc>
        <w:tc>
          <w:tcPr>
            <w:tcW w:w="20" w:type="dxa"/>
            <w:vAlign w:val="bottom"/>
          </w:tcPr>
          <w:p>
            <w:pPr>
              <w:spacing w:after="0"/>
              <w:rPr>
                <w:sz w:val="17"/>
                <w:szCs w:val="17"/>
                <w:color w:val="auto"/>
              </w:rPr>
            </w:pPr>
          </w:p>
        </w:tc>
      </w:tr>
      <w:tr>
        <w:trPr>
          <w:trHeight w:val="215"/>
        </w:trPr>
        <w:tc>
          <w:tcPr>
            <w:tcW w:w="2260" w:type="dxa"/>
            <w:vAlign w:val="bottom"/>
            <w:tcBorders>
              <w:right w:val="single" w:sz="8" w:color="BCBEC0"/>
            </w:tcBorders>
          </w:tcPr>
          <w:p>
            <w:pPr>
              <w:spacing w:after="0"/>
              <w:rPr>
                <w:sz w:val="18"/>
                <w:szCs w:val="18"/>
                <w:color w:val="auto"/>
              </w:rPr>
            </w:pPr>
          </w:p>
        </w:tc>
        <w:tc>
          <w:tcPr>
            <w:tcW w:w="8980" w:type="dxa"/>
            <w:vAlign w:val="bottom"/>
            <w:gridSpan w:val="2"/>
          </w:tcPr>
          <w:p>
            <w:pPr>
              <w:ind w:left="200"/>
              <w:spacing w:after="0"/>
              <w:rPr>
                <w:sz w:val="20"/>
                <w:szCs w:val="20"/>
                <w:color w:val="auto"/>
              </w:rPr>
            </w:pPr>
            <w:r>
              <w:rPr>
                <w:rFonts w:ascii="Arial" w:cs="Arial" w:eastAsia="Arial" w:hAnsi="Arial"/>
                <w:sz w:val="16"/>
                <w:szCs w:val="16"/>
                <w:color w:val="auto"/>
              </w:rPr>
              <w:t>Governance Committee. All members have been determined to be independent under NYSE rules.</w:t>
            </w:r>
          </w:p>
        </w:tc>
        <w:tc>
          <w:tcPr>
            <w:tcW w:w="20" w:type="dxa"/>
            <w:vAlign w:val="bottom"/>
          </w:tcPr>
          <w:p>
            <w:pPr>
              <w:spacing w:after="0"/>
              <w:rPr>
                <w:sz w:val="18"/>
                <w:szCs w:val="18"/>
                <w:color w:val="auto"/>
              </w:rPr>
            </w:pPr>
          </w:p>
        </w:tc>
      </w:tr>
      <w:tr>
        <w:trPr>
          <w:trHeight w:val="96"/>
        </w:trPr>
        <w:tc>
          <w:tcPr>
            <w:tcW w:w="2260" w:type="dxa"/>
            <w:vAlign w:val="bottom"/>
            <w:tcBorders>
              <w:bottom w:val="single" w:sz="8" w:color="BCBEC0"/>
              <w:right w:val="single" w:sz="8" w:color="BCBEC0"/>
            </w:tcBorders>
          </w:tcPr>
          <w:p>
            <w:pPr>
              <w:spacing w:after="0"/>
              <w:rPr>
                <w:sz w:val="8"/>
                <w:szCs w:val="8"/>
                <w:color w:val="auto"/>
              </w:rPr>
            </w:pPr>
          </w:p>
        </w:tc>
        <w:tc>
          <w:tcPr>
            <w:tcW w:w="320" w:type="dxa"/>
            <w:vAlign w:val="bottom"/>
            <w:tcBorders>
              <w:bottom w:val="single" w:sz="8" w:color="BCBEC0"/>
            </w:tcBorders>
          </w:tcPr>
          <w:p>
            <w:pPr>
              <w:spacing w:after="0"/>
              <w:rPr>
                <w:sz w:val="8"/>
                <w:szCs w:val="8"/>
                <w:color w:val="auto"/>
              </w:rPr>
            </w:pPr>
          </w:p>
        </w:tc>
        <w:tc>
          <w:tcPr>
            <w:tcW w:w="8660" w:type="dxa"/>
            <w:vAlign w:val="bottom"/>
            <w:tcBorders>
              <w:bottom w:val="single" w:sz="8" w:color="BCBEC0"/>
            </w:tcBorders>
          </w:tcPr>
          <w:p>
            <w:pPr>
              <w:spacing w:after="0"/>
              <w:rPr>
                <w:sz w:val="8"/>
                <w:szCs w:val="8"/>
                <w:color w:val="auto"/>
              </w:rPr>
            </w:pPr>
          </w:p>
        </w:tc>
        <w:tc>
          <w:tcPr>
            <w:tcW w:w="20" w:type="dxa"/>
            <w:vAlign w:val="bottom"/>
          </w:tcPr>
          <w:p>
            <w:pPr>
              <w:spacing w:after="0"/>
              <w:rPr>
                <w:sz w:val="8"/>
                <w:szCs w:val="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10780" w:type="dxa"/>
            <w:vAlign w:val="bottom"/>
          </w:tcPr>
          <w:p>
            <w:pPr>
              <w:ind w:left="8260"/>
              <w:spacing w:after="0"/>
              <w:rPr>
                <w:sz w:val="20"/>
                <w:szCs w:val="20"/>
                <w:color w:val="auto"/>
              </w:rPr>
            </w:pPr>
            <w:r>
              <w:rPr>
                <w:rFonts w:ascii="Arial" w:cs="Arial" w:eastAsia="Arial" w:hAnsi="Arial"/>
                <w:sz w:val="16"/>
                <w:szCs w:val="16"/>
                <w:b w:val="1"/>
                <w:bCs w:val="1"/>
                <w:color w:val="auto"/>
              </w:rPr>
              <w:t xml:space="preserve">2026 Proxy Statement </w:t>
            </w:r>
            <w:r>
              <w:rPr>
                <w:rFonts w:ascii="Arial" w:cs="Arial" w:eastAsia="Arial" w:hAnsi="Arial"/>
                <w:sz w:val="16"/>
                <w:szCs w:val="16"/>
                <w:b w:val="1"/>
                <w:bCs w:val="1"/>
                <w:color w:val="0C3471"/>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Pentair</w:t>
            </w:r>
          </w:p>
        </w:tc>
        <w:tc>
          <w:tcPr>
            <w:tcW w:w="460" w:type="dxa"/>
            <w:vAlign w:val="bottom"/>
          </w:tcPr>
          <w:p>
            <w:pPr>
              <w:jc w:val="right"/>
              <w:spacing w:after="0"/>
              <w:rPr>
                <w:sz w:val="20"/>
                <w:szCs w:val="20"/>
                <w:color w:val="auto"/>
              </w:rPr>
            </w:pPr>
            <w:r>
              <w:rPr>
                <w:rFonts w:ascii="Arial" w:cs="Arial" w:eastAsia="Arial" w:hAnsi="Arial"/>
                <w:sz w:val="16"/>
                <w:szCs w:val="16"/>
                <w:b w:val="1"/>
                <w:bCs w:val="1"/>
                <w:color w:val="auto"/>
              </w:rPr>
              <w:t>21</w:t>
            </w:r>
          </w:p>
        </w:tc>
      </w:tr>
      <w:tr>
        <w:trPr>
          <w:trHeight w:val="311"/>
        </w:trPr>
        <w:tc>
          <w:tcPr>
            <w:tcW w:w="107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314" w:right="319" w:bottom="1440" w:gutter="0" w:footer="0" w:header="0"/>
          <w:type w:val="continuous"/>
        </w:sectPr>
      </w:pPr>
    </w:p>
    <w:bookmarkStart w:id="23" w:name="page24"/>
    <w:bookmarkEnd w:id="23"/>
    <w:p>
      <w:pPr>
        <w:ind w:left="40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225425</wp:posOffset>
            </wp:positionH>
            <wp:positionV relativeFrom="page">
              <wp:posOffset>191770</wp:posOffset>
            </wp:positionV>
            <wp:extent cx="102870" cy="11176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clrChange>
                        <a:clrFrom>
                          <a:srgbClr val="FFFFFF"/>
                        </a:clrFrom>
                        <a:clrTo>
                          <a:srgbClr val="FFFFFF">
                            <a:alpha val="0"/>
                          </a:srgbClr>
                        </a:clrTo>
                      </a:clrChange>
                      <a:extLst>
                        <a:ext uri="{28A0092B-C50C-407E-A947-70E740481C1C}"/>
                      </a:extLst>
                    </a:blip>
                    <a:srcRect/>
                    <a:stretch>
                      <a:fillRect/>
                    </a:stretch>
                  </pic:blipFill>
                  <pic:spPr bwMode="auto">
                    <a:xfrm>
                      <a:off x="0" y="0"/>
                      <a:ext cx="102870" cy="111760"/>
                    </a:xfrm>
                    <a:prstGeom prst="rect">
                      <a:avLst/>
                    </a:prstGeom>
                    <a:noFill/>
                  </pic:spPr>
                </pic:pic>
              </a:graphicData>
            </a:graphic>
          </wp:anchor>
        </w:drawing>
        <w:t>Corporate Governance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32"/>
          <w:szCs w:val="32"/>
          <w:color w:val="0C3471"/>
        </w:rPr>
        <w:t>Attendance at Meetings</w:t>
      </w:r>
    </w:p>
    <w:p>
      <w:pPr>
        <w:spacing w:after="0" w:line="146"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Members of the Board are expected to attend all scheduled meetings of the Board and the committees on which they serve and all Annual and Extraordinary General Meetings of Shareholders. In 2025, all current directors attended 100% of the meetings of the Board and meetings of the committees on which they served. In each regularly scheduled Board meeting, the independent directors also met in executive session, without the Chief Executive Officer or other members of management present. All of the current directors who were then-serving attended the 2025 Annual General Meeting in person.</w:t>
      </w:r>
    </w:p>
    <w:p>
      <w:pPr>
        <w:spacing w:after="0" w:line="261" w:lineRule="exact"/>
        <w:rPr>
          <w:sz w:val="20"/>
          <w:szCs w:val="20"/>
          <w:color w:val="auto"/>
        </w:rPr>
      </w:pPr>
    </w:p>
    <w:p>
      <w:pPr>
        <w:spacing w:after="0"/>
        <w:rPr>
          <w:sz w:val="20"/>
          <w:szCs w:val="20"/>
          <w:color w:val="auto"/>
        </w:rPr>
      </w:pPr>
      <w:r>
        <w:rPr>
          <w:rFonts w:ascii="Arial" w:cs="Arial" w:eastAsia="Arial" w:hAnsi="Arial"/>
          <w:sz w:val="32"/>
          <w:szCs w:val="32"/>
          <w:color w:val="0C3471"/>
        </w:rPr>
        <w:t>Board and Committee Self-Assessments</w:t>
      </w:r>
    </w:p>
    <w:p>
      <w:pPr>
        <w:spacing w:after="0" w:line="146" w:lineRule="exact"/>
        <w:rPr>
          <w:sz w:val="20"/>
          <w:szCs w:val="20"/>
          <w:color w:val="auto"/>
        </w:rPr>
      </w:pPr>
    </w:p>
    <w:p>
      <w:pPr>
        <w:ind w:right="300"/>
        <w:spacing w:after="0" w:line="289" w:lineRule="auto"/>
        <w:rPr>
          <w:sz w:val="20"/>
          <w:szCs w:val="20"/>
          <w:color w:val="auto"/>
        </w:rPr>
      </w:pPr>
      <w:r>
        <w:rPr>
          <w:rFonts w:ascii="Arial" w:cs="Arial" w:eastAsia="Arial" w:hAnsi="Arial"/>
          <w:sz w:val="16"/>
          <w:szCs w:val="16"/>
          <w:color w:val="auto"/>
        </w:rPr>
        <w:t>The Board annually conducts a self-assessment of the Board and each committee in addition to verbal assessments conducted at the end of Board and committee meetings. In 2025, the annual assessment process consisted of individual meetings between the Chair and each director to discuss his or her assessment of the Board, and a written evaluation of the Board and each committee by its members comprising both quantitative scoring and narrative comments on a range of topics, including: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40575" cy="13462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40575" cy="1346200"/>
                    </a:xfrm>
                    <a:prstGeom prst="rect">
                      <a:avLst/>
                    </a:prstGeom>
                    <a:noFill/>
                  </pic:spPr>
                </pic:pic>
              </a:graphicData>
            </a:graphic>
          </wp:anchor>
        </w:drawing>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FFFFFF"/>
        </w:rPr>
        <w:t>Self-Assessment Topics</w:t>
      </w:r>
    </w:p>
    <w:p>
      <w:pPr>
        <w:spacing w:after="0" w:line="162" w:lineRule="exact"/>
        <w:rPr>
          <w:sz w:val="20"/>
          <w:szCs w:val="20"/>
          <w:color w:val="auto"/>
        </w:rPr>
      </w:pPr>
    </w:p>
    <w:p>
      <w:pPr>
        <w:ind w:left="1820" w:hanging="155"/>
        <w:spacing w:after="0"/>
        <w:tabs>
          <w:tab w:leader="none" w:pos="1820" w:val="left"/>
        </w:tabs>
        <w:numPr>
          <w:ilvl w:val="0"/>
          <w:numId w:val="43"/>
        </w:numPr>
        <w:rPr>
          <w:rFonts w:ascii="Arial" w:cs="Arial" w:eastAsia="Arial" w:hAnsi="Arial"/>
          <w:sz w:val="13"/>
          <w:szCs w:val="13"/>
          <w:color w:val="64A70B"/>
        </w:rPr>
      </w:pPr>
      <w:r>
        <w:rPr>
          <w:rFonts w:ascii="Arial" w:cs="Arial" w:eastAsia="Arial" w:hAnsi="Arial"/>
          <w:sz w:val="16"/>
          <w:szCs w:val="16"/>
          <w:color w:val="auto"/>
        </w:rPr>
        <w:t>Composition and structure of the Board</w:t>
      </w:r>
    </w:p>
    <w:p>
      <w:pPr>
        <w:spacing w:after="0" w:line="99" w:lineRule="exact"/>
        <w:rPr>
          <w:rFonts w:ascii="Arial" w:cs="Arial" w:eastAsia="Arial" w:hAnsi="Arial"/>
          <w:sz w:val="13"/>
          <w:szCs w:val="13"/>
          <w:color w:val="64A70B"/>
        </w:rPr>
      </w:pPr>
    </w:p>
    <w:p>
      <w:pPr>
        <w:ind w:left="1820" w:hanging="155"/>
        <w:spacing w:after="0"/>
        <w:tabs>
          <w:tab w:leader="none" w:pos="1820" w:val="left"/>
        </w:tabs>
        <w:numPr>
          <w:ilvl w:val="0"/>
          <w:numId w:val="43"/>
        </w:numPr>
        <w:rPr>
          <w:rFonts w:ascii="Arial" w:cs="Arial" w:eastAsia="Arial" w:hAnsi="Arial"/>
          <w:sz w:val="13"/>
          <w:szCs w:val="13"/>
          <w:color w:val="64A70B"/>
        </w:rPr>
      </w:pPr>
      <w:r>
        <w:rPr>
          <w:rFonts w:ascii="Arial" w:cs="Arial" w:eastAsia="Arial" w:hAnsi="Arial"/>
          <w:sz w:val="16"/>
          <w:szCs w:val="16"/>
          <w:color w:val="auto"/>
        </w:rPr>
        <w:t>Type and frequency of communications and information provided to the Board and the committees</w:t>
      </w:r>
    </w:p>
    <w:p>
      <w:pPr>
        <w:spacing w:after="0" w:line="99" w:lineRule="exact"/>
        <w:rPr>
          <w:rFonts w:ascii="Arial" w:cs="Arial" w:eastAsia="Arial" w:hAnsi="Arial"/>
          <w:sz w:val="13"/>
          <w:szCs w:val="13"/>
          <w:color w:val="64A70B"/>
        </w:rPr>
      </w:pPr>
    </w:p>
    <w:p>
      <w:pPr>
        <w:ind w:left="1820" w:hanging="155"/>
        <w:spacing w:after="0"/>
        <w:tabs>
          <w:tab w:leader="none" w:pos="1820" w:val="left"/>
        </w:tabs>
        <w:numPr>
          <w:ilvl w:val="0"/>
          <w:numId w:val="43"/>
        </w:numPr>
        <w:rPr>
          <w:rFonts w:ascii="Arial" w:cs="Arial" w:eastAsia="Arial" w:hAnsi="Arial"/>
          <w:sz w:val="13"/>
          <w:szCs w:val="13"/>
          <w:color w:val="64A70B"/>
        </w:rPr>
      </w:pPr>
      <w:r>
        <w:rPr>
          <w:rFonts w:ascii="Arial" w:cs="Arial" w:eastAsia="Arial" w:hAnsi="Arial"/>
          <w:sz w:val="16"/>
          <w:szCs w:val="16"/>
          <w:color w:val="auto"/>
        </w:rPr>
        <w:t>Board effectiveness in carrying out its functions and responsibilities</w:t>
      </w:r>
    </w:p>
    <w:p>
      <w:pPr>
        <w:spacing w:after="0" w:line="86" w:lineRule="exact"/>
        <w:rPr>
          <w:rFonts w:ascii="Arial" w:cs="Arial" w:eastAsia="Arial" w:hAnsi="Arial"/>
          <w:sz w:val="13"/>
          <w:szCs w:val="13"/>
          <w:color w:val="64A70B"/>
        </w:rPr>
      </w:pPr>
    </w:p>
    <w:p>
      <w:pPr>
        <w:ind w:left="1820" w:hanging="155"/>
        <w:spacing w:after="0"/>
        <w:tabs>
          <w:tab w:leader="none" w:pos="1820" w:val="left"/>
        </w:tabs>
        <w:numPr>
          <w:ilvl w:val="0"/>
          <w:numId w:val="43"/>
        </w:numPr>
        <w:rPr>
          <w:rFonts w:ascii="Arial" w:cs="Arial" w:eastAsia="Arial" w:hAnsi="Arial"/>
          <w:sz w:val="13"/>
          <w:szCs w:val="13"/>
          <w:color w:val="64A70B"/>
        </w:rPr>
      </w:pPr>
      <w:r>
        <w:rPr>
          <w:rFonts w:ascii="Arial" w:cs="Arial" w:eastAsia="Arial" w:hAnsi="Arial"/>
          <w:sz w:val="16"/>
          <w:szCs w:val="16"/>
          <w:color w:val="auto"/>
        </w:rPr>
        <w:t>Effectiveness of the committee structure</w:t>
      </w:r>
    </w:p>
    <w:p>
      <w:pPr>
        <w:spacing w:after="0" w:line="99" w:lineRule="exact"/>
        <w:rPr>
          <w:rFonts w:ascii="Arial" w:cs="Arial" w:eastAsia="Arial" w:hAnsi="Arial"/>
          <w:sz w:val="13"/>
          <w:szCs w:val="13"/>
          <w:color w:val="64A70B"/>
        </w:rPr>
      </w:pPr>
    </w:p>
    <w:p>
      <w:pPr>
        <w:ind w:left="1820" w:hanging="155"/>
        <w:spacing w:after="0"/>
        <w:tabs>
          <w:tab w:leader="none" w:pos="1820" w:val="left"/>
        </w:tabs>
        <w:numPr>
          <w:ilvl w:val="0"/>
          <w:numId w:val="43"/>
        </w:numPr>
        <w:rPr>
          <w:rFonts w:ascii="Arial" w:cs="Arial" w:eastAsia="Arial" w:hAnsi="Arial"/>
          <w:sz w:val="13"/>
          <w:szCs w:val="13"/>
          <w:color w:val="64A70B"/>
        </w:rPr>
      </w:pPr>
      <w:r>
        <w:rPr>
          <w:rFonts w:ascii="Arial" w:cs="Arial" w:eastAsia="Arial" w:hAnsi="Arial"/>
          <w:sz w:val="16"/>
          <w:szCs w:val="16"/>
          <w:color w:val="auto"/>
        </w:rPr>
        <w:t>Director preparation and participation in meetings</w:t>
      </w:r>
    </w:p>
    <w:p>
      <w:pPr>
        <w:spacing w:after="0" w:line="99" w:lineRule="exact"/>
        <w:rPr>
          <w:rFonts w:ascii="Arial" w:cs="Arial" w:eastAsia="Arial" w:hAnsi="Arial"/>
          <w:sz w:val="13"/>
          <w:szCs w:val="13"/>
          <w:color w:val="64A70B"/>
        </w:rPr>
      </w:pPr>
    </w:p>
    <w:p>
      <w:pPr>
        <w:ind w:left="1820" w:hanging="155"/>
        <w:spacing w:after="0"/>
        <w:tabs>
          <w:tab w:leader="none" w:pos="1820" w:val="left"/>
        </w:tabs>
        <w:numPr>
          <w:ilvl w:val="0"/>
          <w:numId w:val="43"/>
        </w:numPr>
        <w:rPr>
          <w:rFonts w:ascii="Arial" w:cs="Arial" w:eastAsia="Arial" w:hAnsi="Arial"/>
          <w:sz w:val="13"/>
          <w:szCs w:val="13"/>
          <w:color w:val="64A70B"/>
        </w:rPr>
      </w:pPr>
      <w:r>
        <w:rPr>
          <w:rFonts w:ascii="Arial" w:cs="Arial" w:eastAsia="Arial" w:hAnsi="Arial"/>
          <w:sz w:val="16"/>
          <w:szCs w:val="16"/>
          <w:color w:val="auto"/>
        </w:rPr>
        <w:t>Value and culture displayed by directors</w:t>
      </w:r>
    </w:p>
    <w:p>
      <w:pPr>
        <w:spacing w:after="0" w:line="329" w:lineRule="exact"/>
        <w:rPr>
          <w:sz w:val="20"/>
          <w:szCs w:val="20"/>
          <w:color w:val="auto"/>
        </w:rPr>
      </w:pPr>
    </w:p>
    <w:p>
      <w:pPr>
        <w:ind w:right="80"/>
        <w:spacing w:after="0" w:line="321" w:lineRule="auto"/>
        <w:rPr>
          <w:sz w:val="20"/>
          <w:szCs w:val="20"/>
          <w:color w:val="auto"/>
        </w:rPr>
      </w:pPr>
      <w:r>
        <w:rPr>
          <w:rFonts w:ascii="Arial" w:cs="Arial" w:eastAsia="Arial" w:hAnsi="Arial"/>
          <w:sz w:val="16"/>
          <w:szCs w:val="16"/>
          <w:color w:val="auto"/>
        </w:rPr>
        <w:t>The written evaluation responses were compiled by a third party. The committees’ evaluation results were shared with the committee Chairs who each led a discussion of the assessment at the following regular committee or Board meeting.</w:t>
      </w:r>
    </w:p>
    <w:p>
      <w:pPr>
        <w:spacing w:after="0" w:line="34" w:lineRule="exact"/>
        <w:rPr>
          <w:sz w:val="20"/>
          <w:szCs w:val="20"/>
          <w:color w:val="auto"/>
        </w:rPr>
      </w:pPr>
    </w:p>
    <w:p>
      <w:pPr>
        <w:ind w:right="700"/>
        <w:spacing w:after="0" w:line="321" w:lineRule="auto"/>
        <w:rPr>
          <w:sz w:val="20"/>
          <w:szCs w:val="20"/>
          <w:color w:val="auto"/>
        </w:rPr>
      </w:pPr>
      <w:r>
        <w:rPr>
          <w:rFonts w:ascii="Arial" w:cs="Arial" w:eastAsia="Arial" w:hAnsi="Arial"/>
          <w:sz w:val="16"/>
          <w:szCs w:val="16"/>
          <w:color w:val="auto"/>
        </w:rPr>
        <w:t>The results of the written Board evaluations were shared with the Chair of the Board and Governance Committee Chair who led a discussion of the assessment at the following Board meeting.</w:t>
      </w:r>
    </w:p>
    <w:p>
      <w:pPr>
        <w:spacing w:after="0" w:line="236" w:lineRule="exact"/>
        <w:rPr>
          <w:sz w:val="20"/>
          <w:szCs w:val="20"/>
          <w:color w:val="auto"/>
        </w:rPr>
      </w:pPr>
    </w:p>
    <w:p>
      <w:pPr>
        <w:spacing w:after="0"/>
        <w:rPr>
          <w:sz w:val="20"/>
          <w:szCs w:val="20"/>
          <w:color w:val="auto"/>
        </w:rPr>
      </w:pPr>
      <w:r>
        <w:rPr>
          <w:rFonts w:ascii="Arial" w:cs="Arial" w:eastAsia="Arial" w:hAnsi="Arial"/>
          <w:sz w:val="32"/>
          <w:szCs w:val="32"/>
          <w:color w:val="0C3471"/>
        </w:rPr>
        <w:t>Board Education</w:t>
      </w:r>
    </w:p>
    <w:p>
      <w:pPr>
        <w:spacing w:after="0" w:line="146"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Board education is an ongoing, year-round process, which begins when a director joins our Board. Upon joining our Board, new directors are provided with a comprehensive orientation to our company, including our business, strategy and governance. For example, new directors typically participate in one-on-one introductory meetings with our senior business and functional leaders. On an ongoing basis, directors receive presentations on a variety of topics related to their work on the Board and within the industry, both from senior management and from experts outside of our company. Directors may also enroll in continuing education programs sponsored by third parties at our expense.</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600" w:hanging="574"/>
        <w:spacing w:after="0"/>
        <w:tabs>
          <w:tab w:leader="none" w:pos="600" w:val="left"/>
        </w:tabs>
        <w:numPr>
          <w:ilvl w:val="0"/>
          <w:numId w:val="44"/>
        </w:numPr>
        <w:rPr>
          <w:rFonts w:ascii="Arial" w:cs="Arial" w:eastAsia="Arial" w:hAnsi="Arial"/>
          <w:sz w:val="16"/>
          <w:szCs w:val="16"/>
          <w:b w:val="1"/>
          <w:bCs w:val="1"/>
          <w:color w:val="auto"/>
        </w:rPr>
      </w:pPr>
      <w:r>
        <w:rPr>
          <w:rFonts w:ascii="Arial" w:cs="Arial" w:eastAsia="Arial" w:hAnsi="Arial"/>
          <w:sz w:val="16"/>
          <w:szCs w:val="16"/>
          <w:color w:val="auto"/>
        </w:rPr>
        <w:t xml:space="preserve">Pentair </w:t>
      </w:r>
      <w:r>
        <w:rPr>
          <w:rFonts w:ascii="Arial" w:cs="Arial" w:eastAsia="Arial" w:hAnsi="Arial"/>
          <w:sz w:val="16"/>
          <w:szCs w:val="16"/>
          <w:b w:val="1"/>
          <w:bCs w:val="1"/>
          <w:color w:val="0C3471"/>
        </w:rPr>
        <w:t>|</w:t>
      </w:r>
      <w:r>
        <w:rPr>
          <w:rFonts w:ascii="Arial" w:cs="Arial" w:eastAsia="Arial" w:hAnsi="Arial"/>
          <w:sz w:val="16"/>
          <w:szCs w:val="16"/>
          <w:color w:val="auto"/>
        </w:rPr>
        <w:t xml:space="preserve"> </w:t>
      </w:r>
      <w:r>
        <w:rPr>
          <w:rFonts w:ascii="Arial" w:cs="Arial" w:eastAsia="Arial" w:hAnsi="Arial"/>
          <w:sz w:val="16"/>
          <w:szCs w:val="16"/>
          <w:b w:val="1"/>
          <w:bCs w:val="1"/>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213995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24" w:name="page25"/>
    <w:bookmarkEnd w:id="24"/>
    <w:p>
      <w:pPr>
        <w:ind w:left="958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5831840</wp:posOffset>
            </wp:positionH>
            <wp:positionV relativeFrom="page">
              <wp:posOffset>191770</wp:posOffset>
            </wp:positionV>
            <wp:extent cx="102870" cy="11176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clrChange>
                        <a:clrFrom>
                          <a:srgbClr val="FFFFFF"/>
                        </a:clrFrom>
                        <a:clrTo>
                          <a:srgbClr val="FFFFFF">
                            <a:alpha val="0"/>
                          </a:srgbClr>
                        </a:clrTo>
                      </a:clrChange>
                      <a:extLst>
                        <a:ext uri="{28A0092B-C50C-407E-A947-70E740481C1C}"/>
                      </a:extLst>
                    </a:blip>
                    <a:srcRect/>
                    <a:stretch>
                      <a:fillRect/>
                    </a:stretch>
                  </pic:blipFill>
                  <pic:spPr bwMode="auto">
                    <a:xfrm>
                      <a:off x="0" y="0"/>
                      <a:ext cx="102870" cy="111760"/>
                    </a:xfrm>
                    <a:prstGeom prst="rect">
                      <a:avLst/>
                    </a:prstGeom>
                    <a:noFill/>
                  </pic:spPr>
                </pic:pic>
              </a:graphicData>
            </a:graphic>
          </wp:anchor>
        </w:drawing>
        <w:t>Corporate Governance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32"/>
          <w:szCs w:val="32"/>
          <w:color w:val="0C3471"/>
        </w:rPr>
        <w:t>The Board’s Role and Responsibilities</w:t>
      </w:r>
    </w:p>
    <w:p>
      <w:pPr>
        <w:spacing w:after="0" w:line="182" w:lineRule="exact"/>
        <w:rPr>
          <w:sz w:val="20"/>
          <w:szCs w:val="20"/>
          <w:color w:val="auto"/>
        </w:rPr>
      </w:pPr>
    </w:p>
    <w:p>
      <w:pPr>
        <w:ind w:left="20"/>
        <w:spacing w:after="0"/>
        <w:rPr>
          <w:sz w:val="20"/>
          <w:szCs w:val="20"/>
          <w:color w:val="auto"/>
        </w:rPr>
      </w:pPr>
      <w:r>
        <w:rPr>
          <w:rFonts w:ascii="Arial" w:cs="Arial" w:eastAsia="Arial" w:hAnsi="Arial"/>
          <w:sz w:val="29"/>
          <w:szCs w:val="29"/>
          <w:color w:val="64A70B"/>
        </w:rPr>
        <w:t>Oversight of Risks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99" w:lineRule="exact"/>
        <w:rPr>
          <w:sz w:val="20"/>
          <w:szCs w:val="20"/>
          <w:color w:val="auto"/>
        </w:rPr>
      </w:pPr>
    </w:p>
    <w:p>
      <w:pPr>
        <w:ind w:right="40"/>
        <w:spacing w:after="0" w:line="265" w:lineRule="auto"/>
        <w:rPr>
          <w:sz w:val="20"/>
          <w:szCs w:val="20"/>
          <w:color w:val="auto"/>
        </w:rPr>
      </w:pPr>
      <w:r>
        <w:rPr>
          <w:rFonts w:ascii="Arial" w:cs="Arial" w:eastAsia="Arial" w:hAnsi="Arial"/>
          <w:sz w:val="16"/>
          <w:szCs w:val="16"/>
          <w:color w:val="auto"/>
        </w:rPr>
        <w:t>The Board is responsible for general oversight of our risk management. The Board focuses on the most significant and material risks facing us and helps to ensure management develops and implements controls and appropriate risk mitigation strategies. At the direction of the Board, we have instituted an enterprise-wide risk management process that identifies potential exposure to risks that arise in the course of our business. The Board as a whole, and not a separate committee, oversees our enterprise risk management process in order to leverage the diversity of skills, qualifications, experiences, perspectives and backgrounds of our directors in addressing the risks our business may encounter.</w:t>
      </w:r>
    </w:p>
    <w:p>
      <w:pPr>
        <w:spacing w:after="0" w:line="64" w:lineRule="exact"/>
        <w:rPr>
          <w:sz w:val="20"/>
          <w:szCs w:val="20"/>
          <w:color w:val="auto"/>
        </w:rPr>
      </w:pPr>
    </w:p>
    <w:p>
      <w:pPr>
        <w:spacing w:after="0" w:line="257" w:lineRule="auto"/>
        <w:rPr>
          <w:sz w:val="20"/>
          <w:szCs w:val="20"/>
          <w:color w:val="auto"/>
        </w:rPr>
      </w:pPr>
      <w:r>
        <w:rPr>
          <w:rFonts w:ascii="Arial" w:cs="Arial" w:eastAsia="Arial" w:hAnsi="Arial"/>
          <w:sz w:val="16"/>
          <w:szCs w:val="16"/>
          <w:color w:val="auto"/>
        </w:rPr>
        <w:t>Each of our Board committees has historically focused, and continues to focus, on specific risks within its respective area of responsibility and regularly reports to the full Board. The Board also tracks emerging risks, including risks associated with the emergence of AI. Risks associated with AI and our AI governance program are overseen by the full Board, and the Board receives updates on this topic, including AI governance, at least annually from our Executive Vice President, Chief Information Officer and Chief Information Security Officer. The Board uses our enterprise-wide risk management system as a key tool for understanding the risks facing us, as well as assessing whether management’s processes, procedures and practices for mitigating those risks are effective. Our General Counsel is the primary person responsible to the Board in the planning, assessment and reporting of our risk profile and this risk management system. The Board reviews and discusses an assessment of, and a report on, our risk profile on a regular basis, including reports on strategic, operational, financial, talent, technology and information technology, including cybersecurity risk , legal and compliance risks, and AI risks as described above. We believe that our leadership structure supports the Board’s risk oversight function. There is open communication between management and the Board, and all directors are involved in the risk oversight function. The general risk oversight functions among the Board and its Committee are set forth below. For more detail on the specific oversight and responsibilities of each Committee, see pages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81280</wp:posOffset>
            </wp:positionV>
            <wp:extent cx="7132320" cy="7118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711835"/>
                    </a:xfrm>
                    <a:prstGeom prst="rect">
                      <a:avLst/>
                    </a:prstGeom>
                    <a:noFill/>
                  </pic:spPr>
                </pic:pic>
              </a:graphicData>
            </a:graphic>
          </wp:anchor>
        </w:drawing>
      </w:r>
    </w:p>
    <w:p>
      <w:pPr>
        <w:spacing w:after="0" w:line="234"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u w:val="single" w:color="auto"/>
          <w:color w:val="0C3471"/>
        </w:rPr>
        <w:t>Board of Directors</w:t>
      </w:r>
    </w:p>
    <w:p>
      <w:pPr>
        <w:spacing w:after="0" w:line="38" w:lineRule="exact"/>
        <w:rPr>
          <w:sz w:val="20"/>
          <w:szCs w:val="20"/>
          <w:color w:val="auto"/>
        </w:rPr>
      </w:pPr>
    </w:p>
    <w:p>
      <w:pPr>
        <w:ind w:left="440" w:hanging="136"/>
        <w:spacing w:after="0"/>
        <w:tabs>
          <w:tab w:leader="none" w:pos="440" w:val="left"/>
        </w:tabs>
        <w:numPr>
          <w:ilvl w:val="0"/>
          <w:numId w:val="45"/>
        </w:numPr>
        <w:rPr>
          <w:rFonts w:ascii="Arial" w:cs="Arial" w:eastAsia="Arial" w:hAnsi="Arial"/>
          <w:sz w:val="13"/>
          <w:szCs w:val="13"/>
          <w:color w:val="64A70B"/>
        </w:rPr>
      </w:pPr>
      <w:r>
        <w:rPr>
          <w:rFonts w:ascii="Arial" w:cs="Arial" w:eastAsia="Arial" w:hAnsi="Arial"/>
          <w:sz w:val="13"/>
          <w:szCs w:val="13"/>
          <w:color w:val="auto"/>
        </w:rPr>
        <w:t>General oversight of risk management</w:t>
      </w:r>
    </w:p>
    <w:p>
      <w:pPr>
        <w:spacing w:after="0" w:line="39" w:lineRule="exact"/>
        <w:rPr>
          <w:rFonts w:ascii="Arial" w:cs="Arial" w:eastAsia="Arial" w:hAnsi="Arial"/>
          <w:sz w:val="13"/>
          <w:szCs w:val="13"/>
          <w:color w:val="64A70B"/>
        </w:rPr>
      </w:pPr>
    </w:p>
    <w:p>
      <w:pPr>
        <w:ind w:left="440" w:hanging="136"/>
        <w:spacing w:after="0"/>
        <w:tabs>
          <w:tab w:leader="none" w:pos="440" w:val="left"/>
        </w:tabs>
        <w:numPr>
          <w:ilvl w:val="0"/>
          <w:numId w:val="45"/>
        </w:numPr>
        <w:rPr>
          <w:rFonts w:ascii="Arial" w:cs="Arial" w:eastAsia="Arial" w:hAnsi="Arial"/>
          <w:sz w:val="13"/>
          <w:szCs w:val="13"/>
          <w:color w:val="64A70B"/>
        </w:rPr>
      </w:pPr>
      <w:r>
        <w:rPr>
          <w:rFonts w:ascii="Arial" w:cs="Arial" w:eastAsia="Arial" w:hAnsi="Arial"/>
          <w:sz w:val="13"/>
          <w:szCs w:val="13"/>
          <w:color w:val="auto"/>
        </w:rPr>
        <w:t>Oversight of enterprise risk management process</w:t>
      </w:r>
    </w:p>
    <w:p>
      <w:pPr>
        <w:spacing w:after="0" w:line="53" w:lineRule="exact"/>
        <w:rPr>
          <w:rFonts w:ascii="Arial" w:cs="Arial" w:eastAsia="Arial" w:hAnsi="Arial"/>
          <w:sz w:val="13"/>
          <w:szCs w:val="13"/>
          <w:color w:val="64A70B"/>
        </w:rPr>
      </w:pPr>
    </w:p>
    <w:p>
      <w:pPr>
        <w:ind w:left="440" w:hanging="136"/>
        <w:spacing w:after="0"/>
        <w:tabs>
          <w:tab w:leader="none" w:pos="440" w:val="left"/>
        </w:tabs>
        <w:numPr>
          <w:ilvl w:val="0"/>
          <w:numId w:val="45"/>
        </w:numPr>
        <w:rPr>
          <w:rFonts w:ascii="Arial" w:cs="Arial" w:eastAsia="Arial" w:hAnsi="Arial"/>
          <w:sz w:val="13"/>
          <w:szCs w:val="13"/>
          <w:color w:val="64A70B"/>
        </w:rPr>
      </w:pPr>
      <w:r>
        <w:rPr>
          <w:rFonts w:ascii="Arial" w:cs="Arial" w:eastAsia="Arial" w:hAnsi="Arial"/>
          <w:sz w:val="13"/>
          <w:szCs w:val="13"/>
          <w:color w:val="auto"/>
        </w:rPr>
        <w:t>Assessment of management's processes, procedures and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213360</wp:posOffset>
            </wp:positionV>
            <wp:extent cx="7132320" cy="147447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1474470"/>
                    </a:xfrm>
                    <a:prstGeom prst="rect">
                      <a:avLst/>
                    </a:prstGeom>
                    <a:noFill/>
                  </pic:spPr>
                </pic:pic>
              </a:graphicData>
            </a:graphic>
          </wp:anchor>
        </w:drawing>
      </w:r>
    </w:p>
    <w:p>
      <w:pPr>
        <w:sectPr>
          <w:pgSz w:w="11900" w:h="16838" w:orient="portrait"/>
          <w:cols w:equalWidth="0" w:num="1">
            <w:col w:w="11240"/>
          </w:cols>
          <w:pgMar w:left="320" w:top="31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860"/>
        <w:spacing w:after="0"/>
        <w:rPr>
          <w:sz w:val="20"/>
          <w:szCs w:val="20"/>
          <w:color w:val="auto"/>
        </w:rPr>
      </w:pPr>
      <w:r>
        <w:rPr>
          <w:rFonts w:ascii="Arial" w:cs="Arial" w:eastAsia="Arial" w:hAnsi="Arial"/>
          <w:sz w:val="14"/>
          <w:szCs w:val="14"/>
          <w:b w:val="1"/>
          <w:bCs w:val="1"/>
          <w:u w:val="single" w:color="auto"/>
          <w:color w:val="0C3471"/>
        </w:rPr>
        <w:t>Audit and Finance Committee</w:t>
      </w:r>
    </w:p>
    <w:p>
      <w:pPr>
        <w:spacing w:after="0" w:line="38" w:lineRule="exact"/>
        <w:rPr>
          <w:sz w:val="20"/>
          <w:szCs w:val="20"/>
          <w:color w:val="auto"/>
        </w:rPr>
      </w:pPr>
    </w:p>
    <w:p>
      <w:pPr>
        <w:ind w:left="440" w:hanging="136"/>
        <w:spacing w:after="0"/>
        <w:tabs>
          <w:tab w:leader="none" w:pos="440" w:val="left"/>
        </w:tabs>
        <w:numPr>
          <w:ilvl w:val="0"/>
          <w:numId w:val="46"/>
        </w:numPr>
        <w:rPr>
          <w:rFonts w:ascii="Arial" w:cs="Arial" w:eastAsia="Arial" w:hAnsi="Arial"/>
          <w:sz w:val="13"/>
          <w:szCs w:val="13"/>
          <w:color w:val="64A70B"/>
        </w:rPr>
      </w:pPr>
      <w:r>
        <w:rPr>
          <w:rFonts w:ascii="Arial" w:cs="Arial" w:eastAsia="Arial" w:hAnsi="Arial"/>
          <w:sz w:val="13"/>
          <w:szCs w:val="13"/>
          <w:color w:val="auto"/>
        </w:rPr>
        <w:t>Accounting and financial controls</w:t>
      </w:r>
    </w:p>
    <w:p>
      <w:pPr>
        <w:spacing w:after="0" w:line="39" w:lineRule="exact"/>
        <w:rPr>
          <w:rFonts w:ascii="Arial" w:cs="Arial" w:eastAsia="Arial" w:hAnsi="Arial"/>
          <w:sz w:val="13"/>
          <w:szCs w:val="13"/>
          <w:color w:val="64A70B"/>
        </w:rPr>
      </w:pPr>
    </w:p>
    <w:p>
      <w:pPr>
        <w:ind w:left="440" w:hanging="136"/>
        <w:spacing w:after="0"/>
        <w:tabs>
          <w:tab w:leader="none" w:pos="440" w:val="left"/>
        </w:tabs>
        <w:numPr>
          <w:ilvl w:val="0"/>
          <w:numId w:val="46"/>
        </w:numPr>
        <w:rPr>
          <w:rFonts w:ascii="Arial" w:cs="Arial" w:eastAsia="Arial" w:hAnsi="Arial"/>
          <w:sz w:val="13"/>
          <w:szCs w:val="13"/>
          <w:color w:val="64A70B"/>
        </w:rPr>
      </w:pPr>
      <w:r>
        <w:rPr>
          <w:rFonts w:ascii="Arial" w:cs="Arial" w:eastAsia="Arial" w:hAnsi="Arial"/>
          <w:sz w:val="13"/>
          <w:szCs w:val="13"/>
          <w:color w:val="auto"/>
        </w:rPr>
        <w:t>Financial statement integrity</w:t>
      </w:r>
    </w:p>
    <w:p>
      <w:pPr>
        <w:spacing w:after="0" w:line="53" w:lineRule="exact"/>
        <w:rPr>
          <w:rFonts w:ascii="Arial" w:cs="Arial" w:eastAsia="Arial" w:hAnsi="Arial"/>
          <w:sz w:val="13"/>
          <w:szCs w:val="13"/>
          <w:color w:val="64A70B"/>
        </w:rPr>
      </w:pPr>
    </w:p>
    <w:p>
      <w:pPr>
        <w:ind w:left="440" w:hanging="136"/>
        <w:spacing w:after="0"/>
        <w:tabs>
          <w:tab w:leader="none" w:pos="440" w:val="left"/>
        </w:tabs>
        <w:numPr>
          <w:ilvl w:val="0"/>
          <w:numId w:val="46"/>
        </w:numPr>
        <w:rPr>
          <w:rFonts w:ascii="Arial" w:cs="Arial" w:eastAsia="Arial" w:hAnsi="Arial"/>
          <w:sz w:val="13"/>
          <w:szCs w:val="13"/>
          <w:color w:val="64A70B"/>
        </w:rPr>
      </w:pPr>
      <w:r>
        <w:rPr>
          <w:rFonts w:ascii="Arial" w:cs="Arial" w:eastAsia="Arial" w:hAnsi="Arial"/>
          <w:sz w:val="13"/>
          <w:szCs w:val="13"/>
          <w:color w:val="auto"/>
        </w:rPr>
        <w:t>Financial risk exposures</w:t>
      </w:r>
    </w:p>
    <w:p>
      <w:pPr>
        <w:spacing w:after="0" w:line="53" w:lineRule="exact"/>
        <w:rPr>
          <w:rFonts w:ascii="Arial" w:cs="Arial" w:eastAsia="Arial" w:hAnsi="Arial"/>
          <w:sz w:val="13"/>
          <w:szCs w:val="13"/>
          <w:color w:val="64A70B"/>
        </w:rPr>
      </w:pPr>
    </w:p>
    <w:p>
      <w:pPr>
        <w:ind w:left="440" w:hanging="136"/>
        <w:spacing w:after="0"/>
        <w:tabs>
          <w:tab w:leader="none" w:pos="440" w:val="left"/>
        </w:tabs>
        <w:numPr>
          <w:ilvl w:val="0"/>
          <w:numId w:val="46"/>
        </w:numPr>
        <w:rPr>
          <w:rFonts w:ascii="Arial" w:cs="Arial" w:eastAsia="Arial" w:hAnsi="Arial"/>
          <w:sz w:val="13"/>
          <w:szCs w:val="13"/>
          <w:color w:val="64A70B"/>
        </w:rPr>
      </w:pPr>
      <w:r>
        <w:rPr>
          <w:rFonts w:ascii="Arial" w:cs="Arial" w:eastAsia="Arial" w:hAnsi="Arial"/>
          <w:sz w:val="13"/>
          <w:szCs w:val="13"/>
          <w:color w:val="auto"/>
        </w:rPr>
        <w:t>Tax policy and compliance</w:t>
      </w:r>
    </w:p>
    <w:p>
      <w:pPr>
        <w:spacing w:after="0" w:line="39" w:lineRule="exact"/>
        <w:rPr>
          <w:rFonts w:ascii="Arial" w:cs="Arial" w:eastAsia="Arial" w:hAnsi="Arial"/>
          <w:sz w:val="13"/>
          <w:szCs w:val="13"/>
          <w:color w:val="64A70B"/>
        </w:rPr>
      </w:pPr>
    </w:p>
    <w:p>
      <w:pPr>
        <w:ind w:left="500" w:right="419" w:hanging="196"/>
        <w:spacing w:after="0" w:line="292" w:lineRule="auto"/>
        <w:tabs>
          <w:tab w:leader="none" w:pos="448" w:val="left"/>
        </w:tabs>
        <w:numPr>
          <w:ilvl w:val="0"/>
          <w:numId w:val="46"/>
        </w:numPr>
        <w:rPr>
          <w:rFonts w:ascii="Arial" w:cs="Arial" w:eastAsia="Arial" w:hAnsi="Arial"/>
          <w:sz w:val="13"/>
          <w:szCs w:val="13"/>
          <w:color w:val="64A70B"/>
        </w:rPr>
      </w:pPr>
      <w:r>
        <w:rPr>
          <w:rFonts w:ascii="Arial" w:cs="Arial" w:eastAsia="Arial" w:hAnsi="Arial"/>
          <w:sz w:val="13"/>
          <w:szCs w:val="13"/>
          <w:color w:val="auto"/>
        </w:rPr>
        <w:t>Information security, cyber security and data protection</w:t>
      </w:r>
    </w:p>
    <w:p>
      <w:pPr>
        <w:ind w:left="440" w:hanging="136"/>
        <w:spacing w:after="0"/>
        <w:tabs>
          <w:tab w:leader="none" w:pos="440" w:val="left"/>
        </w:tabs>
        <w:numPr>
          <w:ilvl w:val="0"/>
          <w:numId w:val="46"/>
        </w:numPr>
        <w:rPr>
          <w:rFonts w:ascii="Arial" w:cs="Arial" w:eastAsia="Arial" w:hAnsi="Arial"/>
          <w:sz w:val="13"/>
          <w:szCs w:val="13"/>
          <w:color w:val="64A70B"/>
        </w:rPr>
      </w:pPr>
      <w:r>
        <w:rPr>
          <w:rFonts w:ascii="Arial" w:cs="Arial" w:eastAsia="Arial" w:hAnsi="Arial"/>
          <w:sz w:val="13"/>
          <w:szCs w:val="13"/>
          <w:color w:val="auto"/>
        </w:rPr>
        <w:t>Other financial-related compliance matters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81"/>
        <w:spacing w:after="0"/>
        <w:rPr>
          <w:sz w:val="20"/>
          <w:szCs w:val="20"/>
          <w:color w:val="auto"/>
        </w:rPr>
      </w:pPr>
      <w:r>
        <w:rPr>
          <w:rFonts w:ascii="Arial" w:cs="Arial" w:eastAsia="Arial" w:hAnsi="Arial"/>
          <w:sz w:val="14"/>
          <w:szCs w:val="14"/>
          <w:b w:val="1"/>
          <w:bCs w:val="1"/>
          <w:u w:val="single" w:color="auto"/>
          <w:color w:val="0C3471"/>
        </w:rPr>
        <w:t>Compensation Committee</w:t>
      </w:r>
    </w:p>
    <w:p>
      <w:pPr>
        <w:spacing w:after="0" w:line="38" w:lineRule="exact"/>
        <w:rPr>
          <w:sz w:val="20"/>
          <w:szCs w:val="20"/>
          <w:color w:val="auto"/>
        </w:rPr>
      </w:pPr>
    </w:p>
    <w:p>
      <w:pPr>
        <w:ind w:left="141" w:hanging="141"/>
        <w:spacing w:after="0"/>
        <w:tabs>
          <w:tab w:leader="none" w:pos="141" w:val="left"/>
        </w:tabs>
        <w:numPr>
          <w:ilvl w:val="0"/>
          <w:numId w:val="47"/>
        </w:numPr>
        <w:rPr>
          <w:rFonts w:ascii="Arial" w:cs="Arial" w:eastAsia="Arial" w:hAnsi="Arial"/>
          <w:sz w:val="13"/>
          <w:szCs w:val="13"/>
          <w:color w:val="64A70B"/>
        </w:rPr>
      </w:pPr>
      <w:r>
        <w:rPr>
          <w:rFonts w:ascii="Arial" w:cs="Arial" w:eastAsia="Arial" w:hAnsi="Arial"/>
          <w:sz w:val="13"/>
          <w:szCs w:val="13"/>
          <w:color w:val="auto"/>
        </w:rPr>
        <w:t>Risks related to compensation programs</w:t>
      </w:r>
    </w:p>
    <w:p>
      <w:pPr>
        <w:spacing w:after="0" w:line="39" w:lineRule="exact"/>
        <w:rPr>
          <w:rFonts w:ascii="Arial" w:cs="Arial" w:eastAsia="Arial" w:hAnsi="Arial"/>
          <w:sz w:val="13"/>
          <w:szCs w:val="13"/>
          <w:color w:val="64A70B"/>
        </w:rPr>
      </w:pPr>
    </w:p>
    <w:p>
      <w:pPr>
        <w:ind w:left="141" w:hanging="141"/>
        <w:spacing w:after="0"/>
        <w:tabs>
          <w:tab w:leader="none" w:pos="141" w:val="left"/>
        </w:tabs>
        <w:numPr>
          <w:ilvl w:val="0"/>
          <w:numId w:val="47"/>
        </w:numPr>
        <w:rPr>
          <w:rFonts w:ascii="Arial" w:cs="Arial" w:eastAsia="Arial" w:hAnsi="Arial"/>
          <w:sz w:val="13"/>
          <w:szCs w:val="13"/>
          <w:color w:val="64A70B"/>
        </w:rPr>
      </w:pPr>
      <w:r>
        <w:rPr>
          <w:rFonts w:ascii="Arial" w:cs="Arial" w:eastAsia="Arial" w:hAnsi="Arial"/>
          <w:sz w:val="13"/>
          <w:szCs w:val="13"/>
          <w:color w:val="auto"/>
        </w:rPr>
        <w:t>Risks related to compensation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-196215</wp:posOffset>
            </wp:positionH>
            <wp:positionV relativeFrom="paragraph">
              <wp:posOffset>727710</wp:posOffset>
            </wp:positionV>
            <wp:extent cx="2143125" cy="10287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2143125" cy="102870"/>
                    </a:xfrm>
                    <a:prstGeom prst="rect">
                      <a:avLst/>
                    </a:prstGeom>
                    <a:noFill/>
                  </pic:spPr>
                </pic:pic>
              </a:graphicData>
            </a:graphic>
          </wp:anchor>
        </w:drawing>
        <w:drawing>
          <wp:anchor simplePos="0" relativeHeight="251657728" behindDoc="1" locked="0" layoutInCell="0" allowOverlap="1">
            <wp:simplePos x="0" y="0"/>
            <wp:positionH relativeFrom="column">
              <wp:posOffset>-2673350</wp:posOffset>
            </wp:positionH>
            <wp:positionV relativeFrom="paragraph">
              <wp:posOffset>1070610</wp:posOffset>
            </wp:positionV>
            <wp:extent cx="7132320" cy="7112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711200"/>
                    </a:xfrm>
                    <a:prstGeom prst="rect">
                      <a:avLst/>
                    </a:prstGeom>
                    <a:noFill/>
                  </pic:spPr>
                </pic:pic>
              </a:graphicData>
            </a:graphic>
          </wp:anchor>
        </w:drawing>
        <w:drawing>
          <wp:anchor simplePos="0" relativeHeight="251657728" behindDoc="1" locked="0" layoutInCell="0" allowOverlap="1">
            <wp:simplePos x="0" y="0"/>
            <wp:positionH relativeFrom="column">
              <wp:posOffset>737870</wp:posOffset>
            </wp:positionH>
            <wp:positionV relativeFrom="paragraph">
              <wp:posOffset>882015</wp:posOffset>
            </wp:positionV>
            <wp:extent cx="274320" cy="7747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274320" cy="774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961"/>
        <w:spacing w:after="0"/>
        <w:rPr>
          <w:sz w:val="20"/>
          <w:szCs w:val="20"/>
          <w:color w:val="auto"/>
        </w:rPr>
      </w:pPr>
      <w:r>
        <w:rPr>
          <w:rFonts w:ascii="Arial" w:cs="Arial" w:eastAsia="Arial" w:hAnsi="Arial"/>
          <w:sz w:val="14"/>
          <w:szCs w:val="14"/>
          <w:b w:val="1"/>
          <w:bCs w:val="1"/>
          <w:u w:val="single" w:color="auto"/>
          <w:color w:val="0C3471"/>
        </w:rPr>
        <w:t>Management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784"/>
        <w:spacing w:after="0"/>
        <w:rPr>
          <w:sz w:val="20"/>
          <w:szCs w:val="20"/>
          <w:color w:val="auto"/>
        </w:rPr>
      </w:pPr>
      <w:r>
        <w:rPr>
          <w:rFonts w:ascii="Arial" w:cs="Arial" w:eastAsia="Arial" w:hAnsi="Arial"/>
          <w:sz w:val="14"/>
          <w:szCs w:val="14"/>
          <w:b w:val="1"/>
          <w:bCs w:val="1"/>
          <w:u w:val="single" w:color="auto"/>
          <w:color w:val="0C3471"/>
        </w:rPr>
        <w:t>Governance Committee</w:t>
      </w:r>
    </w:p>
    <w:p>
      <w:pPr>
        <w:spacing w:after="0" w:line="38" w:lineRule="exact"/>
        <w:rPr>
          <w:sz w:val="20"/>
          <w:szCs w:val="20"/>
          <w:color w:val="auto"/>
        </w:rPr>
      </w:pPr>
    </w:p>
    <w:p>
      <w:pPr>
        <w:ind w:left="204" w:right="500" w:hanging="204"/>
        <w:spacing w:after="0" w:line="274" w:lineRule="auto"/>
        <w:tabs>
          <w:tab w:leader="none" w:pos="152" w:val="left"/>
        </w:tabs>
        <w:numPr>
          <w:ilvl w:val="0"/>
          <w:numId w:val="48"/>
        </w:numPr>
        <w:rPr>
          <w:rFonts w:ascii="Arial" w:cs="Arial" w:eastAsia="Arial" w:hAnsi="Arial"/>
          <w:sz w:val="13"/>
          <w:szCs w:val="13"/>
          <w:color w:val="64A70B"/>
        </w:rPr>
      </w:pPr>
      <w:r>
        <w:rPr>
          <w:rFonts w:ascii="Arial" w:cs="Arial" w:eastAsia="Arial" w:hAnsi="Arial"/>
          <w:sz w:val="13"/>
          <w:szCs w:val="13"/>
          <w:color w:val="auto"/>
        </w:rPr>
        <w:t>Risks related to corporate governance structure and processes (including director qualifications and independence)</w:t>
      </w:r>
    </w:p>
    <w:p>
      <w:pPr>
        <w:ind w:left="144" w:hanging="144"/>
        <w:spacing w:after="0"/>
        <w:tabs>
          <w:tab w:leader="none" w:pos="144" w:val="left"/>
        </w:tabs>
        <w:numPr>
          <w:ilvl w:val="0"/>
          <w:numId w:val="48"/>
        </w:numPr>
        <w:rPr>
          <w:rFonts w:ascii="Arial" w:cs="Arial" w:eastAsia="Arial" w:hAnsi="Arial"/>
          <w:sz w:val="13"/>
          <w:szCs w:val="13"/>
          <w:color w:val="64A70B"/>
        </w:rPr>
      </w:pPr>
      <w:r>
        <w:rPr>
          <w:rFonts w:ascii="Arial" w:cs="Arial" w:eastAsia="Arial" w:hAnsi="Arial"/>
          <w:sz w:val="13"/>
          <w:szCs w:val="13"/>
          <w:color w:val="auto"/>
        </w:rPr>
        <w:t>Code of Business Conduct and Ethics</w:t>
      </w:r>
    </w:p>
    <w:p>
      <w:pPr>
        <w:spacing w:after="0" w:line="53" w:lineRule="exact"/>
        <w:rPr>
          <w:rFonts w:ascii="Arial" w:cs="Arial" w:eastAsia="Arial" w:hAnsi="Arial"/>
          <w:sz w:val="13"/>
          <w:szCs w:val="13"/>
          <w:color w:val="64A70B"/>
        </w:rPr>
      </w:pPr>
    </w:p>
    <w:p>
      <w:pPr>
        <w:ind w:left="204" w:right="700" w:hanging="204"/>
        <w:spacing w:after="0" w:line="292" w:lineRule="auto"/>
        <w:tabs>
          <w:tab w:leader="none" w:pos="152" w:val="left"/>
        </w:tabs>
        <w:numPr>
          <w:ilvl w:val="0"/>
          <w:numId w:val="48"/>
        </w:numPr>
        <w:rPr>
          <w:rFonts w:ascii="Arial" w:cs="Arial" w:eastAsia="Arial" w:hAnsi="Arial"/>
          <w:sz w:val="13"/>
          <w:szCs w:val="13"/>
          <w:color w:val="64A70B"/>
        </w:rPr>
      </w:pPr>
      <w:r>
        <w:rPr>
          <w:rFonts w:ascii="Arial" w:cs="Arial" w:eastAsia="Arial" w:hAnsi="Arial"/>
          <w:sz w:val="13"/>
          <w:szCs w:val="13"/>
          <w:color w:val="auto"/>
        </w:rPr>
        <w:t>Other corporate-related compliance matters, including health and safety issues</w:t>
      </w:r>
    </w:p>
    <w:p>
      <w:pPr>
        <w:ind w:left="204" w:right="780" w:hanging="204"/>
        <w:spacing w:after="0" w:line="302" w:lineRule="auto"/>
        <w:tabs>
          <w:tab w:leader="none" w:pos="152" w:val="left"/>
        </w:tabs>
        <w:numPr>
          <w:ilvl w:val="0"/>
          <w:numId w:val="48"/>
        </w:numPr>
        <w:rPr>
          <w:rFonts w:ascii="Arial" w:cs="Arial" w:eastAsia="Arial" w:hAnsi="Arial"/>
          <w:sz w:val="13"/>
          <w:szCs w:val="13"/>
          <w:color w:val="64A70B"/>
        </w:rPr>
      </w:pPr>
      <w:r>
        <w:rPr>
          <w:rFonts w:ascii="Arial" w:cs="Arial" w:eastAsia="Arial" w:hAnsi="Arial"/>
          <w:sz w:val="13"/>
          <w:szCs w:val="13"/>
          <w:color w:val="auto"/>
        </w:rPr>
        <w:t>Business sustainability risks, including environmental, social and political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-196215</wp:posOffset>
            </wp:positionH>
            <wp:positionV relativeFrom="paragraph">
              <wp:posOffset>17780</wp:posOffset>
            </wp:positionV>
            <wp:extent cx="2306320" cy="10287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2306320" cy="102870"/>
                    </a:xfrm>
                    <a:prstGeom prst="rect">
                      <a:avLst/>
                    </a:prstGeom>
                    <a:noFill/>
                  </pic:spPr>
                </pic:pic>
              </a:graphicData>
            </a:graphic>
          </wp:anchor>
        </w:drawing>
      </w:r>
    </w:p>
    <w:p>
      <w:pPr>
        <w:spacing w:after="0" w:line="892" w:lineRule="exact"/>
        <w:rPr>
          <w:sz w:val="20"/>
          <w:szCs w:val="20"/>
          <w:color w:val="auto"/>
        </w:rPr>
      </w:pPr>
    </w:p>
    <w:p>
      <w:pPr>
        <w:sectPr>
          <w:pgSz w:w="11900" w:h="16838" w:orient="portrait"/>
          <w:cols w:equalWidth="0" w:num="3">
            <w:col w:w="3499" w:space="720"/>
            <w:col w:w="2817" w:space="720"/>
            <w:col w:w="3484"/>
          </w:cols>
          <w:pgMar w:left="320" w:top="314" w:right="339" w:bottom="1440" w:gutter="0" w:footer="0" w:header="0"/>
          <w:type w:val="continuous"/>
        </w:sectPr>
      </w:pPr>
    </w:p>
    <w:p>
      <w:pPr>
        <w:ind w:left="440" w:hanging="136"/>
        <w:spacing w:after="0"/>
        <w:tabs>
          <w:tab w:leader="none" w:pos="440" w:val="left"/>
        </w:tabs>
        <w:numPr>
          <w:ilvl w:val="0"/>
          <w:numId w:val="49"/>
        </w:numPr>
        <w:rPr>
          <w:rFonts w:ascii="Arial" w:cs="Arial" w:eastAsia="Arial" w:hAnsi="Arial"/>
          <w:sz w:val="13"/>
          <w:szCs w:val="13"/>
          <w:color w:val="64A70B"/>
        </w:rPr>
      </w:pPr>
      <w:r>
        <w:rPr>
          <w:rFonts w:ascii="Arial" w:cs="Arial" w:eastAsia="Arial" w:hAnsi="Arial"/>
          <w:sz w:val="13"/>
          <w:szCs w:val="13"/>
          <w:color w:val="auto"/>
        </w:rPr>
        <w:t>Assessment and oversight of potential risks</w:t>
      </w:r>
    </w:p>
    <w:p>
      <w:pPr>
        <w:spacing w:after="0" w:line="39" w:lineRule="exact"/>
        <w:rPr>
          <w:rFonts w:ascii="Arial" w:cs="Arial" w:eastAsia="Arial" w:hAnsi="Arial"/>
          <w:sz w:val="13"/>
          <w:szCs w:val="13"/>
          <w:color w:val="64A70B"/>
        </w:rPr>
      </w:pPr>
    </w:p>
    <w:p>
      <w:pPr>
        <w:ind w:left="440" w:hanging="136"/>
        <w:spacing w:after="0"/>
        <w:tabs>
          <w:tab w:leader="none" w:pos="440" w:val="left"/>
        </w:tabs>
        <w:numPr>
          <w:ilvl w:val="0"/>
          <w:numId w:val="49"/>
        </w:numPr>
        <w:rPr>
          <w:rFonts w:ascii="Arial" w:cs="Arial" w:eastAsia="Arial" w:hAnsi="Arial"/>
          <w:sz w:val="13"/>
          <w:szCs w:val="13"/>
          <w:color w:val="64A70B"/>
        </w:rPr>
      </w:pPr>
      <w:r>
        <w:rPr>
          <w:rFonts w:ascii="Arial" w:cs="Arial" w:eastAsia="Arial" w:hAnsi="Arial"/>
          <w:sz w:val="13"/>
          <w:szCs w:val="13"/>
          <w:color w:val="auto"/>
        </w:rPr>
        <w:t>Development and implementation of controls and risk mitigation strategies</w:t>
      </w:r>
    </w:p>
    <w:p>
      <w:pPr>
        <w:spacing w:after="0" w:line="53" w:lineRule="exact"/>
        <w:rPr>
          <w:rFonts w:ascii="Arial" w:cs="Arial" w:eastAsia="Arial" w:hAnsi="Arial"/>
          <w:sz w:val="13"/>
          <w:szCs w:val="13"/>
          <w:color w:val="64A70B"/>
        </w:rPr>
      </w:pPr>
    </w:p>
    <w:p>
      <w:pPr>
        <w:ind w:left="440" w:hanging="136"/>
        <w:spacing w:after="0"/>
        <w:tabs>
          <w:tab w:leader="none" w:pos="440" w:val="left"/>
        </w:tabs>
        <w:numPr>
          <w:ilvl w:val="0"/>
          <w:numId w:val="49"/>
        </w:numPr>
        <w:rPr>
          <w:rFonts w:ascii="Arial" w:cs="Arial" w:eastAsia="Arial" w:hAnsi="Arial"/>
          <w:sz w:val="13"/>
          <w:szCs w:val="13"/>
          <w:color w:val="64A70B"/>
        </w:rPr>
      </w:pPr>
      <w:r>
        <w:rPr>
          <w:rFonts w:ascii="Arial" w:cs="Arial" w:eastAsia="Arial" w:hAnsi="Arial"/>
          <w:sz w:val="13"/>
          <w:szCs w:val="13"/>
          <w:color w:val="auto"/>
        </w:rPr>
        <w:t>Administration of enterprise-wide risk management system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401955</wp:posOffset>
            </wp:positionV>
            <wp:extent cx="7132320" cy="65151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2320" cy="651510"/>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213360</wp:posOffset>
            </wp:positionV>
            <wp:extent cx="274320" cy="768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274320" cy="76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0C3471"/>
        </w:rPr>
        <w:t>Representative Risks Covered</w:t>
      </w:r>
    </w:p>
    <w:p>
      <w:pPr>
        <w:spacing w:after="0" w:line="87" w:lineRule="exact"/>
        <w:rPr>
          <w:sz w:val="20"/>
          <w:szCs w:val="20"/>
          <w:color w:val="auto"/>
        </w:rPr>
      </w:pPr>
    </w:p>
    <w:tbl>
      <w:tblPr>
        <w:tblLayout w:type="fixed"/>
        <w:tblInd w:w="160" w:type="dxa"/>
        <w:tblCellMar>
          <w:top w:w="0" w:type="dxa"/>
          <w:left w:w="0" w:type="dxa"/>
          <w:bottom w:w="0" w:type="dxa"/>
          <w:right w:w="0" w:type="dxa"/>
        </w:tblCellMar>
      </w:tblPr>
      <w:tr>
        <w:trPr>
          <w:trHeight w:val="203"/>
        </w:trPr>
        <w:tc>
          <w:tcPr>
            <w:tcW w:w="260" w:type="dxa"/>
            <w:vAlign w:val="bottom"/>
          </w:tcPr>
          <w:p>
            <w:pPr>
              <w:ind w:left="140"/>
              <w:spacing w:after="0"/>
              <w:rPr>
                <w:sz w:val="20"/>
                <w:szCs w:val="20"/>
                <w:color w:val="auto"/>
              </w:rPr>
            </w:pPr>
            <w:r>
              <w:rPr>
                <w:rFonts w:ascii="Arial" w:cs="Arial" w:eastAsia="Arial" w:hAnsi="Arial"/>
                <w:sz w:val="13"/>
                <w:szCs w:val="13"/>
                <w:color w:val="64A70B"/>
              </w:rPr>
              <w:t>u</w:t>
            </w:r>
          </w:p>
        </w:tc>
        <w:tc>
          <w:tcPr>
            <w:tcW w:w="1900" w:type="dxa"/>
            <w:vAlign w:val="bottom"/>
          </w:tcPr>
          <w:p>
            <w:pPr>
              <w:ind w:left="40"/>
              <w:spacing w:after="0"/>
              <w:rPr>
                <w:sz w:val="20"/>
                <w:szCs w:val="20"/>
                <w:color w:val="auto"/>
              </w:rPr>
            </w:pPr>
            <w:r>
              <w:rPr>
                <w:rFonts w:ascii="Arial" w:cs="Arial" w:eastAsia="Arial" w:hAnsi="Arial"/>
                <w:sz w:val="13"/>
                <w:szCs w:val="13"/>
                <w:color w:val="auto"/>
              </w:rPr>
              <w:t>Strategic</w:t>
            </w:r>
          </w:p>
        </w:tc>
        <w:tc>
          <w:tcPr>
            <w:tcW w:w="1260" w:type="dxa"/>
            <w:vAlign w:val="bottom"/>
          </w:tcPr>
          <w:p>
            <w:pPr>
              <w:ind w:left="1160"/>
              <w:spacing w:after="0"/>
              <w:rPr>
                <w:sz w:val="20"/>
                <w:szCs w:val="20"/>
                <w:color w:val="auto"/>
              </w:rPr>
            </w:pPr>
            <w:r>
              <w:rPr>
                <w:rFonts w:ascii="Arial" w:cs="Arial" w:eastAsia="Arial" w:hAnsi="Arial"/>
                <w:sz w:val="13"/>
                <w:szCs w:val="13"/>
                <w:color w:val="64A70B"/>
              </w:rPr>
              <w:t>u</w:t>
            </w:r>
          </w:p>
        </w:tc>
        <w:tc>
          <w:tcPr>
            <w:tcW w:w="2080" w:type="dxa"/>
            <w:vAlign w:val="bottom"/>
          </w:tcPr>
          <w:p>
            <w:pPr>
              <w:ind w:left="40"/>
              <w:spacing w:after="0"/>
              <w:rPr>
                <w:sz w:val="20"/>
                <w:szCs w:val="20"/>
                <w:color w:val="auto"/>
              </w:rPr>
            </w:pPr>
            <w:r>
              <w:rPr>
                <w:rFonts w:ascii="Arial" w:cs="Arial" w:eastAsia="Arial" w:hAnsi="Arial"/>
                <w:sz w:val="13"/>
                <w:szCs w:val="13"/>
                <w:color w:val="auto"/>
              </w:rPr>
              <w:t>Financial</w:t>
            </w:r>
          </w:p>
        </w:tc>
        <w:tc>
          <w:tcPr>
            <w:tcW w:w="1600" w:type="dxa"/>
            <w:vAlign w:val="bottom"/>
          </w:tcPr>
          <w:p>
            <w:pPr>
              <w:ind w:left="1480"/>
              <w:spacing w:after="0"/>
              <w:rPr>
                <w:sz w:val="20"/>
                <w:szCs w:val="20"/>
                <w:color w:val="auto"/>
              </w:rPr>
            </w:pPr>
            <w:r>
              <w:rPr>
                <w:rFonts w:ascii="Arial" w:cs="Arial" w:eastAsia="Arial" w:hAnsi="Arial"/>
                <w:sz w:val="13"/>
                <w:szCs w:val="13"/>
                <w:color w:val="64A70B"/>
              </w:rPr>
              <w:t>u</w:t>
            </w:r>
          </w:p>
        </w:tc>
        <w:tc>
          <w:tcPr>
            <w:tcW w:w="3820" w:type="dxa"/>
            <w:vAlign w:val="bottom"/>
          </w:tcPr>
          <w:p>
            <w:pPr>
              <w:ind w:left="40"/>
              <w:spacing w:after="0"/>
              <w:rPr>
                <w:sz w:val="20"/>
                <w:szCs w:val="20"/>
                <w:color w:val="auto"/>
              </w:rPr>
            </w:pPr>
            <w:r>
              <w:rPr>
                <w:rFonts w:ascii="Arial" w:cs="Arial" w:eastAsia="Arial" w:hAnsi="Arial"/>
                <w:sz w:val="13"/>
                <w:szCs w:val="13"/>
                <w:color w:val="auto"/>
              </w:rPr>
              <w:t>Technology and Information technology, including AI</w:t>
            </w:r>
          </w:p>
        </w:tc>
      </w:tr>
      <w:tr>
        <w:trPr>
          <w:trHeight w:val="203"/>
        </w:trPr>
        <w:tc>
          <w:tcPr>
            <w:tcW w:w="260" w:type="dxa"/>
            <w:vAlign w:val="bottom"/>
          </w:tcPr>
          <w:p>
            <w:pPr>
              <w:ind w:left="140"/>
              <w:spacing w:after="0"/>
              <w:rPr>
                <w:sz w:val="20"/>
                <w:szCs w:val="20"/>
                <w:color w:val="auto"/>
              </w:rPr>
            </w:pPr>
            <w:r>
              <w:rPr>
                <w:rFonts w:ascii="Arial" w:cs="Arial" w:eastAsia="Arial" w:hAnsi="Arial"/>
                <w:sz w:val="13"/>
                <w:szCs w:val="13"/>
                <w:color w:val="64A70B"/>
              </w:rPr>
              <w:t>u</w:t>
            </w:r>
          </w:p>
        </w:tc>
        <w:tc>
          <w:tcPr>
            <w:tcW w:w="1900" w:type="dxa"/>
            <w:vAlign w:val="bottom"/>
          </w:tcPr>
          <w:p>
            <w:pPr>
              <w:ind w:left="40"/>
              <w:spacing w:after="0"/>
              <w:rPr>
                <w:sz w:val="20"/>
                <w:szCs w:val="20"/>
                <w:color w:val="auto"/>
              </w:rPr>
            </w:pPr>
            <w:r>
              <w:rPr>
                <w:rFonts w:ascii="Arial" w:cs="Arial" w:eastAsia="Arial" w:hAnsi="Arial"/>
                <w:sz w:val="13"/>
                <w:szCs w:val="13"/>
                <w:color w:val="auto"/>
              </w:rPr>
              <w:t>Operational</w:t>
            </w:r>
          </w:p>
        </w:tc>
        <w:tc>
          <w:tcPr>
            <w:tcW w:w="1260" w:type="dxa"/>
            <w:vAlign w:val="bottom"/>
          </w:tcPr>
          <w:p>
            <w:pPr>
              <w:ind w:left="1160"/>
              <w:spacing w:after="0"/>
              <w:rPr>
                <w:sz w:val="20"/>
                <w:szCs w:val="20"/>
                <w:color w:val="auto"/>
              </w:rPr>
            </w:pPr>
            <w:r>
              <w:rPr>
                <w:rFonts w:ascii="Arial" w:cs="Arial" w:eastAsia="Arial" w:hAnsi="Arial"/>
                <w:sz w:val="13"/>
                <w:szCs w:val="13"/>
                <w:color w:val="64A70B"/>
              </w:rPr>
              <w:t>u</w:t>
            </w:r>
          </w:p>
        </w:tc>
        <w:tc>
          <w:tcPr>
            <w:tcW w:w="2080" w:type="dxa"/>
            <w:vAlign w:val="bottom"/>
          </w:tcPr>
          <w:p>
            <w:pPr>
              <w:ind w:left="40"/>
              <w:spacing w:after="0"/>
              <w:rPr>
                <w:sz w:val="20"/>
                <w:szCs w:val="20"/>
                <w:color w:val="auto"/>
              </w:rPr>
            </w:pPr>
            <w:r>
              <w:rPr>
                <w:rFonts w:ascii="Arial" w:cs="Arial" w:eastAsia="Arial" w:hAnsi="Arial"/>
                <w:sz w:val="13"/>
                <w:szCs w:val="13"/>
                <w:color w:val="auto"/>
              </w:rPr>
              <w:t>Talent</w:t>
            </w:r>
          </w:p>
        </w:tc>
        <w:tc>
          <w:tcPr>
            <w:tcW w:w="1600" w:type="dxa"/>
            <w:vAlign w:val="bottom"/>
          </w:tcPr>
          <w:p>
            <w:pPr>
              <w:ind w:left="1480"/>
              <w:spacing w:after="0"/>
              <w:rPr>
                <w:sz w:val="20"/>
                <w:szCs w:val="20"/>
                <w:color w:val="auto"/>
              </w:rPr>
            </w:pPr>
            <w:r>
              <w:rPr>
                <w:rFonts w:ascii="Arial" w:cs="Arial" w:eastAsia="Arial" w:hAnsi="Arial"/>
                <w:sz w:val="13"/>
                <w:szCs w:val="13"/>
                <w:color w:val="64A70B"/>
              </w:rPr>
              <w:t>u</w:t>
            </w:r>
          </w:p>
        </w:tc>
        <w:tc>
          <w:tcPr>
            <w:tcW w:w="3820" w:type="dxa"/>
            <w:vAlign w:val="bottom"/>
          </w:tcPr>
          <w:p>
            <w:pPr>
              <w:ind w:left="40"/>
              <w:spacing w:after="0"/>
              <w:rPr>
                <w:sz w:val="20"/>
                <w:szCs w:val="20"/>
                <w:color w:val="auto"/>
              </w:rPr>
            </w:pPr>
            <w:r>
              <w:rPr>
                <w:rFonts w:ascii="Arial" w:cs="Arial" w:eastAsia="Arial" w:hAnsi="Arial"/>
                <w:sz w:val="13"/>
                <w:szCs w:val="13"/>
                <w:color w:val="auto"/>
              </w:rPr>
              <w:t>Legal and regulatory compliance</w:t>
            </w:r>
          </w:p>
        </w:tc>
      </w:tr>
      <w:tr>
        <w:trPr>
          <w:trHeight w:val="120"/>
        </w:trPr>
        <w:tc>
          <w:tcPr>
            <w:tcW w:w="26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3820" w:type="dxa"/>
            <w:vAlign w:val="bottom"/>
          </w:tcPr>
          <w:p>
            <w:pPr>
              <w:spacing w:after="0"/>
              <w:rPr>
                <w:sz w:val="10"/>
                <w:szCs w:val="10"/>
                <w:color w:val="auto"/>
              </w:rPr>
            </w:pPr>
          </w:p>
        </w:tc>
      </w:tr>
      <w:tr>
        <w:trPr>
          <w:trHeight w:val="108"/>
        </w:trPr>
        <w:tc>
          <w:tcPr>
            <w:tcW w:w="260" w:type="dxa"/>
            <w:vAlign w:val="bottom"/>
            <w:shd w:val="clear" w:color="auto" w:fill="ECEFF4"/>
          </w:tcPr>
          <w:p>
            <w:pPr>
              <w:spacing w:after="0"/>
              <w:rPr>
                <w:sz w:val="9"/>
                <w:szCs w:val="9"/>
                <w:color w:val="auto"/>
              </w:rPr>
            </w:pPr>
          </w:p>
        </w:tc>
        <w:tc>
          <w:tcPr>
            <w:tcW w:w="1900" w:type="dxa"/>
            <w:vAlign w:val="bottom"/>
            <w:shd w:val="clear" w:color="auto" w:fill="ECEFF4"/>
          </w:tcPr>
          <w:p>
            <w:pPr>
              <w:spacing w:after="0"/>
              <w:rPr>
                <w:sz w:val="9"/>
                <w:szCs w:val="9"/>
                <w:color w:val="auto"/>
              </w:rPr>
            </w:pPr>
          </w:p>
        </w:tc>
        <w:tc>
          <w:tcPr>
            <w:tcW w:w="1260" w:type="dxa"/>
            <w:vAlign w:val="bottom"/>
            <w:shd w:val="clear" w:color="auto" w:fill="ECEFF4"/>
          </w:tcPr>
          <w:p>
            <w:pPr>
              <w:spacing w:after="0"/>
              <w:rPr>
                <w:sz w:val="9"/>
                <w:szCs w:val="9"/>
                <w:color w:val="auto"/>
              </w:rPr>
            </w:pPr>
          </w:p>
        </w:tc>
        <w:tc>
          <w:tcPr>
            <w:tcW w:w="2080" w:type="dxa"/>
            <w:vAlign w:val="bottom"/>
            <w:shd w:val="clear" w:color="auto" w:fill="ECEFF4"/>
          </w:tcPr>
          <w:p>
            <w:pPr>
              <w:spacing w:after="0"/>
              <w:rPr>
                <w:sz w:val="9"/>
                <w:szCs w:val="9"/>
                <w:color w:val="auto"/>
              </w:rPr>
            </w:pPr>
          </w:p>
        </w:tc>
        <w:tc>
          <w:tcPr>
            <w:tcW w:w="1600" w:type="dxa"/>
            <w:vAlign w:val="bottom"/>
            <w:shd w:val="clear" w:color="auto" w:fill="ECEFF4"/>
          </w:tcPr>
          <w:p>
            <w:pPr>
              <w:spacing w:after="0"/>
              <w:rPr>
                <w:sz w:val="9"/>
                <w:szCs w:val="9"/>
                <w:color w:val="auto"/>
              </w:rPr>
            </w:pPr>
          </w:p>
        </w:tc>
        <w:tc>
          <w:tcPr>
            <w:tcW w:w="3820" w:type="dxa"/>
            <w:vAlign w:val="bottom"/>
            <w:shd w:val="clear" w:color="auto" w:fill="ECEFF4"/>
          </w:tcPr>
          <w:p>
            <w:pPr>
              <w:spacing w:after="0"/>
              <w:rPr>
                <w:sz w:val="9"/>
                <w:szCs w:val="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10780" w:type="dxa"/>
            <w:vAlign w:val="bottom"/>
          </w:tcPr>
          <w:p>
            <w:pPr>
              <w:ind w:left="8260"/>
              <w:spacing w:after="0"/>
              <w:rPr>
                <w:sz w:val="20"/>
                <w:szCs w:val="20"/>
                <w:color w:val="auto"/>
              </w:rPr>
            </w:pPr>
            <w:r>
              <w:rPr>
                <w:rFonts w:ascii="Arial" w:cs="Arial" w:eastAsia="Arial" w:hAnsi="Arial"/>
                <w:sz w:val="16"/>
                <w:szCs w:val="16"/>
                <w:b w:val="1"/>
                <w:bCs w:val="1"/>
                <w:color w:val="auto"/>
              </w:rPr>
              <w:t xml:space="preserve">2026 Proxy Statement </w:t>
            </w:r>
            <w:r>
              <w:rPr>
                <w:rFonts w:ascii="Arial" w:cs="Arial" w:eastAsia="Arial" w:hAnsi="Arial"/>
                <w:sz w:val="16"/>
                <w:szCs w:val="16"/>
                <w:b w:val="1"/>
                <w:bCs w:val="1"/>
                <w:color w:val="0C3471"/>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Pentair</w:t>
            </w:r>
          </w:p>
        </w:tc>
        <w:tc>
          <w:tcPr>
            <w:tcW w:w="460" w:type="dxa"/>
            <w:vAlign w:val="bottom"/>
          </w:tcPr>
          <w:p>
            <w:pPr>
              <w:jc w:val="right"/>
              <w:spacing w:after="0"/>
              <w:rPr>
                <w:sz w:val="20"/>
                <w:szCs w:val="20"/>
                <w:color w:val="auto"/>
              </w:rPr>
            </w:pPr>
            <w:r>
              <w:rPr>
                <w:rFonts w:ascii="Arial" w:cs="Arial" w:eastAsia="Arial" w:hAnsi="Arial"/>
                <w:sz w:val="16"/>
                <w:szCs w:val="16"/>
                <w:b w:val="1"/>
                <w:bCs w:val="1"/>
                <w:color w:val="auto"/>
              </w:rPr>
              <w:t>23</w:t>
            </w:r>
          </w:p>
        </w:tc>
      </w:tr>
      <w:tr>
        <w:trPr>
          <w:trHeight w:val="311"/>
        </w:trPr>
        <w:tc>
          <w:tcPr>
            <w:tcW w:w="107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14" w:right="339" w:bottom="1440" w:gutter="0" w:footer="0" w:header="0"/>
          <w:type w:val="continuous"/>
        </w:sectPr>
      </w:pPr>
    </w:p>
    <w:bookmarkStart w:id="25" w:name="page26"/>
    <w:bookmarkEnd w:id="25"/>
    <w:p>
      <w:pPr>
        <w:ind w:left="40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225425</wp:posOffset>
            </wp:positionH>
            <wp:positionV relativeFrom="page">
              <wp:posOffset>191770</wp:posOffset>
            </wp:positionV>
            <wp:extent cx="102870" cy="11176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clrChange>
                        <a:clrFrom>
                          <a:srgbClr val="FFFFFF"/>
                        </a:clrFrom>
                        <a:clrTo>
                          <a:srgbClr val="FFFFFF">
                            <a:alpha val="0"/>
                          </a:srgbClr>
                        </a:clrTo>
                      </a:clrChange>
                      <a:extLst>
                        <a:ext uri="{28A0092B-C50C-407E-A947-70E740481C1C}"/>
                      </a:extLst>
                    </a:blip>
                    <a:srcRect/>
                    <a:stretch>
                      <a:fillRect/>
                    </a:stretch>
                  </pic:blipFill>
                  <pic:spPr bwMode="auto">
                    <a:xfrm>
                      <a:off x="0" y="0"/>
                      <a:ext cx="102870" cy="111760"/>
                    </a:xfrm>
                    <a:prstGeom prst="rect">
                      <a:avLst/>
                    </a:prstGeom>
                    <a:noFill/>
                  </pic:spPr>
                </pic:pic>
              </a:graphicData>
            </a:graphic>
          </wp:anchor>
        </w:drawing>
        <w:t>Corporate Governance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20"/>
        <w:spacing w:after="0"/>
        <w:rPr>
          <w:sz w:val="20"/>
          <w:szCs w:val="20"/>
          <w:color w:val="auto"/>
        </w:rPr>
      </w:pPr>
      <w:r>
        <w:rPr>
          <w:rFonts w:ascii="Arial" w:cs="Arial" w:eastAsia="Arial" w:hAnsi="Arial"/>
          <w:sz w:val="29"/>
          <w:szCs w:val="29"/>
          <w:color w:val="64A70B"/>
        </w:rPr>
        <w:t>Oversight of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13" w:lineRule="exact"/>
        <w:rPr>
          <w:sz w:val="20"/>
          <w:szCs w:val="20"/>
          <w:color w:val="auto"/>
        </w:rPr>
      </w:pPr>
    </w:p>
    <w:p>
      <w:pPr>
        <w:jc w:val="both"/>
        <w:ind w:right="100"/>
        <w:spacing w:after="0" w:line="292" w:lineRule="auto"/>
        <w:rPr>
          <w:sz w:val="20"/>
          <w:szCs w:val="20"/>
          <w:color w:val="auto"/>
        </w:rPr>
      </w:pPr>
      <w:r>
        <w:rPr>
          <w:rFonts w:ascii="Arial" w:cs="Arial" w:eastAsia="Arial" w:hAnsi="Arial"/>
          <w:sz w:val="16"/>
          <w:szCs w:val="16"/>
          <w:color w:val="auto"/>
        </w:rPr>
        <w:t>At least once per year, the Board and senior management engage in an in-depth strategic review of our company’s outlook and strategy, which is designed to create long-term shareholder value and serves as the foundation upon which goals are established. Throughout the year, the Board reviews our strategy and monitors management’s progress against such goals.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1702435</wp:posOffset>
            </wp:positionH>
            <wp:positionV relativeFrom="paragraph">
              <wp:posOffset>80010</wp:posOffset>
            </wp:positionV>
            <wp:extent cx="368300" cy="3257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368300" cy="325755"/>
                    </a:xfrm>
                    <a:prstGeom prst="rect">
                      <a:avLst/>
                    </a:prstGeom>
                    <a:noFill/>
                  </pic:spPr>
                </pic:pic>
              </a:graphicData>
            </a:graphic>
          </wp:anchor>
        </w:drawing>
        <w:drawing>
          <wp:anchor simplePos="0" relativeHeight="251657728" behindDoc="1" locked="0" layoutInCell="0" allowOverlap="1">
            <wp:simplePos x="0" y="0"/>
            <wp:positionH relativeFrom="column">
              <wp:posOffset>3305175</wp:posOffset>
            </wp:positionH>
            <wp:positionV relativeFrom="paragraph">
              <wp:posOffset>80010</wp:posOffset>
            </wp:positionV>
            <wp:extent cx="368300" cy="3257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368300" cy="32575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80010</wp:posOffset>
            </wp:positionV>
            <wp:extent cx="368300" cy="3257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368300" cy="32575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1940"/>
        <w:spacing w:after="0"/>
        <w:tabs>
          <w:tab w:leader="none" w:pos="4420" w:val="left"/>
        </w:tabs>
        <w:rPr>
          <w:sz w:val="20"/>
          <w:szCs w:val="20"/>
          <w:color w:val="auto"/>
        </w:rPr>
      </w:pPr>
      <w:r>
        <w:rPr>
          <w:rFonts w:ascii="Arial" w:cs="Arial" w:eastAsia="Arial" w:hAnsi="Arial"/>
          <w:sz w:val="16"/>
          <w:szCs w:val="16"/>
          <w:color w:val="auto"/>
        </w:rPr>
        <w:t>Holds annual strategy review,</w:t>
      </w:r>
      <w:r>
        <w:rPr>
          <w:sz w:val="20"/>
          <w:szCs w:val="20"/>
          <w:color w:val="auto"/>
        </w:rPr>
        <w:tab/>
      </w:r>
      <w:r>
        <w:rPr>
          <w:rFonts w:ascii="Arial" w:cs="Arial" w:eastAsia="Arial" w:hAnsi="Arial"/>
          <w:sz w:val="16"/>
          <w:szCs w:val="16"/>
          <w:color w:val="auto"/>
        </w:rPr>
        <w:t>Routinely engages with senior</w:t>
      </w:r>
    </w:p>
    <w:p>
      <w:pPr>
        <w:spacing w:after="0" w:line="32" w:lineRule="exact"/>
        <w:rPr>
          <w:sz w:val="20"/>
          <w:szCs w:val="20"/>
          <w:color w:val="auto"/>
        </w:rPr>
      </w:pPr>
    </w:p>
    <w:p>
      <w:pPr>
        <w:ind w:left="1940"/>
        <w:spacing w:after="0"/>
        <w:tabs>
          <w:tab w:leader="none" w:pos="4420" w:val="left"/>
        </w:tabs>
        <w:rPr>
          <w:sz w:val="20"/>
          <w:szCs w:val="20"/>
          <w:color w:val="auto"/>
        </w:rPr>
      </w:pPr>
      <w:r>
        <w:rPr>
          <w:rFonts w:ascii="Arial" w:cs="Arial" w:eastAsia="Arial" w:hAnsi="Arial"/>
          <w:sz w:val="16"/>
          <w:szCs w:val="16"/>
          <w:color w:val="auto"/>
        </w:rPr>
        <w:t>including presentations from,</w:t>
      </w:r>
      <w:r>
        <w:rPr>
          <w:sz w:val="20"/>
          <w:szCs w:val="20"/>
          <w:color w:val="auto"/>
        </w:rPr>
        <w:tab/>
      </w:r>
      <w:r>
        <w:rPr>
          <w:rFonts w:ascii="Arial" w:cs="Arial" w:eastAsia="Arial" w:hAnsi="Arial"/>
          <w:sz w:val="16"/>
          <w:szCs w:val="16"/>
          <w:color w:val="auto"/>
        </w:rPr>
        <w:t>management on critical</w:t>
      </w:r>
    </w:p>
    <w:p>
      <w:pPr>
        <w:spacing w:after="0" w:line="32" w:lineRule="exact"/>
        <w:rPr>
          <w:sz w:val="20"/>
          <w:szCs w:val="20"/>
          <w:color w:val="auto"/>
        </w:rPr>
      </w:pPr>
    </w:p>
    <w:p>
      <w:pPr>
        <w:ind w:left="1940"/>
        <w:spacing w:after="0"/>
        <w:tabs>
          <w:tab w:leader="none" w:pos="4420" w:val="left"/>
        </w:tabs>
        <w:rPr>
          <w:sz w:val="20"/>
          <w:szCs w:val="20"/>
          <w:color w:val="auto"/>
        </w:rPr>
      </w:pPr>
      <w:r>
        <w:rPr>
          <w:rFonts w:ascii="Arial" w:cs="Arial" w:eastAsia="Arial" w:hAnsi="Arial"/>
          <w:sz w:val="16"/>
          <w:szCs w:val="16"/>
          <w:color w:val="auto"/>
        </w:rPr>
        <w:t>and engagement with,</w:t>
      </w:r>
      <w:r>
        <w:rPr>
          <w:sz w:val="20"/>
          <w:szCs w:val="20"/>
          <w:color w:val="auto"/>
        </w:rPr>
        <w:tab/>
      </w:r>
      <w:r>
        <w:rPr>
          <w:rFonts w:ascii="Arial" w:cs="Arial" w:eastAsia="Arial" w:hAnsi="Arial"/>
          <w:sz w:val="16"/>
          <w:szCs w:val="16"/>
          <w:color w:val="auto"/>
        </w:rPr>
        <w:t>business matters tied to</w:t>
      </w:r>
    </w:p>
    <w:p>
      <w:pPr>
        <w:spacing w:after="0" w:line="31" w:lineRule="exact"/>
        <w:rPr>
          <w:sz w:val="20"/>
          <w:szCs w:val="20"/>
          <w:color w:val="auto"/>
        </w:rPr>
      </w:pPr>
    </w:p>
    <w:p>
      <w:pPr>
        <w:ind w:left="1940"/>
        <w:spacing w:after="0"/>
        <w:tabs>
          <w:tab w:leader="none" w:pos="4420" w:val="left"/>
        </w:tabs>
        <w:rPr>
          <w:sz w:val="20"/>
          <w:szCs w:val="20"/>
          <w:color w:val="auto"/>
        </w:rPr>
      </w:pPr>
      <w:r>
        <w:rPr>
          <w:rFonts w:ascii="Arial" w:cs="Arial" w:eastAsia="Arial" w:hAnsi="Arial"/>
          <w:sz w:val="16"/>
          <w:szCs w:val="16"/>
          <w:color w:val="auto"/>
        </w:rPr>
        <w:t>Company senior</w:t>
      </w:r>
      <w:r>
        <w:rPr>
          <w:sz w:val="20"/>
          <w:szCs w:val="20"/>
          <w:color w:val="auto"/>
        </w:rPr>
        <w:tab/>
      </w:r>
      <w:r>
        <w:rPr>
          <w:rFonts w:ascii="Arial" w:cs="Arial" w:eastAsia="Arial" w:hAnsi="Arial"/>
          <w:sz w:val="16"/>
          <w:szCs w:val="16"/>
          <w:color w:val="auto"/>
        </w:rPr>
        <w:t>Company strategy</w:t>
      </w:r>
    </w:p>
    <w:p>
      <w:pPr>
        <w:spacing w:after="0" w:line="20" w:lineRule="exact"/>
        <w:rPr>
          <w:sz w:val="20"/>
          <w:szCs w:val="20"/>
          <w:color w:val="auto"/>
        </w:rPr>
      </w:pPr>
    </w:p>
    <w:p>
      <w:pPr>
        <w:ind w:left="1940"/>
        <w:spacing w:after="0"/>
        <w:rPr>
          <w:sz w:val="20"/>
          <w:szCs w:val="20"/>
          <w:color w:val="auto"/>
        </w:rPr>
      </w:pPr>
      <w:r>
        <w:rPr>
          <w:rFonts w:ascii="Arial" w:cs="Arial" w:eastAsia="Arial" w:hAnsi="Arial"/>
          <w:sz w:val="16"/>
          <w:szCs w:val="16"/>
          <w:color w:val="auto"/>
        </w:rPr>
        <w:t>management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Regularly meets with broad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spectrum of senior leaders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assess talent pipeline</w:t>
      </w:r>
    </w:p>
    <w:p>
      <w:pPr>
        <w:spacing w:after="0" w:line="618" w:lineRule="exact"/>
        <w:rPr>
          <w:sz w:val="20"/>
          <w:szCs w:val="20"/>
          <w:color w:val="auto"/>
        </w:rPr>
      </w:pPr>
    </w:p>
    <w:p>
      <w:pPr>
        <w:sectPr>
          <w:pgSz w:w="11900" w:h="16838" w:orient="portrait"/>
          <w:cols w:equalWidth="0" w:num="2">
            <w:col w:w="6600" w:space="380"/>
            <w:col w:w="4220"/>
          </w:cols>
          <w:pgMar w:left="320" w:top="341" w:right="379" w:bottom="1440" w:gutter="0" w:footer="0" w:header="0"/>
          <w:type w:val="continuous"/>
        </w:sectPr>
      </w:pPr>
    </w:p>
    <w:p>
      <w:pPr>
        <w:spacing w:after="0" w:line="260" w:lineRule="exact"/>
        <w:rPr>
          <w:sz w:val="20"/>
          <w:szCs w:val="20"/>
          <w:color w:val="auto"/>
        </w:rPr>
      </w:pPr>
    </w:p>
    <w:p>
      <w:pPr>
        <w:ind w:left="20"/>
        <w:spacing w:after="0"/>
        <w:rPr>
          <w:sz w:val="20"/>
          <w:szCs w:val="20"/>
          <w:color w:val="auto"/>
        </w:rPr>
      </w:pPr>
      <w:r>
        <w:rPr>
          <w:rFonts w:ascii="Arial" w:cs="Arial" w:eastAsia="Arial" w:hAnsi="Arial"/>
          <w:sz w:val="29"/>
          <w:szCs w:val="29"/>
          <w:color w:val="64A70B"/>
        </w:rPr>
        <w:t>Oversight of Succession Planning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13" w:lineRule="exact"/>
        <w:rPr>
          <w:sz w:val="20"/>
          <w:szCs w:val="20"/>
          <w:color w:val="auto"/>
        </w:rPr>
      </w:pPr>
    </w:p>
    <w:p>
      <w:pPr>
        <w:ind w:right="140"/>
        <w:spacing w:after="0" w:line="282" w:lineRule="auto"/>
        <w:rPr>
          <w:sz w:val="20"/>
          <w:szCs w:val="20"/>
          <w:color w:val="auto"/>
        </w:rPr>
      </w:pPr>
      <w:r>
        <w:rPr>
          <w:rFonts w:ascii="Arial" w:cs="Arial" w:eastAsia="Arial" w:hAnsi="Arial"/>
          <w:sz w:val="16"/>
          <w:szCs w:val="16"/>
          <w:color w:val="auto"/>
        </w:rPr>
        <w:t>The Board views its role in succession planning and talent development as a key responsibility. At least once per year, usually as part of the annual talent review process, the Board discusses and reviews the succession plans for the Chief Executive Officer position and other executive officers and key contributors. The Board becomes familiar with potential successors for key management positions through various means, including annual talent reviews, presentations to the Board and communications outside of meetings. Our succession planning process is an organization-wide practice designed to proactively identify, develop and retain the leadership talent that is critical for our future business success.</w:t>
      </w:r>
    </w:p>
    <w:p>
      <w:pPr>
        <w:spacing w:after="0" w:line="282" w:lineRule="exact"/>
        <w:rPr>
          <w:sz w:val="20"/>
          <w:szCs w:val="20"/>
          <w:color w:val="auto"/>
        </w:rPr>
      </w:pPr>
    </w:p>
    <w:p>
      <w:pPr>
        <w:spacing w:after="0"/>
        <w:rPr>
          <w:sz w:val="20"/>
          <w:szCs w:val="20"/>
          <w:color w:val="auto"/>
        </w:rPr>
      </w:pPr>
      <w:r>
        <w:rPr>
          <w:rFonts w:ascii="Arial" w:cs="Arial" w:eastAsia="Arial" w:hAnsi="Arial"/>
          <w:sz w:val="32"/>
          <w:szCs w:val="32"/>
          <w:color w:val="0C3471"/>
        </w:rPr>
        <w:t>Other Governance Policies and Practices</w:t>
      </w:r>
    </w:p>
    <w:p>
      <w:pPr>
        <w:spacing w:after="0" w:line="357" w:lineRule="exact"/>
        <w:rPr>
          <w:sz w:val="20"/>
          <w:szCs w:val="20"/>
          <w:color w:val="auto"/>
        </w:rPr>
      </w:pPr>
    </w:p>
    <w:p>
      <w:pPr>
        <w:ind w:left="20"/>
        <w:spacing w:after="0"/>
        <w:rPr>
          <w:sz w:val="20"/>
          <w:szCs w:val="20"/>
          <w:color w:val="auto"/>
        </w:rPr>
      </w:pPr>
      <w:r>
        <w:rPr>
          <w:rFonts w:ascii="Arial" w:cs="Arial" w:eastAsia="Arial" w:hAnsi="Arial"/>
          <w:sz w:val="29"/>
          <w:szCs w:val="29"/>
          <w:color w:val="64A70B"/>
        </w:rPr>
        <w:t>Code of Business Conduct and Ethics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13" w:lineRule="exact"/>
        <w:rPr>
          <w:sz w:val="20"/>
          <w:szCs w:val="20"/>
          <w:color w:val="auto"/>
        </w:rPr>
      </w:pPr>
    </w:p>
    <w:p>
      <w:pPr>
        <w:ind w:right="180"/>
        <w:spacing w:after="0" w:line="292" w:lineRule="auto"/>
        <w:rPr>
          <w:sz w:val="20"/>
          <w:szCs w:val="20"/>
          <w:color w:val="auto"/>
        </w:rPr>
      </w:pPr>
      <w:r>
        <w:rPr>
          <w:rFonts w:ascii="Arial" w:cs="Arial" w:eastAsia="Arial" w:hAnsi="Arial"/>
          <w:sz w:val="16"/>
          <w:szCs w:val="16"/>
          <w:color w:val="auto"/>
        </w:rPr>
        <w:t>The Board has adopted a Code of Business Conduct and Ethics (“Code of Conduct”) that applies to all of our employees, contractors, directors and executive officers, including our Chief Executive Officer and senior financial officers. Pentair’s Code of Conduct requires employees to act with the highest levels of ethics and integrity and to treat others in a fair and equitable manner.</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A copy of our Code of Conduct is available on our website at </w:t>
      </w:r>
      <w:r>
        <w:rPr>
          <w:rFonts w:ascii="Arial" w:cs="Arial" w:eastAsia="Arial" w:hAnsi="Arial"/>
          <w:sz w:val="16"/>
          <w:szCs w:val="16"/>
          <w:color w:val="0C3471"/>
        </w:rPr>
        <w:t>https://www.pentair.com/en-us/about-pentair/corporate-governance.html</w:t>
      </w:r>
      <w:r>
        <w:rPr>
          <w:rFonts w:ascii="Arial" w:cs="Arial" w:eastAsia="Arial" w:hAnsi="Arial"/>
          <w:sz w:val="16"/>
          <w:szCs w:val="16"/>
          <w:color w:val="auto"/>
        </w:rPr>
        <w:t>.</w:t>
      </w:r>
    </w:p>
    <w:p>
      <w:pPr>
        <w:spacing w:after="0" w:line="352" w:lineRule="exact"/>
        <w:rPr>
          <w:sz w:val="20"/>
          <w:szCs w:val="20"/>
          <w:color w:val="auto"/>
        </w:rPr>
      </w:pPr>
    </w:p>
    <w:p>
      <w:pPr>
        <w:ind w:left="20"/>
        <w:spacing w:after="0"/>
        <w:rPr>
          <w:sz w:val="20"/>
          <w:szCs w:val="20"/>
          <w:color w:val="auto"/>
        </w:rPr>
      </w:pPr>
      <w:r>
        <w:rPr>
          <w:rFonts w:ascii="Arial" w:cs="Arial" w:eastAsia="Arial" w:hAnsi="Arial"/>
          <w:sz w:val="29"/>
          <w:szCs w:val="29"/>
          <w:color w:val="64A70B"/>
        </w:rPr>
        <w:t>Insider Trading Policy, Including Prohibiting Hedging and Pledging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99"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Our Board has adopted an Insider Trading Policy governing the purchase, sale and other dispositions of Pentair securities by our directors, officers, employees and the Company itself that we believe is reasonably designed to promote compliance with insider trading laws, rules and regulation, and the exchange listing standards applicable to the Company. The policy prohibits buying or selling Pentair securities while aware of material non-public information about our Company and from disclosing (“tipping”) such information to others, except in limited circumstances described in the policy. The policy also includes information on trading windows and pre-clearance requirements to facilitate compliance with these general prohibitions.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600" w:hanging="574"/>
        <w:spacing w:after="0"/>
        <w:tabs>
          <w:tab w:leader="none" w:pos="600" w:val="left"/>
        </w:tabs>
        <w:numPr>
          <w:ilvl w:val="0"/>
          <w:numId w:val="50"/>
        </w:numPr>
        <w:rPr>
          <w:rFonts w:ascii="Arial" w:cs="Arial" w:eastAsia="Arial" w:hAnsi="Arial"/>
          <w:sz w:val="16"/>
          <w:szCs w:val="16"/>
          <w:b w:val="1"/>
          <w:bCs w:val="1"/>
          <w:color w:val="auto"/>
        </w:rPr>
      </w:pPr>
      <w:r>
        <w:rPr>
          <w:rFonts w:ascii="Arial" w:cs="Arial" w:eastAsia="Arial" w:hAnsi="Arial"/>
          <w:sz w:val="16"/>
          <w:szCs w:val="16"/>
          <w:color w:val="auto"/>
        </w:rPr>
        <w:t xml:space="preserve">Pentair </w:t>
      </w:r>
      <w:r>
        <w:rPr>
          <w:rFonts w:ascii="Arial" w:cs="Arial" w:eastAsia="Arial" w:hAnsi="Arial"/>
          <w:sz w:val="16"/>
          <w:szCs w:val="16"/>
          <w:b w:val="1"/>
          <w:bCs w:val="1"/>
          <w:color w:val="0C3471"/>
        </w:rPr>
        <w:t>|</w:t>
      </w:r>
      <w:r>
        <w:rPr>
          <w:rFonts w:ascii="Arial" w:cs="Arial" w:eastAsia="Arial" w:hAnsi="Arial"/>
          <w:sz w:val="16"/>
          <w:szCs w:val="16"/>
          <w:color w:val="auto"/>
        </w:rPr>
        <w:t xml:space="preserve"> </w:t>
      </w:r>
      <w:r>
        <w:rPr>
          <w:rFonts w:ascii="Arial" w:cs="Arial" w:eastAsia="Arial" w:hAnsi="Arial"/>
          <w:sz w:val="16"/>
          <w:szCs w:val="16"/>
          <w:b w:val="1"/>
          <w:bCs w:val="1"/>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205105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type w:val="continuous"/>
        </w:sectPr>
      </w:pPr>
    </w:p>
    <w:bookmarkStart w:id="26" w:name="page27"/>
    <w:bookmarkEnd w:id="26"/>
    <w:p>
      <w:pPr>
        <w:jc w:val="right"/>
        <w:ind w:right="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5831840</wp:posOffset>
            </wp:positionH>
            <wp:positionV relativeFrom="page">
              <wp:posOffset>191770</wp:posOffset>
            </wp:positionV>
            <wp:extent cx="102870" cy="11176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clrChange>
                        <a:clrFrom>
                          <a:srgbClr val="FFFFFF"/>
                        </a:clrFrom>
                        <a:clrTo>
                          <a:srgbClr val="FFFFFF">
                            <a:alpha val="0"/>
                          </a:srgbClr>
                        </a:clrTo>
                      </a:clrChange>
                      <a:extLst>
                        <a:ext uri="{28A0092B-C50C-407E-A947-70E740481C1C}"/>
                      </a:extLst>
                    </a:blip>
                    <a:srcRect/>
                    <a:stretch>
                      <a:fillRect/>
                    </a:stretch>
                  </pic:blipFill>
                  <pic:spPr bwMode="auto">
                    <a:xfrm>
                      <a:off x="0" y="0"/>
                      <a:ext cx="102870" cy="111760"/>
                    </a:xfrm>
                    <a:prstGeom prst="rect">
                      <a:avLst/>
                    </a:prstGeom>
                    <a:noFill/>
                  </pic:spPr>
                </pic:pic>
              </a:graphicData>
            </a:graphic>
          </wp:anchor>
        </w:drawing>
        <w:t>Corporate Governance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120"/>
        <w:spacing w:after="0" w:line="279" w:lineRule="auto"/>
        <w:rPr>
          <w:sz w:val="20"/>
          <w:szCs w:val="20"/>
          <w:color w:val="auto"/>
        </w:rPr>
      </w:pPr>
      <w:r>
        <w:rPr>
          <w:rFonts w:ascii="Arial" w:cs="Arial" w:eastAsia="Arial" w:hAnsi="Arial"/>
          <w:sz w:val="16"/>
          <w:szCs w:val="16"/>
          <w:color w:val="auto"/>
        </w:rPr>
        <w:t>In addition, the policy prohibits our executive officers, directors and other employees from purchasing financial instruments (including prepaid variable forward contracts, equity swaps, collars and exchange funds) or otherwise engaging in transactions that hedge or offset, or are designed to hedge or offset, any decrease in the market value of Pentair securities. Prohibited transactions include transactions in puts, calls, cashless collars, options (other than options issued by Pentair to acquire Pentair securities), short sales and similar rights and obligations. This restriction applies to all Pentair securities owned directly or indirectly by the individual, including Pentair securities owned by their family members and their respective designees. Nothing in our policy precludes an executive officer, director or employee, or their designees, from engaging in general portfolio diversification or investing in broad-based index funds. In addition, our executive officers, directors and other employees, as well as their family members, are prohibited from holding Pentair securities in a margin account or otherwise pledging Pentair securities as collateral for a loan.</w:t>
      </w: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color w:val="auto"/>
        </w:rPr>
        <w:t>Our Insider Trading Policy is filed as an exhibit to our 2025 Annual Report on Form 10-K.</w:t>
      </w:r>
    </w:p>
    <w:p>
      <w:pPr>
        <w:spacing w:after="0" w:line="352" w:lineRule="exact"/>
        <w:rPr>
          <w:sz w:val="20"/>
          <w:szCs w:val="20"/>
          <w:color w:val="auto"/>
        </w:rPr>
      </w:pPr>
    </w:p>
    <w:p>
      <w:pPr>
        <w:ind w:left="20"/>
        <w:spacing w:after="0"/>
        <w:rPr>
          <w:sz w:val="20"/>
          <w:szCs w:val="20"/>
          <w:color w:val="auto"/>
        </w:rPr>
      </w:pPr>
      <w:r>
        <w:rPr>
          <w:rFonts w:ascii="Arial" w:cs="Arial" w:eastAsia="Arial" w:hAnsi="Arial"/>
          <w:sz w:val="29"/>
          <w:szCs w:val="29"/>
          <w:color w:val="64A70B"/>
        </w:rPr>
        <w:t>Policies and Procedures Regarding Related Person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99" w:lineRule="exact"/>
        <w:rPr>
          <w:sz w:val="20"/>
          <w:szCs w:val="20"/>
          <w:color w:val="auto"/>
        </w:rPr>
      </w:pPr>
    </w:p>
    <w:p>
      <w:pPr>
        <w:spacing w:after="0"/>
        <w:rPr>
          <w:sz w:val="20"/>
          <w:szCs w:val="20"/>
          <w:color w:val="auto"/>
        </w:rPr>
      </w:pPr>
      <w:r>
        <w:rPr>
          <w:rFonts w:ascii="Arial" w:cs="Arial" w:eastAsia="Arial" w:hAnsi="Arial"/>
          <w:sz w:val="16"/>
          <w:szCs w:val="16"/>
          <w:color w:val="auto"/>
        </w:rPr>
        <w:t>Our Board has adopted written policies and procedures regarding related person transactions. For purposes of these policies and procedures:</w:t>
      </w:r>
    </w:p>
    <w:p>
      <w:pPr>
        <w:spacing w:after="0" w:line="140" w:lineRule="exact"/>
        <w:rPr>
          <w:sz w:val="20"/>
          <w:szCs w:val="20"/>
          <w:color w:val="auto"/>
        </w:rPr>
      </w:pPr>
    </w:p>
    <w:p>
      <w:pPr>
        <w:ind w:left="160" w:hanging="152"/>
        <w:spacing w:after="0"/>
        <w:tabs>
          <w:tab w:leader="none" w:pos="160" w:val="left"/>
        </w:tabs>
        <w:numPr>
          <w:ilvl w:val="0"/>
          <w:numId w:val="51"/>
        </w:numPr>
        <w:rPr>
          <w:rFonts w:ascii="Arial" w:cs="Arial" w:eastAsia="Arial" w:hAnsi="Arial"/>
          <w:sz w:val="13"/>
          <w:szCs w:val="13"/>
          <w:color w:val="64A70B"/>
        </w:rPr>
      </w:pPr>
      <w:r>
        <w:rPr>
          <w:rFonts w:ascii="Arial" w:cs="Arial" w:eastAsia="Arial" w:hAnsi="Arial"/>
          <w:sz w:val="16"/>
          <w:szCs w:val="16"/>
          <w:color w:val="auto"/>
        </w:rPr>
        <w:t>a “related person” means any of our directors, executive officers or 5% shareholders or any of their immediate family members; and</w:t>
      </w:r>
    </w:p>
    <w:p>
      <w:pPr>
        <w:spacing w:after="0" w:line="99" w:lineRule="exact"/>
        <w:rPr>
          <w:rFonts w:ascii="Arial" w:cs="Arial" w:eastAsia="Arial" w:hAnsi="Arial"/>
          <w:sz w:val="13"/>
          <w:szCs w:val="13"/>
          <w:color w:val="64A70B"/>
        </w:rPr>
      </w:pPr>
    </w:p>
    <w:p>
      <w:pPr>
        <w:ind w:left="200" w:right="220" w:hanging="192"/>
        <w:spacing w:after="0" w:line="304" w:lineRule="auto"/>
        <w:tabs>
          <w:tab w:leader="none" w:pos="157" w:val="left"/>
        </w:tabs>
        <w:numPr>
          <w:ilvl w:val="0"/>
          <w:numId w:val="51"/>
        </w:numPr>
        <w:rPr>
          <w:rFonts w:ascii="Arial" w:cs="Arial" w:eastAsia="Arial" w:hAnsi="Arial"/>
          <w:sz w:val="13"/>
          <w:szCs w:val="13"/>
          <w:color w:val="64A70B"/>
        </w:rPr>
      </w:pPr>
      <w:r>
        <w:rPr>
          <w:rFonts w:ascii="Arial" w:cs="Arial" w:eastAsia="Arial" w:hAnsi="Arial"/>
          <w:sz w:val="16"/>
          <w:szCs w:val="16"/>
          <w:color w:val="auto"/>
        </w:rPr>
        <w:t>a “related person transaction” generally is a transaction with us in which a related person has a direct or indirect material interest and the amount will, or may reasonably be expected to, exceed $120,000 in any fiscal year.</w:t>
      </w:r>
    </w:p>
    <w:p>
      <w:pPr>
        <w:spacing w:after="0" w:line="60" w:lineRule="exact"/>
        <w:rPr>
          <w:sz w:val="20"/>
          <w:szCs w:val="20"/>
          <w:color w:val="auto"/>
        </w:rPr>
      </w:pPr>
    </w:p>
    <w:p>
      <w:pPr>
        <w:ind w:right="140"/>
        <w:spacing w:after="0" w:line="282" w:lineRule="auto"/>
        <w:rPr>
          <w:sz w:val="20"/>
          <w:szCs w:val="20"/>
          <w:color w:val="auto"/>
        </w:rPr>
      </w:pPr>
      <w:r>
        <w:rPr>
          <w:rFonts w:ascii="Arial" w:cs="Arial" w:eastAsia="Arial" w:hAnsi="Arial"/>
          <w:sz w:val="16"/>
          <w:szCs w:val="16"/>
          <w:color w:val="auto"/>
        </w:rPr>
        <w:t>Potential related person transactions must be disclosed and brought to the attention of the Governance Committee directly or to the General Counsel for transmission to the Governance Committee. The Governance Committee will review all related person transactions and either approve or disapprove of the entry into the related person transaction, which will occur in advance of entry into the related person transaction whenever reasonably possible. In determining whether to approve a related person transaction, the Governance Committee will consider the following factors, among others, to the extent deemed relevant by the Governance Committee:</w:t>
      </w:r>
    </w:p>
    <w:p>
      <w:pPr>
        <w:spacing w:after="0" w:line="80" w:lineRule="exact"/>
        <w:rPr>
          <w:sz w:val="20"/>
          <w:szCs w:val="20"/>
          <w:color w:val="auto"/>
        </w:rPr>
      </w:pPr>
    </w:p>
    <w:p>
      <w:pPr>
        <w:ind w:left="160" w:hanging="152"/>
        <w:spacing w:after="0"/>
        <w:tabs>
          <w:tab w:leader="none" w:pos="160" w:val="left"/>
        </w:tabs>
        <w:numPr>
          <w:ilvl w:val="0"/>
          <w:numId w:val="52"/>
        </w:numPr>
        <w:rPr>
          <w:rFonts w:ascii="Arial" w:cs="Arial" w:eastAsia="Arial" w:hAnsi="Arial"/>
          <w:sz w:val="13"/>
          <w:szCs w:val="13"/>
          <w:color w:val="64A70B"/>
        </w:rPr>
      </w:pPr>
      <w:r>
        <w:rPr>
          <w:rFonts w:ascii="Arial" w:cs="Arial" w:eastAsia="Arial" w:hAnsi="Arial"/>
          <w:sz w:val="16"/>
          <w:szCs w:val="16"/>
          <w:color w:val="auto"/>
        </w:rPr>
        <w:t>the nature and extent of the related person’s interest in the transaction;</w:t>
      </w:r>
    </w:p>
    <w:p>
      <w:pPr>
        <w:spacing w:after="0" w:line="99" w:lineRule="exact"/>
        <w:rPr>
          <w:rFonts w:ascii="Arial" w:cs="Arial" w:eastAsia="Arial" w:hAnsi="Arial"/>
          <w:sz w:val="13"/>
          <w:szCs w:val="13"/>
          <w:color w:val="64A70B"/>
        </w:rPr>
      </w:pPr>
    </w:p>
    <w:p>
      <w:pPr>
        <w:ind w:left="200" w:right="100" w:hanging="192"/>
        <w:spacing w:after="0" w:line="316" w:lineRule="auto"/>
        <w:tabs>
          <w:tab w:leader="none" w:pos="157" w:val="left"/>
        </w:tabs>
        <w:numPr>
          <w:ilvl w:val="0"/>
          <w:numId w:val="52"/>
        </w:numPr>
        <w:rPr>
          <w:rFonts w:ascii="Arial" w:cs="Arial" w:eastAsia="Arial" w:hAnsi="Arial"/>
          <w:sz w:val="13"/>
          <w:szCs w:val="13"/>
          <w:color w:val="64A70B"/>
        </w:rPr>
      </w:pPr>
      <w:r>
        <w:rPr>
          <w:rFonts w:ascii="Arial" w:cs="Arial" w:eastAsia="Arial" w:hAnsi="Arial"/>
          <w:sz w:val="16"/>
          <w:szCs w:val="16"/>
          <w:color w:val="auto"/>
        </w:rPr>
        <w:t>whether the terms of the related person transaction are fair to us and on terms at least as favorable as would apply if the other party had no affiliation with any of our directors, executive officers or 5% shareholders;</w:t>
      </w:r>
    </w:p>
    <w:p>
      <w:pPr>
        <w:spacing w:after="0" w:line="1" w:lineRule="exact"/>
        <w:rPr>
          <w:rFonts w:ascii="Arial" w:cs="Arial" w:eastAsia="Arial" w:hAnsi="Arial"/>
          <w:sz w:val="13"/>
          <w:szCs w:val="13"/>
          <w:color w:val="64A70B"/>
        </w:rPr>
      </w:pPr>
    </w:p>
    <w:p>
      <w:pPr>
        <w:ind w:left="160" w:hanging="152"/>
        <w:spacing w:after="0"/>
        <w:tabs>
          <w:tab w:leader="none" w:pos="160" w:val="left"/>
        </w:tabs>
        <w:numPr>
          <w:ilvl w:val="0"/>
          <w:numId w:val="52"/>
        </w:numPr>
        <w:rPr>
          <w:rFonts w:ascii="Arial" w:cs="Arial" w:eastAsia="Arial" w:hAnsi="Arial"/>
          <w:sz w:val="13"/>
          <w:szCs w:val="13"/>
          <w:color w:val="64A70B"/>
        </w:rPr>
      </w:pPr>
      <w:r>
        <w:rPr>
          <w:rFonts w:ascii="Arial" w:cs="Arial" w:eastAsia="Arial" w:hAnsi="Arial"/>
          <w:sz w:val="16"/>
          <w:szCs w:val="16"/>
          <w:color w:val="auto"/>
        </w:rPr>
        <w:t>whether there are demonstrable business reasons for us to enter into the related person transaction;</w:t>
      </w:r>
    </w:p>
    <w:p>
      <w:pPr>
        <w:spacing w:after="0" w:line="99" w:lineRule="exact"/>
        <w:rPr>
          <w:rFonts w:ascii="Arial" w:cs="Arial" w:eastAsia="Arial" w:hAnsi="Arial"/>
          <w:sz w:val="13"/>
          <w:szCs w:val="13"/>
          <w:color w:val="64A70B"/>
        </w:rPr>
      </w:pPr>
    </w:p>
    <w:p>
      <w:pPr>
        <w:ind w:left="200" w:right="380" w:hanging="192"/>
        <w:spacing w:after="0" w:line="321" w:lineRule="auto"/>
        <w:tabs>
          <w:tab w:leader="none" w:pos="157" w:val="left"/>
        </w:tabs>
        <w:numPr>
          <w:ilvl w:val="0"/>
          <w:numId w:val="52"/>
        </w:numPr>
        <w:rPr>
          <w:rFonts w:ascii="Arial" w:cs="Arial" w:eastAsia="Arial" w:hAnsi="Arial"/>
          <w:sz w:val="13"/>
          <w:szCs w:val="13"/>
          <w:color w:val="64A70B"/>
        </w:rPr>
      </w:pPr>
      <w:r>
        <w:rPr>
          <w:rFonts w:ascii="Arial" w:cs="Arial" w:eastAsia="Arial" w:hAnsi="Arial"/>
          <w:sz w:val="16"/>
          <w:szCs w:val="16"/>
          <w:color w:val="auto"/>
        </w:rPr>
        <w:t>whether the related person transaction could impair the independence of a director under our Corporate Governance Principles’ standards for director independence;</w:t>
      </w:r>
    </w:p>
    <w:p>
      <w:pPr>
        <w:spacing w:after="0" w:line="7" w:lineRule="exact"/>
        <w:rPr>
          <w:rFonts w:ascii="Arial" w:cs="Arial" w:eastAsia="Arial" w:hAnsi="Arial"/>
          <w:sz w:val="13"/>
          <w:szCs w:val="13"/>
          <w:color w:val="64A70B"/>
        </w:rPr>
      </w:pPr>
    </w:p>
    <w:p>
      <w:pPr>
        <w:ind w:left="200" w:right="180" w:hanging="192"/>
        <w:spacing w:after="0" w:line="304" w:lineRule="auto"/>
        <w:tabs>
          <w:tab w:leader="none" w:pos="157" w:val="left"/>
        </w:tabs>
        <w:numPr>
          <w:ilvl w:val="0"/>
          <w:numId w:val="52"/>
        </w:numPr>
        <w:rPr>
          <w:rFonts w:ascii="Arial" w:cs="Arial" w:eastAsia="Arial" w:hAnsi="Arial"/>
          <w:sz w:val="13"/>
          <w:szCs w:val="13"/>
          <w:color w:val="64A70B"/>
        </w:rPr>
      </w:pPr>
      <w:r>
        <w:rPr>
          <w:rFonts w:ascii="Arial" w:cs="Arial" w:eastAsia="Arial" w:hAnsi="Arial"/>
          <w:sz w:val="16"/>
          <w:szCs w:val="16"/>
          <w:color w:val="auto"/>
        </w:rPr>
        <w:t>whether the related person transaction would present an improper conflict of interest for any of our directors or executive officers, taking into account the size of the transaction and the overall financial position of the director or executive officer; and</w:t>
      </w:r>
    </w:p>
    <w:p>
      <w:pPr>
        <w:spacing w:after="0" w:line="19" w:lineRule="exact"/>
        <w:rPr>
          <w:rFonts w:ascii="Arial" w:cs="Arial" w:eastAsia="Arial" w:hAnsi="Arial"/>
          <w:sz w:val="13"/>
          <w:szCs w:val="13"/>
          <w:color w:val="64A70B"/>
        </w:rPr>
      </w:pPr>
    </w:p>
    <w:p>
      <w:pPr>
        <w:ind w:left="200" w:right="80" w:hanging="192"/>
        <w:spacing w:after="0" w:line="321" w:lineRule="auto"/>
        <w:tabs>
          <w:tab w:leader="none" w:pos="157" w:val="left"/>
        </w:tabs>
        <w:numPr>
          <w:ilvl w:val="0"/>
          <w:numId w:val="52"/>
        </w:numPr>
        <w:rPr>
          <w:rFonts w:ascii="Arial" w:cs="Arial" w:eastAsia="Arial" w:hAnsi="Arial"/>
          <w:sz w:val="13"/>
          <w:szCs w:val="13"/>
          <w:color w:val="64A70B"/>
        </w:rPr>
      </w:pPr>
      <w:r>
        <w:rPr>
          <w:rFonts w:ascii="Arial" w:cs="Arial" w:eastAsia="Arial" w:hAnsi="Arial"/>
          <w:sz w:val="16"/>
          <w:szCs w:val="16"/>
          <w:color w:val="auto"/>
        </w:rPr>
        <w:t>the direct or indirect nature of the interest of the director or executive officer in the transaction, the ongoing nature of the relationship and any other factors the Governance Committee deems relevant.</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The Governance Committee will not approve nor ratify any related person transaction that is inconsistent with our interests or those of our shareholders.</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We had no related person transactions during 2025. To our knowledge, no related person transactions are currently proposed.</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10780" w:type="dxa"/>
            <w:vAlign w:val="bottom"/>
          </w:tcPr>
          <w:p>
            <w:pPr>
              <w:ind w:left="8260"/>
              <w:spacing w:after="0"/>
              <w:rPr>
                <w:sz w:val="20"/>
                <w:szCs w:val="20"/>
                <w:color w:val="auto"/>
              </w:rPr>
            </w:pPr>
            <w:r>
              <w:rPr>
                <w:rFonts w:ascii="Arial" w:cs="Arial" w:eastAsia="Arial" w:hAnsi="Arial"/>
                <w:sz w:val="16"/>
                <w:szCs w:val="16"/>
                <w:b w:val="1"/>
                <w:bCs w:val="1"/>
                <w:color w:val="auto"/>
              </w:rPr>
              <w:t xml:space="preserve">2026 Proxy Statement </w:t>
            </w:r>
            <w:r>
              <w:rPr>
                <w:rFonts w:ascii="Arial" w:cs="Arial" w:eastAsia="Arial" w:hAnsi="Arial"/>
                <w:sz w:val="16"/>
                <w:szCs w:val="16"/>
                <w:b w:val="1"/>
                <w:bCs w:val="1"/>
                <w:color w:val="0C3471"/>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Pentair</w:t>
            </w:r>
          </w:p>
        </w:tc>
        <w:tc>
          <w:tcPr>
            <w:tcW w:w="460" w:type="dxa"/>
            <w:vAlign w:val="bottom"/>
          </w:tcPr>
          <w:p>
            <w:pPr>
              <w:jc w:val="right"/>
              <w:spacing w:after="0"/>
              <w:rPr>
                <w:sz w:val="20"/>
                <w:szCs w:val="20"/>
                <w:color w:val="auto"/>
              </w:rPr>
            </w:pPr>
            <w:r>
              <w:rPr>
                <w:rFonts w:ascii="Arial" w:cs="Arial" w:eastAsia="Arial" w:hAnsi="Arial"/>
                <w:sz w:val="16"/>
                <w:szCs w:val="16"/>
                <w:b w:val="1"/>
                <w:bCs w:val="1"/>
                <w:color w:val="auto"/>
              </w:rPr>
              <w:t>25</w:t>
            </w:r>
          </w:p>
        </w:tc>
      </w:tr>
      <w:tr>
        <w:trPr>
          <w:trHeight w:val="325"/>
        </w:trPr>
        <w:tc>
          <w:tcPr>
            <w:tcW w:w="107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14" w:right="339" w:bottom="1440" w:gutter="0" w:footer="0" w:header="0"/>
        </w:sectPr>
      </w:pPr>
    </w:p>
    <w:bookmarkStart w:id="27" w:name="page28"/>
    <w:bookmarkEnd w:id="27"/>
    <w:p>
      <w:pPr>
        <w:ind w:left="40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225425</wp:posOffset>
            </wp:positionH>
            <wp:positionV relativeFrom="page">
              <wp:posOffset>191770</wp:posOffset>
            </wp:positionV>
            <wp:extent cx="102870" cy="11176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clrChange>
                        <a:clrFrom>
                          <a:srgbClr val="FFFFFF"/>
                        </a:clrFrom>
                        <a:clrTo>
                          <a:srgbClr val="FFFFFF">
                            <a:alpha val="0"/>
                          </a:srgbClr>
                        </a:clrTo>
                      </a:clrChange>
                      <a:extLst>
                        <a:ext uri="{28A0092B-C50C-407E-A947-70E740481C1C}"/>
                      </a:extLst>
                    </a:blip>
                    <a:srcRect/>
                    <a:stretch>
                      <a:fillRect/>
                    </a:stretch>
                  </pic:blipFill>
                  <pic:spPr bwMode="auto">
                    <a:xfrm>
                      <a:off x="0" y="0"/>
                      <a:ext cx="102870" cy="111760"/>
                    </a:xfrm>
                    <a:prstGeom prst="rect">
                      <a:avLst/>
                    </a:prstGeom>
                    <a:noFill/>
                  </pic:spPr>
                </pic:pic>
              </a:graphicData>
            </a:graphic>
          </wp:anchor>
        </w:drawing>
        <w:t>Corporate Governance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20"/>
        <w:spacing w:after="0"/>
        <w:rPr>
          <w:sz w:val="20"/>
          <w:szCs w:val="20"/>
          <w:color w:val="auto"/>
        </w:rPr>
      </w:pPr>
      <w:r>
        <w:rPr>
          <w:rFonts w:ascii="Arial" w:cs="Arial" w:eastAsia="Arial" w:hAnsi="Arial"/>
          <w:sz w:val="29"/>
          <w:szCs w:val="29"/>
          <w:color w:val="64A70B"/>
        </w:rPr>
        <w:t>Director Commitments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13" w:lineRule="exact"/>
        <w:rPr>
          <w:sz w:val="20"/>
          <w:szCs w:val="20"/>
          <w:color w:val="auto"/>
        </w:rPr>
      </w:pPr>
    </w:p>
    <w:p>
      <w:pPr>
        <w:ind w:right="140"/>
        <w:spacing w:after="0" w:line="283" w:lineRule="auto"/>
        <w:rPr>
          <w:sz w:val="20"/>
          <w:szCs w:val="20"/>
          <w:color w:val="auto"/>
        </w:rPr>
      </w:pPr>
      <w:r>
        <w:rPr>
          <w:rFonts w:ascii="Arial" w:cs="Arial" w:eastAsia="Arial" w:hAnsi="Arial"/>
          <w:sz w:val="16"/>
          <w:szCs w:val="16"/>
          <w:color w:val="auto"/>
        </w:rPr>
        <w:t>Our directors are encouraged to limit the number of other boards of directors on which they serve in order to permit more effective participation. Our Corporate Governance Principles provide that a director who serves as an executive officer of a public company is limited to two public company boards of directors, consisting of the director’s employer’s board and our Board; and four public company boards (including our Board) for directors who do not serve as public company executive officers. In each case, the Board may approve an exception to the overboarding policy.</w:t>
      </w:r>
    </w:p>
    <w:p>
      <w:pPr>
        <w:spacing w:after="0" w:line="279" w:lineRule="exact"/>
        <w:rPr>
          <w:sz w:val="20"/>
          <w:szCs w:val="20"/>
          <w:color w:val="auto"/>
        </w:rPr>
      </w:pPr>
    </w:p>
    <w:p>
      <w:pPr>
        <w:spacing w:after="0"/>
        <w:rPr>
          <w:sz w:val="20"/>
          <w:szCs w:val="20"/>
          <w:color w:val="auto"/>
        </w:rPr>
      </w:pPr>
      <w:r>
        <w:rPr>
          <w:rFonts w:ascii="Arial" w:cs="Arial" w:eastAsia="Arial" w:hAnsi="Arial"/>
          <w:sz w:val="32"/>
          <w:szCs w:val="32"/>
          <w:color w:val="0C3471"/>
        </w:rPr>
        <w:t>Director Compensation</w:t>
      </w:r>
    </w:p>
    <w:p>
      <w:pPr>
        <w:spacing w:after="0" w:line="146" w:lineRule="exact"/>
        <w:rPr>
          <w:sz w:val="20"/>
          <w:szCs w:val="20"/>
          <w:color w:val="auto"/>
        </w:rPr>
      </w:pPr>
    </w:p>
    <w:p>
      <w:pPr>
        <w:jc w:val="both"/>
        <w:ind w:right="20"/>
        <w:spacing w:after="0" w:line="304" w:lineRule="auto"/>
        <w:rPr>
          <w:sz w:val="20"/>
          <w:szCs w:val="20"/>
          <w:color w:val="auto"/>
        </w:rPr>
      </w:pPr>
      <w:r>
        <w:rPr>
          <w:rFonts w:ascii="Arial" w:cs="Arial" w:eastAsia="Arial" w:hAnsi="Arial"/>
          <w:sz w:val="16"/>
          <w:szCs w:val="16"/>
          <w:color w:val="auto"/>
        </w:rPr>
        <w:t>The Governance Committee annually reviews the compensation of our non-employee directors and makes recommendations to the Board. Our independent directors approve our director compensation.</w:t>
      </w:r>
    </w:p>
    <w:p>
      <w:pPr>
        <w:spacing w:after="0" w:line="60" w:lineRule="exact"/>
        <w:rPr>
          <w:sz w:val="20"/>
          <w:szCs w:val="20"/>
          <w:color w:val="auto"/>
        </w:rPr>
      </w:pPr>
    </w:p>
    <w:p>
      <w:pPr>
        <w:ind w:right="160"/>
        <w:spacing w:after="0" w:line="321" w:lineRule="auto"/>
        <w:rPr>
          <w:sz w:val="20"/>
          <w:szCs w:val="20"/>
          <w:color w:val="auto"/>
        </w:rPr>
      </w:pPr>
      <w:r>
        <w:rPr>
          <w:rFonts w:ascii="Arial" w:cs="Arial" w:eastAsia="Arial" w:hAnsi="Arial"/>
          <w:sz w:val="16"/>
          <w:szCs w:val="16"/>
          <w:color w:val="auto"/>
        </w:rPr>
        <w:t>We use a combination of cash and equity-based incentive compensation to attract and retain qualified directors. Compensation of our directors reflects our belief that a significant portion of directors’ compensation should be tied to long-term growth in shareholder value.</w:t>
      </w:r>
    </w:p>
    <w:p>
      <w:pPr>
        <w:spacing w:after="0" w:line="34"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In addition, we provide a Products and Services Program for Directors that is intended to encourage the use and promotion of Pentair’s products and service offerings by our directors, and for our directors to have first-hand knowledge of our customers’ experiences. Directors are eligible for a maximum of $50,000 of products and services annually. We cover sales taxes on the products and services and directors are responsible for paying associated income taxes.</w:t>
      </w:r>
    </w:p>
    <w:p>
      <w:pPr>
        <w:spacing w:after="0" w:line="71" w:lineRule="exact"/>
        <w:rPr>
          <w:sz w:val="20"/>
          <w:szCs w:val="20"/>
          <w:color w:val="auto"/>
        </w:rPr>
      </w:pPr>
    </w:p>
    <w:p>
      <w:pPr>
        <w:ind w:right="160"/>
        <w:spacing w:after="0" w:line="289" w:lineRule="auto"/>
        <w:rPr>
          <w:sz w:val="20"/>
          <w:szCs w:val="20"/>
          <w:color w:val="auto"/>
        </w:rPr>
      </w:pPr>
      <w:r>
        <w:rPr>
          <w:rFonts w:ascii="Arial" w:cs="Arial" w:eastAsia="Arial" w:hAnsi="Arial"/>
          <w:sz w:val="16"/>
          <w:szCs w:val="16"/>
          <w:color w:val="auto"/>
        </w:rPr>
        <w:t>Finally, we also provide a tax equalization payment to non-employee directors on (i) any U.K. taxes that may be due on account of our company’s payment of, or reimbursement for, lodging incidental to Board and Board committee meetings, and (ii) reimbursement of fees and expenses in connection with the preparation of U.K. tax returns. In addition, for the purposes of limiting double-taxation on U.K. sourced income, non-employee directors are eligible to receive tax equalization payments if the income taxes owed on U.K. sourced income exceed the income tax rates relative to their countries of residence.</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Mr. Stauch, our only employee-director, is not separately compensated for service as a member of the Board.</w:t>
      </w:r>
    </w:p>
    <w:p>
      <w:pPr>
        <w:spacing w:after="0" w:line="140" w:lineRule="exact"/>
        <w:rPr>
          <w:sz w:val="20"/>
          <w:szCs w:val="20"/>
          <w:color w:val="auto"/>
        </w:rPr>
      </w:pPr>
    </w:p>
    <w:p>
      <w:pPr>
        <w:ind w:right="280"/>
        <w:spacing w:after="0" w:line="289" w:lineRule="auto"/>
        <w:rPr>
          <w:sz w:val="20"/>
          <w:szCs w:val="20"/>
          <w:color w:val="auto"/>
        </w:rPr>
      </w:pPr>
      <w:r>
        <w:rPr>
          <w:rFonts w:ascii="Arial" w:cs="Arial" w:eastAsia="Arial" w:hAnsi="Arial"/>
          <w:sz w:val="16"/>
          <w:szCs w:val="16"/>
          <w:color w:val="auto"/>
        </w:rPr>
        <w:t>In December 2024, Aon Consulting reviewed our director compensation with the Governance Committee against the director compensation of our Comparator Group, which is the same compensation benchmarking peer group referenced in the Comparative Framework. Based on this review and the recommendation of the Governance Committee, our independent directors approved the following changes to director compensation effective January 1, 2025:</w:t>
      </w:r>
    </w:p>
    <w:p>
      <w:pPr>
        <w:spacing w:after="0" w:line="59" w:lineRule="exact"/>
        <w:rPr>
          <w:sz w:val="20"/>
          <w:szCs w:val="20"/>
          <w:color w:val="auto"/>
        </w:rPr>
      </w:pPr>
    </w:p>
    <w:p>
      <w:pPr>
        <w:ind w:left="160" w:hanging="152"/>
        <w:spacing w:after="0"/>
        <w:tabs>
          <w:tab w:leader="none" w:pos="160" w:val="left"/>
        </w:tabs>
        <w:numPr>
          <w:ilvl w:val="0"/>
          <w:numId w:val="53"/>
        </w:numPr>
        <w:rPr>
          <w:rFonts w:ascii="Arial" w:cs="Arial" w:eastAsia="Arial" w:hAnsi="Arial"/>
          <w:sz w:val="13"/>
          <w:szCs w:val="13"/>
          <w:color w:val="64A70B"/>
        </w:rPr>
      </w:pPr>
      <w:r>
        <w:rPr>
          <w:rFonts w:ascii="Arial" w:cs="Arial" w:eastAsia="Arial" w:hAnsi="Arial"/>
          <w:sz w:val="16"/>
          <w:szCs w:val="16"/>
          <w:color w:val="auto"/>
        </w:rPr>
        <w:t>Non-employee chair supplemental retainer increased from $175,000 to $180,000; and</w:t>
      </w:r>
    </w:p>
    <w:p>
      <w:pPr>
        <w:spacing w:after="0" w:line="99" w:lineRule="exact"/>
        <w:rPr>
          <w:rFonts w:ascii="Arial" w:cs="Arial" w:eastAsia="Arial" w:hAnsi="Arial"/>
          <w:sz w:val="13"/>
          <w:szCs w:val="13"/>
          <w:color w:val="64A70B"/>
        </w:rPr>
      </w:pPr>
    </w:p>
    <w:p>
      <w:pPr>
        <w:ind w:left="160" w:hanging="152"/>
        <w:spacing w:after="0"/>
        <w:tabs>
          <w:tab w:leader="none" w:pos="160" w:val="left"/>
        </w:tabs>
        <w:numPr>
          <w:ilvl w:val="0"/>
          <w:numId w:val="53"/>
        </w:numPr>
        <w:rPr>
          <w:rFonts w:ascii="Arial" w:cs="Arial" w:eastAsia="Arial" w:hAnsi="Arial"/>
          <w:sz w:val="13"/>
          <w:szCs w:val="13"/>
          <w:color w:val="64A70B"/>
        </w:rPr>
      </w:pPr>
      <w:r>
        <w:rPr>
          <w:rFonts w:ascii="Arial" w:cs="Arial" w:eastAsia="Arial" w:hAnsi="Arial"/>
          <w:sz w:val="16"/>
          <w:szCs w:val="16"/>
          <w:color w:val="auto"/>
        </w:rPr>
        <w:t>Annual equity grant increased from $160,000 to $165,000.</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600" w:hanging="574"/>
        <w:spacing w:after="0"/>
        <w:tabs>
          <w:tab w:leader="none" w:pos="600" w:val="left"/>
        </w:tabs>
        <w:numPr>
          <w:ilvl w:val="0"/>
          <w:numId w:val="54"/>
        </w:numPr>
        <w:rPr>
          <w:rFonts w:ascii="Arial" w:cs="Arial" w:eastAsia="Arial" w:hAnsi="Arial"/>
          <w:sz w:val="16"/>
          <w:szCs w:val="16"/>
          <w:b w:val="1"/>
          <w:bCs w:val="1"/>
          <w:color w:val="auto"/>
        </w:rPr>
      </w:pPr>
      <w:r>
        <w:rPr>
          <w:rFonts w:ascii="Arial" w:cs="Arial" w:eastAsia="Arial" w:hAnsi="Arial"/>
          <w:sz w:val="16"/>
          <w:szCs w:val="16"/>
          <w:color w:val="auto"/>
        </w:rPr>
        <w:t xml:space="preserve">Pentair </w:t>
      </w:r>
      <w:r>
        <w:rPr>
          <w:rFonts w:ascii="Arial" w:cs="Arial" w:eastAsia="Arial" w:hAnsi="Arial"/>
          <w:sz w:val="16"/>
          <w:szCs w:val="16"/>
          <w:b w:val="1"/>
          <w:bCs w:val="1"/>
          <w:color w:val="0C3471"/>
        </w:rPr>
        <w:t>|</w:t>
      </w:r>
      <w:r>
        <w:rPr>
          <w:rFonts w:ascii="Arial" w:cs="Arial" w:eastAsia="Arial" w:hAnsi="Arial"/>
          <w:sz w:val="16"/>
          <w:szCs w:val="16"/>
          <w:color w:val="auto"/>
        </w:rPr>
        <w:t xml:space="preserve"> </w:t>
      </w:r>
      <w:r>
        <w:rPr>
          <w:rFonts w:ascii="Arial" w:cs="Arial" w:eastAsia="Arial" w:hAnsi="Arial"/>
          <w:sz w:val="16"/>
          <w:szCs w:val="16"/>
          <w:b w:val="1"/>
          <w:bCs w:val="1"/>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205105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28" w:name="page29"/>
    <w:bookmarkEnd w:id="28"/>
    <w:p>
      <w:pPr>
        <w:jc w:val="right"/>
        <w:ind w:right="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5831840</wp:posOffset>
            </wp:positionH>
            <wp:positionV relativeFrom="page">
              <wp:posOffset>191770</wp:posOffset>
            </wp:positionV>
            <wp:extent cx="102870" cy="11176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clrChange>
                        <a:clrFrom>
                          <a:srgbClr val="FFFFFF"/>
                        </a:clrFrom>
                        <a:clrTo>
                          <a:srgbClr val="FFFFFF">
                            <a:alpha val="0"/>
                          </a:srgbClr>
                        </a:clrTo>
                      </a:clrChange>
                      <a:extLst>
                        <a:ext uri="{28A0092B-C50C-407E-A947-70E740481C1C}"/>
                      </a:extLst>
                    </a:blip>
                    <a:srcRect/>
                    <a:stretch>
                      <a:fillRect/>
                    </a:stretch>
                  </pic:blipFill>
                  <pic:spPr bwMode="auto">
                    <a:xfrm>
                      <a:off x="0" y="0"/>
                      <a:ext cx="102870" cy="111760"/>
                    </a:xfrm>
                    <a:prstGeom prst="rect">
                      <a:avLst/>
                    </a:prstGeom>
                    <a:noFill/>
                  </pic:spPr>
                </pic:pic>
              </a:graphicData>
            </a:graphic>
          </wp:anchor>
        </w:drawing>
        <w:t>Corporate Governance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20"/>
        <w:spacing w:after="0"/>
        <w:rPr>
          <w:sz w:val="20"/>
          <w:szCs w:val="20"/>
          <w:color w:val="auto"/>
        </w:rPr>
      </w:pPr>
      <w:r>
        <w:rPr>
          <w:rFonts w:ascii="Arial" w:cs="Arial" w:eastAsia="Arial" w:hAnsi="Arial"/>
          <w:sz w:val="29"/>
          <w:szCs w:val="29"/>
          <w:color w:val="64A70B"/>
        </w:rPr>
        <w:t>Director Retainers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The annual retainers for non-employee directors’ service on the Board and Board committees during 2025 were as follows:</w:t>
      </w:r>
    </w:p>
    <w:p>
      <w:pPr>
        <w:spacing w:after="0" w:line="19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Director and Board Committee Membership Cash Retainers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680" w:type="dxa"/>
            <w:vAlign w:val="bottom"/>
            <w:tcBorders>
              <w:bottom w:val="single" w:sz="8" w:color="0C3471"/>
            </w:tcBorders>
          </w:tcPr>
          <w:p>
            <w:pPr>
              <w:spacing w:after="0"/>
              <w:rPr>
                <w:sz w:val="17"/>
                <w:szCs w:val="17"/>
                <w:color w:val="auto"/>
              </w:rPr>
            </w:pPr>
          </w:p>
        </w:tc>
        <w:tc>
          <w:tcPr>
            <w:tcW w:w="3660" w:type="dxa"/>
            <w:vAlign w:val="bottom"/>
            <w:tcBorders>
              <w:bottom w:val="single" w:sz="8" w:color="0C3471"/>
            </w:tcBorders>
          </w:tcPr>
          <w:p>
            <w:pPr>
              <w:spacing w:after="0"/>
              <w:rPr>
                <w:sz w:val="17"/>
                <w:szCs w:val="17"/>
                <w:color w:val="auto"/>
              </w:rPr>
            </w:pPr>
          </w:p>
        </w:tc>
        <w:tc>
          <w:tcPr>
            <w:tcW w:w="900" w:type="dxa"/>
            <w:vAlign w:val="bottom"/>
            <w:tcBorders>
              <w:bottom w:val="single" w:sz="8" w:color="0C3471"/>
            </w:tcBorders>
          </w:tcPr>
          <w:p>
            <w:pPr>
              <w:jc w:val="right"/>
              <w:spacing w:after="0"/>
              <w:rPr>
                <w:sz w:val="20"/>
                <w:szCs w:val="20"/>
                <w:color w:val="auto"/>
              </w:rPr>
            </w:pPr>
            <w:r>
              <w:rPr>
                <w:rFonts w:ascii="Arial" w:cs="Arial" w:eastAsia="Arial" w:hAnsi="Arial"/>
                <w:sz w:val="14"/>
                <w:szCs w:val="14"/>
                <w:b w:val="1"/>
                <w:bCs w:val="1"/>
                <w:color w:val="auto"/>
              </w:rPr>
              <w:t>($)</w:t>
            </w:r>
          </w:p>
        </w:tc>
      </w:tr>
      <w:tr>
        <w:trPr>
          <w:trHeight w:val="237"/>
        </w:trPr>
        <w:tc>
          <w:tcPr>
            <w:tcW w:w="6680" w:type="dxa"/>
            <w:vAlign w:val="bottom"/>
            <w:tcBorders>
              <w:bottom w:val="single" w:sz="8" w:color="BCBEC0"/>
            </w:tcBorders>
          </w:tcPr>
          <w:p>
            <w:pPr>
              <w:ind w:left="20"/>
              <w:spacing w:after="0"/>
              <w:rPr>
                <w:sz w:val="20"/>
                <w:szCs w:val="20"/>
                <w:color w:val="auto"/>
              </w:rPr>
            </w:pPr>
            <w:r>
              <w:rPr>
                <w:rFonts w:ascii="Arial" w:cs="Arial" w:eastAsia="Arial" w:hAnsi="Arial"/>
                <w:sz w:val="16"/>
                <w:szCs w:val="16"/>
                <w:color w:val="auto"/>
              </w:rPr>
              <w:t>Board Retainer</w:t>
            </w:r>
          </w:p>
        </w:tc>
        <w:tc>
          <w:tcPr>
            <w:tcW w:w="3660" w:type="dxa"/>
            <w:vAlign w:val="bottom"/>
            <w:tcBorders>
              <w:bottom w:val="single" w:sz="8" w:color="BCBEC0"/>
            </w:tcBorders>
          </w:tcPr>
          <w:p>
            <w:pPr>
              <w:spacing w:after="0"/>
              <w:rPr>
                <w:sz w:val="20"/>
                <w:szCs w:val="20"/>
                <w:color w:val="auto"/>
              </w:rPr>
            </w:pPr>
          </w:p>
        </w:tc>
        <w:tc>
          <w:tcPr>
            <w:tcW w:w="900" w:type="dxa"/>
            <w:vAlign w:val="bottom"/>
            <w:tcBorders>
              <w:bottom w:val="single" w:sz="8" w:color="BCBEC0"/>
            </w:tcBorders>
          </w:tcPr>
          <w:p>
            <w:pPr>
              <w:jc w:val="right"/>
              <w:ind w:right="2"/>
              <w:spacing w:after="0"/>
              <w:rPr>
                <w:sz w:val="20"/>
                <w:szCs w:val="20"/>
                <w:color w:val="auto"/>
              </w:rPr>
            </w:pPr>
            <w:r>
              <w:rPr>
                <w:rFonts w:ascii="Arial" w:cs="Arial" w:eastAsia="Arial" w:hAnsi="Arial"/>
                <w:sz w:val="16"/>
                <w:szCs w:val="16"/>
                <w:color w:val="auto"/>
              </w:rPr>
              <w:t>105,000</w:t>
            </w:r>
          </w:p>
        </w:tc>
      </w:tr>
      <w:tr>
        <w:trPr>
          <w:trHeight w:val="237"/>
        </w:trPr>
        <w:tc>
          <w:tcPr>
            <w:tcW w:w="6680" w:type="dxa"/>
            <w:vAlign w:val="bottom"/>
            <w:tcBorders>
              <w:bottom w:val="single" w:sz="8" w:color="0C3471"/>
            </w:tcBorders>
          </w:tcPr>
          <w:p>
            <w:pPr>
              <w:ind w:left="20"/>
              <w:spacing w:after="0"/>
              <w:rPr>
                <w:sz w:val="20"/>
                <w:szCs w:val="20"/>
                <w:color w:val="auto"/>
              </w:rPr>
            </w:pPr>
            <w:r>
              <w:rPr>
                <w:rFonts w:ascii="Arial" w:cs="Arial" w:eastAsia="Arial" w:hAnsi="Arial"/>
                <w:sz w:val="16"/>
                <w:szCs w:val="16"/>
                <w:color w:val="auto"/>
              </w:rPr>
              <w:t>Non-Employee Director Chair Supplemental Retainer</w:t>
            </w:r>
          </w:p>
        </w:tc>
        <w:tc>
          <w:tcPr>
            <w:tcW w:w="3660" w:type="dxa"/>
            <w:vAlign w:val="bottom"/>
            <w:tcBorders>
              <w:bottom w:val="single" w:sz="8" w:color="0C3471"/>
            </w:tcBorders>
          </w:tcPr>
          <w:p>
            <w:pPr>
              <w:spacing w:after="0"/>
              <w:rPr>
                <w:sz w:val="20"/>
                <w:szCs w:val="20"/>
                <w:color w:val="auto"/>
              </w:rPr>
            </w:pPr>
          </w:p>
        </w:tc>
        <w:tc>
          <w:tcPr>
            <w:tcW w:w="900" w:type="dxa"/>
            <w:vAlign w:val="bottom"/>
            <w:tcBorders>
              <w:bottom w:val="single" w:sz="8" w:color="0C3471"/>
            </w:tcBorders>
          </w:tcPr>
          <w:p>
            <w:pPr>
              <w:jc w:val="right"/>
              <w:ind w:right="2"/>
              <w:spacing w:after="0"/>
              <w:rPr>
                <w:sz w:val="20"/>
                <w:szCs w:val="20"/>
                <w:color w:val="auto"/>
              </w:rPr>
            </w:pPr>
            <w:r>
              <w:rPr>
                <w:rFonts w:ascii="Arial" w:cs="Arial" w:eastAsia="Arial" w:hAnsi="Arial"/>
                <w:sz w:val="16"/>
                <w:szCs w:val="16"/>
                <w:color w:val="auto"/>
              </w:rPr>
              <w:t>180,000</w:t>
            </w:r>
          </w:p>
        </w:tc>
      </w:tr>
      <w:tr>
        <w:trPr>
          <w:trHeight w:val="409"/>
        </w:trPr>
        <w:tc>
          <w:tcPr>
            <w:tcW w:w="6680" w:type="dxa"/>
            <w:vAlign w:val="bottom"/>
          </w:tcPr>
          <w:p>
            <w:pPr>
              <w:spacing w:after="0"/>
              <w:rPr>
                <w:sz w:val="24"/>
                <w:szCs w:val="24"/>
                <w:color w:val="auto"/>
              </w:rPr>
            </w:pPr>
          </w:p>
        </w:tc>
        <w:tc>
          <w:tcPr>
            <w:tcW w:w="3660" w:type="dxa"/>
            <w:vAlign w:val="bottom"/>
          </w:tcPr>
          <w:p>
            <w:pPr>
              <w:jc w:val="right"/>
              <w:ind w:right="183"/>
              <w:spacing w:after="0"/>
              <w:rPr>
                <w:sz w:val="20"/>
                <w:szCs w:val="20"/>
                <w:color w:val="auto"/>
              </w:rPr>
            </w:pPr>
            <w:r>
              <w:rPr>
                <w:rFonts w:ascii="Arial" w:cs="Arial" w:eastAsia="Arial" w:hAnsi="Arial"/>
                <w:sz w:val="14"/>
                <w:szCs w:val="14"/>
                <w:b w:val="1"/>
                <w:bCs w:val="1"/>
                <w:color w:val="auto"/>
              </w:rPr>
              <w:t>Chair</w:t>
            </w: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Member</w:t>
            </w:r>
          </w:p>
        </w:tc>
      </w:tr>
      <w:tr>
        <w:trPr>
          <w:trHeight w:val="205"/>
        </w:trPr>
        <w:tc>
          <w:tcPr>
            <w:tcW w:w="6680" w:type="dxa"/>
            <w:vAlign w:val="bottom"/>
            <w:tcBorders>
              <w:bottom w:val="single" w:sz="8" w:color="0C3471"/>
            </w:tcBorders>
          </w:tcPr>
          <w:p>
            <w:pPr>
              <w:ind w:left="20"/>
              <w:spacing w:after="0"/>
              <w:rPr>
                <w:sz w:val="20"/>
                <w:szCs w:val="20"/>
                <w:color w:val="auto"/>
              </w:rPr>
            </w:pPr>
            <w:r>
              <w:rPr>
                <w:rFonts w:ascii="Arial" w:cs="Arial" w:eastAsia="Arial" w:hAnsi="Arial"/>
                <w:sz w:val="14"/>
                <w:szCs w:val="14"/>
                <w:b w:val="1"/>
                <w:bCs w:val="1"/>
                <w:color w:val="auto"/>
              </w:rPr>
              <w:t>Supplemental Committees Retainers</w:t>
            </w:r>
          </w:p>
        </w:tc>
        <w:tc>
          <w:tcPr>
            <w:tcW w:w="3660" w:type="dxa"/>
            <w:vAlign w:val="bottom"/>
            <w:tcBorders>
              <w:bottom w:val="single" w:sz="8" w:color="0C3471"/>
            </w:tcBorders>
          </w:tcPr>
          <w:p>
            <w:pPr>
              <w:jc w:val="right"/>
              <w:ind w:right="183"/>
              <w:spacing w:after="0"/>
              <w:rPr>
                <w:sz w:val="20"/>
                <w:szCs w:val="20"/>
                <w:color w:val="auto"/>
              </w:rPr>
            </w:pPr>
            <w:r>
              <w:rPr>
                <w:rFonts w:ascii="Arial" w:cs="Arial" w:eastAsia="Arial" w:hAnsi="Arial"/>
                <w:sz w:val="14"/>
                <w:szCs w:val="14"/>
                <w:b w:val="1"/>
                <w:bCs w:val="1"/>
                <w:color w:val="auto"/>
              </w:rPr>
              <w:t>($)</w:t>
            </w:r>
          </w:p>
        </w:tc>
        <w:tc>
          <w:tcPr>
            <w:tcW w:w="900" w:type="dxa"/>
            <w:vAlign w:val="bottom"/>
            <w:tcBorders>
              <w:bottom w:val="single" w:sz="8" w:color="0C3471"/>
            </w:tcBorders>
          </w:tcPr>
          <w:p>
            <w:pPr>
              <w:jc w:val="right"/>
              <w:spacing w:after="0"/>
              <w:rPr>
                <w:sz w:val="20"/>
                <w:szCs w:val="20"/>
                <w:color w:val="auto"/>
              </w:rPr>
            </w:pPr>
            <w:r>
              <w:rPr>
                <w:rFonts w:ascii="Arial" w:cs="Arial" w:eastAsia="Arial" w:hAnsi="Arial"/>
                <w:sz w:val="14"/>
                <w:szCs w:val="14"/>
                <w:b w:val="1"/>
                <w:bCs w:val="1"/>
                <w:color w:val="auto"/>
              </w:rPr>
              <w:t>($)</w:t>
            </w:r>
          </w:p>
        </w:tc>
      </w:tr>
      <w:tr>
        <w:trPr>
          <w:trHeight w:val="228"/>
        </w:trPr>
        <w:tc>
          <w:tcPr>
            <w:tcW w:w="6680" w:type="dxa"/>
            <w:vAlign w:val="bottom"/>
          </w:tcPr>
          <w:p>
            <w:pPr>
              <w:ind w:left="20"/>
              <w:spacing w:after="0"/>
              <w:rPr>
                <w:sz w:val="20"/>
                <w:szCs w:val="20"/>
                <w:color w:val="auto"/>
              </w:rPr>
            </w:pPr>
            <w:r>
              <w:rPr>
                <w:rFonts w:ascii="Arial" w:cs="Arial" w:eastAsia="Arial" w:hAnsi="Arial"/>
                <w:sz w:val="16"/>
                <w:szCs w:val="16"/>
                <w:color w:val="auto"/>
              </w:rPr>
              <w:t>Audit and Finance</w:t>
            </w:r>
          </w:p>
        </w:tc>
        <w:tc>
          <w:tcPr>
            <w:tcW w:w="3660" w:type="dxa"/>
            <w:vAlign w:val="bottom"/>
          </w:tcPr>
          <w:p>
            <w:pPr>
              <w:jc w:val="right"/>
              <w:ind w:right="223"/>
              <w:spacing w:after="0"/>
              <w:rPr>
                <w:sz w:val="20"/>
                <w:szCs w:val="20"/>
                <w:color w:val="auto"/>
              </w:rPr>
            </w:pPr>
            <w:r>
              <w:rPr>
                <w:rFonts w:ascii="Arial" w:cs="Arial" w:eastAsia="Arial" w:hAnsi="Arial"/>
                <w:sz w:val="16"/>
                <w:szCs w:val="16"/>
                <w:color w:val="auto"/>
              </w:rPr>
              <w:t>25,000</w:t>
            </w:r>
          </w:p>
        </w:tc>
        <w:tc>
          <w:tcPr>
            <w:tcW w:w="900" w:type="dxa"/>
            <w:vAlign w:val="bottom"/>
          </w:tcPr>
          <w:p>
            <w:pPr>
              <w:jc w:val="right"/>
              <w:ind w:right="2"/>
              <w:spacing w:after="0"/>
              <w:rPr>
                <w:sz w:val="20"/>
                <w:szCs w:val="20"/>
                <w:color w:val="auto"/>
              </w:rPr>
            </w:pPr>
            <w:r>
              <w:rPr>
                <w:rFonts w:ascii="Arial" w:cs="Arial" w:eastAsia="Arial" w:hAnsi="Arial"/>
                <w:sz w:val="16"/>
                <w:szCs w:val="16"/>
                <w:color w:val="auto"/>
              </w:rPr>
              <w:t>13,500</w:t>
            </w:r>
          </w:p>
        </w:tc>
      </w:tr>
      <w:tr>
        <w:trPr>
          <w:trHeight w:val="43"/>
        </w:trPr>
        <w:tc>
          <w:tcPr>
            <w:tcW w:w="6680" w:type="dxa"/>
            <w:vAlign w:val="bottom"/>
            <w:tcBorders>
              <w:bottom w:val="single" w:sz="8" w:color="BCBEC0"/>
            </w:tcBorders>
          </w:tcPr>
          <w:p>
            <w:pPr>
              <w:spacing w:after="0"/>
              <w:rPr>
                <w:sz w:val="3"/>
                <w:szCs w:val="3"/>
                <w:color w:val="auto"/>
              </w:rPr>
            </w:pPr>
          </w:p>
        </w:tc>
        <w:tc>
          <w:tcPr>
            <w:tcW w:w="3660" w:type="dxa"/>
            <w:vAlign w:val="bottom"/>
            <w:tcBorders>
              <w:bottom w:val="single" w:sz="8" w:color="BCBEC0"/>
            </w:tcBorders>
          </w:tcPr>
          <w:p>
            <w:pPr>
              <w:spacing w:after="0"/>
              <w:rPr>
                <w:sz w:val="3"/>
                <w:szCs w:val="3"/>
                <w:color w:val="auto"/>
              </w:rPr>
            </w:pPr>
          </w:p>
        </w:tc>
        <w:tc>
          <w:tcPr>
            <w:tcW w:w="900" w:type="dxa"/>
            <w:vAlign w:val="bottom"/>
            <w:tcBorders>
              <w:bottom w:val="single" w:sz="8" w:color="BCBEC0"/>
            </w:tcBorders>
          </w:tcPr>
          <w:p>
            <w:pPr>
              <w:spacing w:after="0"/>
              <w:rPr>
                <w:sz w:val="3"/>
                <w:szCs w:val="3"/>
                <w:color w:val="auto"/>
              </w:rPr>
            </w:pPr>
          </w:p>
        </w:tc>
      </w:tr>
      <w:tr>
        <w:trPr>
          <w:trHeight w:val="221"/>
        </w:trPr>
        <w:tc>
          <w:tcPr>
            <w:tcW w:w="6680" w:type="dxa"/>
            <w:vAlign w:val="bottom"/>
          </w:tcPr>
          <w:p>
            <w:pPr>
              <w:ind w:left="20"/>
              <w:spacing w:after="0"/>
              <w:rPr>
                <w:sz w:val="20"/>
                <w:szCs w:val="20"/>
                <w:color w:val="auto"/>
              </w:rPr>
            </w:pPr>
            <w:r>
              <w:rPr>
                <w:rFonts w:ascii="Arial" w:cs="Arial" w:eastAsia="Arial" w:hAnsi="Arial"/>
                <w:sz w:val="16"/>
                <w:szCs w:val="16"/>
                <w:color w:val="auto"/>
              </w:rPr>
              <w:t>Compensation</w:t>
            </w:r>
          </w:p>
        </w:tc>
        <w:tc>
          <w:tcPr>
            <w:tcW w:w="3660" w:type="dxa"/>
            <w:vAlign w:val="bottom"/>
          </w:tcPr>
          <w:p>
            <w:pPr>
              <w:jc w:val="right"/>
              <w:ind w:right="223"/>
              <w:spacing w:after="0"/>
              <w:rPr>
                <w:sz w:val="20"/>
                <w:szCs w:val="20"/>
                <w:color w:val="auto"/>
              </w:rPr>
            </w:pPr>
            <w:r>
              <w:rPr>
                <w:rFonts w:ascii="Arial" w:cs="Arial" w:eastAsia="Arial" w:hAnsi="Arial"/>
                <w:sz w:val="16"/>
                <w:szCs w:val="16"/>
                <w:color w:val="auto"/>
              </w:rPr>
              <w:t>20,000</w:t>
            </w:r>
          </w:p>
        </w:tc>
        <w:tc>
          <w:tcPr>
            <w:tcW w:w="900" w:type="dxa"/>
            <w:vAlign w:val="bottom"/>
          </w:tcPr>
          <w:p>
            <w:pPr>
              <w:jc w:val="right"/>
              <w:ind w:right="2"/>
              <w:spacing w:after="0"/>
              <w:rPr>
                <w:sz w:val="20"/>
                <w:szCs w:val="20"/>
                <w:color w:val="auto"/>
              </w:rPr>
            </w:pPr>
            <w:r>
              <w:rPr>
                <w:rFonts w:ascii="Arial" w:cs="Arial" w:eastAsia="Arial" w:hAnsi="Arial"/>
                <w:sz w:val="16"/>
                <w:szCs w:val="16"/>
                <w:color w:val="auto"/>
              </w:rPr>
              <w:t>7,500</w:t>
            </w:r>
          </w:p>
        </w:tc>
      </w:tr>
      <w:tr>
        <w:trPr>
          <w:trHeight w:val="43"/>
        </w:trPr>
        <w:tc>
          <w:tcPr>
            <w:tcW w:w="6680" w:type="dxa"/>
            <w:vAlign w:val="bottom"/>
            <w:tcBorders>
              <w:bottom w:val="single" w:sz="8" w:color="BCBEC0"/>
            </w:tcBorders>
          </w:tcPr>
          <w:p>
            <w:pPr>
              <w:spacing w:after="0"/>
              <w:rPr>
                <w:sz w:val="3"/>
                <w:szCs w:val="3"/>
                <w:color w:val="auto"/>
              </w:rPr>
            </w:pPr>
          </w:p>
        </w:tc>
        <w:tc>
          <w:tcPr>
            <w:tcW w:w="3660" w:type="dxa"/>
            <w:vAlign w:val="bottom"/>
            <w:tcBorders>
              <w:bottom w:val="single" w:sz="8" w:color="BCBEC0"/>
            </w:tcBorders>
          </w:tcPr>
          <w:p>
            <w:pPr>
              <w:spacing w:after="0"/>
              <w:rPr>
                <w:sz w:val="3"/>
                <w:szCs w:val="3"/>
                <w:color w:val="auto"/>
              </w:rPr>
            </w:pPr>
          </w:p>
        </w:tc>
        <w:tc>
          <w:tcPr>
            <w:tcW w:w="900" w:type="dxa"/>
            <w:vAlign w:val="bottom"/>
            <w:tcBorders>
              <w:bottom w:val="single" w:sz="8" w:color="BCBEC0"/>
            </w:tcBorders>
          </w:tcPr>
          <w:p>
            <w:pPr>
              <w:spacing w:after="0"/>
              <w:rPr>
                <w:sz w:val="3"/>
                <w:szCs w:val="3"/>
                <w:color w:val="auto"/>
              </w:rPr>
            </w:pPr>
          </w:p>
        </w:tc>
      </w:tr>
      <w:tr>
        <w:trPr>
          <w:trHeight w:val="221"/>
        </w:trPr>
        <w:tc>
          <w:tcPr>
            <w:tcW w:w="6680" w:type="dxa"/>
            <w:vAlign w:val="bottom"/>
          </w:tcPr>
          <w:p>
            <w:pPr>
              <w:ind w:left="20"/>
              <w:spacing w:after="0"/>
              <w:rPr>
                <w:sz w:val="20"/>
                <w:szCs w:val="20"/>
                <w:color w:val="auto"/>
              </w:rPr>
            </w:pPr>
            <w:r>
              <w:rPr>
                <w:rFonts w:ascii="Arial" w:cs="Arial" w:eastAsia="Arial" w:hAnsi="Arial"/>
                <w:sz w:val="16"/>
                <w:szCs w:val="16"/>
                <w:color w:val="auto"/>
              </w:rPr>
              <w:t>Governance</w:t>
            </w:r>
          </w:p>
        </w:tc>
        <w:tc>
          <w:tcPr>
            <w:tcW w:w="3660" w:type="dxa"/>
            <w:vAlign w:val="bottom"/>
          </w:tcPr>
          <w:p>
            <w:pPr>
              <w:jc w:val="right"/>
              <w:ind w:right="223"/>
              <w:spacing w:after="0"/>
              <w:rPr>
                <w:sz w:val="20"/>
                <w:szCs w:val="20"/>
                <w:color w:val="auto"/>
              </w:rPr>
            </w:pPr>
            <w:r>
              <w:rPr>
                <w:rFonts w:ascii="Arial" w:cs="Arial" w:eastAsia="Arial" w:hAnsi="Arial"/>
                <w:sz w:val="16"/>
                <w:szCs w:val="16"/>
                <w:color w:val="auto"/>
              </w:rPr>
              <w:t>20,000</w:t>
            </w:r>
          </w:p>
        </w:tc>
        <w:tc>
          <w:tcPr>
            <w:tcW w:w="900" w:type="dxa"/>
            <w:vAlign w:val="bottom"/>
          </w:tcPr>
          <w:p>
            <w:pPr>
              <w:jc w:val="right"/>
              <w:ind w:right="2"/>
              <w:spacing w:after="0"/>
              <w:rPr>
                <w:sz w:val="20"/>
                <w:szCs w:val="20"/>
                <w:color w:val="auto"/>
              </w:rPr>
            </w:pPr>
            <w:r>
              <w:rPr>
                <w:rFonts w:ascii="Arial" w:cs="Arial" w:eastAsia="Arial" w:hAnsi="Arial"/>
                <w:sz w:val="16"/>
                <w:szCs w:val="16"/>
                <w:color w:val="auto"/>
              </w:rPr>
              <w:t>7,500</w:t>
            </w:r>
          </w:p>
        </w:tc>
      </w:tr>
      <w:tr>
        <w:trPr>
          <w:trHeight w:val="43"/>
        </w:trPr>
        <w:tc>
          <w:tcPr>
            <w:tcW w:w="6680" w:type="dxa"/>
            <w:vAlign w:val="bottom"/>
            <w:tcBorders>
              <w:bottom w:val="single" w:sz="8" w:color="0C3471"/>
            </w:tcBorders>
          </w:tcPr>
          <w:p>
            <w:pPr>
              <w:spacing w:after="0"/>
              <w:rPr>
                <w:sz w:val="3"/>
                <w:szCs w:val="3"/>
                <w:color w:val="auto"/>
              </w:rPr>
            </w:pPr>
          </w:p>
        </w:tc>
        <w:tc>
          <w:tcPr>
            <w:tcW w:w="3660" w:type="dxa"/>
            <w:vAlign w:val="bottom"/>
            <w:tcBorders>
              <w:bottom w:val="single" w:sz="8" w:color="0C3471"/>
            </w:tcBorders>
          </w:tcPr>
          <w:p>
            <w:pPr>
              <w:spacing w:after="0"/>
              <w:rPr>
                <w:sz w:val="3"/>
                <w:szCs w:val="3"/>
                <w:color w:val="auto"/>
              </w:rPr>
            </w:pPr>
          </w:p>
        </w:tc>
        <w:tc>
          <w:tcPr>
            <w:tcW w:w="900" w:type="dxa"/>
            <w:vAlign w:val="bottom"/>
            <w:tcBorders>
              <w:bottom w:val="single" w:sz="8" w:color="0C3471"/>
            </w:tcBorders>
          </w:tcPr>
          <w:p>
            <w:pPr>
              <w:spacing w:after="0"/>
              <w:rPr>
                <w:sz w:val="3"/>
                <w:szCs w:val="3"/>
                <w:color w:val="auto"/>
              </w:rPr>
            </w:pPr>
          </w:p>
        </w:tc>
      </w:tr>
    </w:tbl>
    <w:p>
      <w:pPr>
        <w:spacing w:after="0" w:line="188" w:lineRule="exact"/>
        <w:rPr>
          <w:sz w:val="20"/>
          <w:szCs w:val="20"/>
          <w:color w:val="auto"/>
        </w:rPr>
      </w:pPr>
    </w:p>
    <w:p>
      <w:pPr>
        <w:ind w:right="680"/>
        <w:spacing w:after="0" w:line="321" w:lineRule="auto"/>
        <w:rPr>
          <w:sz w:val="20"/>
          <w:szCs w:val="20"/>
          <w:color w:val="auto"/>
        </w:rPr>
      </w:pPr>
      <w:r>
        <w:rPr>
          <w:rFonts w:ascii="Arial" w:cs="Arial" w:eastAsia="Arial" w:hAnsi="Arial"/>
          <w:sz w:val="16"/>
          <w:szCs w:val="16"/>
          <w:color w:val="auto"/>
        </w:rPr>
        <w:t>In December 2025, Aon Consulting again reviewed our director compensation with the Governance Committee based on the director compensation practices of our peer group. Based on this review, our independent directors approved the same level of director compensation for 2026.</w:t>
      </w:r>
    </w:p>
    <w:p>
      <w:pPr>
        <w:spacing w:after="0" w:line="200" w:lineRule="exact"/>
        <w:rPr>
          <w:sz w:val="20"/>
          <w:szCs w:val="20"/>
          <w:color w:val="auto"/>
        </w:rPr>
      </w:pPr>
    </w:p>
    <w:p>
      <w:pPr>
        <w:spacing w:after="0" w:line="343" w:lineRule="exact"/>
        <w:rPr>
          <w:sz w:val="20"/>
          <w:szCs w:val="20"/>
          <w:color w:val="auto"/>
        </w:rPr>
      </w:pPr>
    </w:p>
    <w:p>
      <w:pPr>
        <w:ind w:left="20"/>
        <w:spacing w:after="0"/>
        <w:rPr>
          <w:sz w:val="20"/>
          <w:szCs w:val="20"/>
          <w:color w:val="auto"/>
        </w:rPr>
      </w:pPr>
      <w:r>
        <w:rPr>
          <w:rFonts w:ascii="Arial" w:cs="Arial" w:eastAsia="Arial" w:hAnsi="Arial"/>
          <w:sz w:val="29"/>
          <w:szCs w:val="29"/>
          <w:color w:val="64A70B"/>
        </w:rPr>
        <w:t>Equity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right="120"/>
        <w:spacing w:after="0" w:line="282" w:lineRule="auto"/>
        <w:rPr>
          <w:sz w:val="20"/>
          <w:szCs w:val="20"/>
          <w:color w:val="auto"/>
        </w:rPr>
      </w:pPr>
      <w:r>
        <w:rPr>
          <w:rFonts w:ascii="Arial" w:cs="Arial" w:eastAsia="Arial" w:hAnsi="Arial"/>
          <w:sz w:val="16"/>
          <w:szCs w:val="16"/>
          <w:color w:val="auto"/>
        </w:rPr>
        <w:t>Non-employee directors receive an annual equity grant as a part of their compensation. The full value of the annual equity grant is delivered in the form of restricted stock units. The restricted stock units vest on the first anniversary of the grant date. Each restricted stock unit represents the right to receive one ordinary share upon vesting. The restricted stock units accrue dividend equivalents that will be paid out in ordinary shares if and when the award vests. The annual grant for 2025, as approved by our independent directors based on the recommendation from the Governance Committee, was valued at $165,000 and was granted on January 2, 2025. Based on the review of director compensation by Aon Consulting and the recommendation of the Governance Committee, our independent directors approved an annual grant for 2026 valued at $165,000, which was granted on January 2, 2026.</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10780" w:type="dxa"/>
            <w:vAlign w:val="bottom"/>
          </w:tcPr>
          <w:p>
            <w:pPr>
              <w:ind w:left="8260"/>
              <w:spacing w:after="0"/>
              <w:rPr>
                <w:sz w:val="20"/>
                <w:szCs w:val="20"/>
                <w:color w:val="auto"/>
              </w:rPr>
            </w:pPr>
            <w:r>
              <w:rPr>
                <w:rFonts w:ascii="Arial" w:cs="Arial" w:eastAsia="Arial" w:hAnsi="Arial"/>
                <w:sz w:val="16"/>
                <w:szCs w:val="16"/>
                <w:b w:val="1"/>
                <w:bCs w:val="1"/>
                <w:color w:val="auto"/>
              </w:rPr>
              <w:t xml:space="preserve">2026 Proxy Statement </w:t>
            </w:r>
            <w:r>
              <w:rPr>
                <w:rFonts w:ascii="Arial" w:cs="Arial" w:eastAsia="Arial" w:hAnsi="Arial"/>
                <w:sz w:val="16"/>
                <w:szCs w:val="16"/>
                <w:b w:val="1"/>
                <w:bCs w:val="1"/>
                <w:color w:val="0C3471"/>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Pentair</w:t>
            </w:r>
          </w:p>
        </w:tc>
        <w:tc>
          <w:tcPr>
            <w:tcW w:w="460" w:type="dxa"/>
            <w:vAlign w:val="bottom"/>
          </w:tcPr>
          <w:p>
            <w:pPr>
              <w:jc w:val="right"/>
              <w:spacing w:after="0"/>
              <w:rPr>
                <w:sz w:val="20"/>
                <w:szCs w:val="20"/>
                <w:color w:val="auto"/>
              </w:rPr>
            </w:pPr>
            <w:r>
              <w:rPr>
                <w:rFonts w:ascii="Arial" w:cs="Arial" w:eastAsia="Arial" w:hAnsi="Arial"/>
                <w:sz w:val="16"/>
                <w:szCs w:val="16"/>
                <w:b w:val="1"/>
                <w:bCs w:val="1"/>
                <w:color w:val="auto"/>
              </w:rPr>
              <w:t>27</w:t>
            </w:r>
          </w:p>
        </w:tc>
      </w:tr>
      <w:tr>
        <w:trPr>
          <w:trHeight w:val="325"/>
        </w:trPr>
        <w:tc>
          <w:tcPr>
            <w:tcW w:w="107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14" w:right="339" w:bottom="1440" w:gutter="0" w:footer="0" w:header="0"/>
        </w:sectPr>
      </w:pPr>
    </w:p>
    <w:bookmarkStart w:id="29" w:name="page30"/>
    <w:bookmarkEnd w:id="29"/>
    <w:p>
      <w:pPr>
        <w:ind w:left="40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225425</wp:posOffset>
            </wp:positionH>
            <wp:positionV relativeFrom="page">
              <wp:posOffset>191770</wp:posOffset>
            </wp:positionV>
            <wp:extent cx="102870" cy="11176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clrChange>
                        <a:clrFrom>
                          <a:srgbClr val="FFFFFF"/>
                        </a:clrFrom>
                        <a:clrTo>
                          <a:srgbClr val="FFFFFF">
                            <a:alpha val="0"/>
                          </a:srgbClr>
                        </a:clrTo>
                      </a:clrChange>
                      <a:extLst>
                        <a:ext uri="{28A0092B-C50C-407E-A947-70E740481C1C}"/>
                      </a:extLst>
                    </a:blip>
                    <a:srcRect/>
                    <a:stretch>
                      <a:fillRect/>
                    </a:stretch>
                  </pic:blipFill>
                  <pic:spPr bwMode="auto">
                    <a:xfrm>
                      <a:off x="0" y="0"/>
                      <a:ext cx="102870" cy="111760"/>
                    </a:xfrm>
                    <a:prstGeom prst="rect">
                      <a:avLst/>
                    </a:prstGeom>
                    <a:noFill/>
                  </pic:spPr>
                </pic:pic>
              </a:graphicData>
            </a:graphic>
          </wp:anchor>
        </w:drawing>
        <w:t>Corporate Governance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20"/>
        <w:spacing w:after="0"/>
        <w:rPr>
          <w:sz w:val="20"/>
          <w:szCs w:val="20"/>
          <w:color w:val="auto"/>
        </w:rPr>
      </w:pPr>
      <w:r>
        <w:rPr>
          <w:rFonts w:ascii="Arial" w:cs="Arial" w:eastAsia="Arial" w:hAnsi="Arial"/>
          <w:sz w:val="29"/>
          <w:szCs w:val="29"/>
          <w:color w:val="64A70B"/>
        </w:rPr>
        <w:t>Stock Ownership Guidelines for Non-Employee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right="140"/>
        <w:spacing w:after="0" w:line="321" w:lineRule="auto"/>
        <w:rPr>
          <w:sz w:val="20"/>
          <w:szCs w:val="20"/>
          <w:color w:val="auto"/>
        </w:rPr>
      </w:pPr>
      <w:r>
        <w:rPr>
          <w:rFonts w:ascii="Arial" w:cs="Arial" w:eastAsia="Arial" w:hAnsi="Arial"/>
          <w:sz w:val="16"/>
          <w:szCs w:val="16"/>
          <w:color w:val="auto"/>
        </w:rPr>
        <w:t>Our Corporate Governance Principles establish that non-employee directors should acquire and hold our company shares or share equivalents at a level of five times the annual board retainer.</w:t>
      </w:r>
    </w:p>
    <w:p>
      <w:pPr>
        <w:spacing w:after="0" w:line="8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Stock Ownership for Non-Employee Directors Serving as of December 31, 2025</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280" w:type="dxa"/>
            <w:vAlign w:val="bottom"/>
          </w:tcPr>
          <w:p>
            <w:pPr>
              <w:spacing w:after="0"/>
              <w:rPr>
                <w:sz w:val="15"/>
                <w:szCs w:val="15"/>
                <w:color w:val="auto"/>
              </w:rPr>
            </w:pPr>
          </w:p>
        </w:tc>
        <w:tc>
          <w:tcPr>
            <w:tcW w:w="3260" w:type="dxa"/>
            <w:vAlign w:val="bottom"/>
            <w:vMerge w:val="restart"/>
          </w:tcPr>
          <w:p>
            <w:pPr>
              <w:jc w:val="right"/>
              <w:ind w:right="201"/>
              <w:spacing w:after="0"/>
              <w:rPr>
                <w:sz w:val="20"/>
                <w:szCs w:val="20"/>
                <w:color w:val="auto"/>
              </w:rPr>
            </w:pPr>
            <w:r>
              <w:rPr>
                <w:rFonts w:ascii="Arial" w:cs="Arial" w:eastAsia="Arial" w:hAnsi="Arial"/>
                <w:sz w:val="14"/>
                <w:szCs w:val="14"/>
                <w:b w:val="1"/>
                <w:bCs w:val="1"/>
                <w:color w:val="auto"/>
              </w:rPr>
              <w:t>Share</w:t>
            </w:r>
          </w:p>
        </w:tc>
        <w:tc>
          <w:tcPr>
            <w:tcW w:w="1420" w:type="dxa"/>
            <w:vAlign w:val="bottom"/>
          </w:tcPr>
          <w:p>
            <w:pPr>
              <w:jc w:val="right"/>
              <w:ind w:right="164"/>
              <w:spacing w:after="0"/>
              <w:rPr>
                <w:sz w:val="20"/>
                <w:szCs w:val="20"/>
                <w:color w:val="auto"/>
              </w:rPr>
            </w:pPr>
            <w:r>
              <w:rPr>
                <w:rFonts w:ascii="Arial" w:cs="Arial" w:eastAsia="Arial" w:hAnsi="Arial"/>
                <w:sz w:val="14"/>
                <w:szCs w:val="14"/>
                <w:b w:val="1"/>
                <w:bCs w:val="1"/>
                <w:color w:val="auto"/>
              </w:rPr>
              <w:t>12/31/2025</w:t>
            </w:r>
          </w:p>
        </w:tc>
        <w:tc>
          <w:tcPr>
            <w:tcW w:w="1240" w:type="dxa"/>
            <w:vAlign w:val="bottom"/>
          </w:tcPr>
          <w:p>
            <w:pPr>
              <w:jc w:val="right"/>
              <w:ind w:right="161"/>
              <w:spacing w:after="0"/>
              <w:rPr>
                <w:sz w:val="20"/>
                <w:szCs w:val="20"/>
                <w:color w:val="auto"/>
              </w:rPr>
            </w:pPr>
            <w:r>
              <w:rPr>
                <w:rFonts w:ascii="Arial" w:cs="Arial" w:eastAsia="Arial" w:hAnsi="Arial"/>
                <w:sz w:val="14"/>
                <w:szCs w:val="14"/>
                <w:b w:val="1"/>
                <w:bCs w:val="1"/>
                <w:color w:val="auto"/>
              </w:rPr>
              <w:t>Ownership</w:t>
            </w:r>
          </w:p>
        </w:tc>
        <w:tc>
          <w:tcPr>
            <w:tcW w:w="10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Meets</w:t>
            </w:r>
          </w:p>
        </w:tc>
        <w:tc>
          <w:tcPr>
            <w:tcW w:w="0" w:type="dxa"/>
            <w:vAlign w:val="bottom"/>
          </w:tcPr>
          <w:p>
            <w:pPr>
              <w:spacing w:after="0"/>
              <w:rPr>
                <w:sz w:val="1"/>
                <w:szCs w:val="1"/>
                <w:color w:val="auto"/>
              </w:rPr>
            </w:pPr>
          </w:p>
        </w:tc>
      </w:tr>
      <w:tr>
        <w:trPr>
          <w:trHeight w:val="160"/>
        </w:trPr>
        <w:tc>
          <w:tcPr>
            <w:tcW w:w="4280" w:type="dxa"/>
            <w:vAlign w:val="bottom"/>
          </w:tcPr>
          <w:p>
            <w:pPr>
              <w:spacing w:after="0"/>
              <w:rPr>
                <w:sz w:val="13"/>
                <w:szCs w:val="13"/>
                <w:color w:val="auto"/>
              </w:rPr>
            </w:pPr>
          </w:p>
        </w:tc>
        <w:tc>
          <w:tcPr>
            <w:tcW w:w="3260" w:type="dxa"/>
            <w:vAlign w:val="bottom"/>
            <w:vMerge w:val="continue"/>
          </w:tcPr>
          <w:p>
            <w:pPr>
              <w:spacing w:after="0"/>
              <w:rPr>
                <w:sz w:val="13"/>
                <w:szCs w:val="13"/>
                <w:color w:val="auto"/>
              </w:rPr>
            </w:pPr>
          </w:p>
        </w:tc>
        <w:tc>
          <w:tcPr>
            <w:tcW w:w="1420" w:type="dxa"/>
            <w:vAlign w:val="bottom"/>
          </w:tcPr>
          <w:p>
            <w:pPr>
              <w:jc w:val="right"/>
              <w:ind w:right="164"/>
              <w:spacing w:after="0" w:line="159" w:lineRule="exact"/>
              <w:rPr>
                <w:sz w:val="20"/>
                <w:szCs w:val="20"/>
                <w:color w:val="auto"/>
              </w:rPr>
            </w:pPr>
            <w:r>
              <w:rPr>
                <w:rFonts w:ascii="Arial" w:cs="Arial" w:eastAsia="Arial" w:hAnsi="Arial"/>
                <w:sz w:val="14"/>
                <w:szCs w:val="14"/>
                <w:b w:val="1"/>
                <w:bCs w:val="1"/>
                <w:color w:val="auto"/>
              </w:rPr>
              <w:t>Market Value</w:t>
            </w:r>
          </w:p>
        </w:tc>
        <w:tc>
          <w:tcPr>
            <w:tcW w:w="1240" w:type="dxa"/>
            <w:vAlign w:val="bottom"/>
          </w:tcPr>
          <w:p>
            <w:pPr>
              <w:ind w:left="360"/>
              <w:spacing w:after="0" w:line="159" w:lineRule="exact"/>
              <w:rPr>
                <w:sz w:val="20"/>
                <w:szCs w:val="20"/>
                <w:color w:val="auto"/>
              </w:rPr>
            </w:pPr>
            <w:r>
              <w:rPr>
                <w:rFonts w:ascii="Arial" w:cs="Arial" w:eastAsia="Arial" w:hAnsi="Arial"/>
                <w:sz w:val="14"/>
                <w:szCs w:val="14"/>
                <w:b w:val="1"/>
                <w:bCs w:val="1"/>
                <w:color w:val="auto"/>
              </w:rPr>
              <w:t>Guideline</w:t>
            </w:r>
          </w:p>
        </w:tc>
        <w:tc>
          <w:tcPr>
            <w:tcW w:w="10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4"/>
        </w:trPr>
        <w:tc>
          <w:tcPr>
            <w:tcW w:w="4280" w:type="dxa"/>
            <w:vAlign w:val="bottom"/>
            <w:tcBorders>
              <w:bottom w:val="single" w:sz="8" w:color="0C3471"/>
            </w:tcBorders>
          </w:tcPr>
          <w:p>
            <w:pPr>
              <w:spacing w:after="0"/>
              <w:rPr>
                <w:sz w:val="18"/>
                <w:szCs w:val="18"/>
                <w:color w:val="auto"/>
              </w:rPr>
            </w:pPr>
          </w:p>
        </w:tc>
        <w:tc>
          <w:tcPr>
            <w:tcW w:w="3260" w:type="dxa"/>
            <w:vAlign w:val="bottom"/>
            <w:tcBorders>
              <w:bottom w:val="single" w:sz="8" w:color="0C3471"/>
            </w:tcBorders>
          </w:tcPr>
          <w:p>
            <w:pPr>
              <w:jc w:val="right"/>
              <w:ind w:right="201"/>
              <w:spacing w:after="0"/>
              <w:rPr>
                <w:sz w:val="20"/>
                <w:szCs w:val="20"/>
                <w:color w:val="auto"/>
              </w:rPr>
            </w:pPr>
            <w:r>
              <w:rPr>
                <w:rFonts w:ascii="Arial" w:cs="Arial" w:eastAsia="Arial" w:hAnsi="Arial"/>
                <w:sz w:val="14"/>
                <w:szCs w:val="14"/>
                <w:b w:val="1"/>
                <w:bCs w:val="1"/>
                <w:color w:val="auto"/>
              </w:rPr>
              <w:t>Ownership</w:t>
            </w:r>
            <w:r>
              <w:rPr>
                <w:rFonts w:ascii="Arial" w:cs="Arial" w:eastAsia="Arial" w:hAnsi="Arial"/>
                <w:sz w:val="18"/>
                <w:szCs w:val="18"/>
                <w:b w:val="1"/>
                <w:bCs w:val="1"/>
                <w:color w:val="auto"/>
                <w:vertAlign w:val="superscript"/>
              </w:rPr>
              <w:t>(1)</w:t>
            </w:r>
          </w:p>
        </w:tc>
        <w:tc>
          <w:tcPr>
            <w:tcW w:w="1420" w:type="dxa"/>
            <w:vAlign w:val="bottom"/>
            <w:tcBorders>
              <w:bottom w:val="single" w:sz="8" w:color="0C3471"/>
            </w:tcBorders>
          </w:tcPr>
          <w:p>
            <w:pPr>
              <w:jc w:val="right"/>
              <w:ind w:right="164"/>
              <w:spacing w:after="0" w:line="214" w:lineRule="exact"/>
              <w:rPr>
                <w:sz w:val="20"/>
                <w:szCs w:val="20"/>
                <w:color w:val="auto"/>
              </w:rPr>
            </w:pPr>
            <w:r>
              <w:rPr>
                <w:rFonts w:ascii="Arial" w:cs="Arial" w:eastAsia="Arial" w:hAnsi="Arial"/>
                <w:sz w:val="24"/>
                <w:szCs w:val="24"/>
                <w:b w:val="1"/>
                <w:bCs w:val="1"/>
                <w:color w:val="auto"/>
                <w:vertAlign w:val="subscript"/>
              </w:rPr>
              <w:t>($)</w:t>
            </w:r>
            <w:r>
              <w:rPr>
                <w:rFonts w:ascii="Arial" w:cs="Arial" w:eastAsia="Arial" w:hAnsi="Arial"/>
                <w:sz w:val="9"/>
                <w:szCs w:val="9"/>
                <w:b w:val="1"/>
                <w:bCs w:val="1"/>
                <w:color w:val="auto"/>
              </w:rPr>
              <w:t>(2)</w:t>
            </w:r>
          </w:p>
        </w:tc>
        <w:tc>
          <w:tcPr>
            <w:tcW w:w="1240" w:type="dxa"/>
            <w:vAlign w:val="bottom"/>
            <w:tcBorders>
              <w:bottom w:val="single" w:sz="8" w:color="0C3471"/>
            </w:tcBorders>
          </w:tcPr>
          <w:p>
            <w:pPr>
              <w:jc w:val="right"/>
              <w:ind w:right="161"/>
              <w:spacing w:after="0"/>
              <w:rPr>
                <w:sz w:val="20"/>
                <w:szCs w:val="20"/>
                <w:color w:val="auto"/>
              </w:rPr>
            </w:pPr>
            <w:r>
              <w:rPr>
                <w:rFonts w:ascii="Arial" w:cs="Arial" w:eastAsia="Arial" w:hAnsi="Arial"/>
                <w:sz w:val="14"/>
                <w:szCs w:val="14"/>
                <w:b w:val="1"/>
                <w:bCs w:val="1"/>
                <w:color w:val="auto"/>
              </w:rPr>
              <w:t>($)</w:t>
            </w:r>
          </w:p>
        </w:tc>
        <w:tc>
          <w:tcPr>
            <w:tcW w:w="1040" w:type="dxa"/>
            <w:vAlign w:val="bottom"/>
            <w:tcBorders>
              <w:bottom w:val="single" w:sz="8" w:color="0C3471"/>
            </w:tcBorders>
          </w:tcPr>
          <w:p>
            <w:pPr>
              <w:jc w:val="right"/>
              <w:spacing w:after="0"/>
              <w:rPr>
                <w:sz w:val="20"/>
                <w:szCs w:val="20"/>
                <w:color w:val="auto"/>
              </w:rPr>
            </w:pPr>
            <w:r>
              <w:rPr>
                <w:rFonts w:ascii="Arial" w:cs="Arial" w:eastAsia="Arial" w:hAnsi="Arial"/>
                <w:sz w:val="14"/>
                <w:szCs w:val="14"/>
                <w:b w:val="1"/>
                <w:bCs w:val="1"/>
                <w:color w:val="auto"/>
              </w:rPr>
              <w:t>Guideline</w:t>
            </w:r>
            <w:r>
              <w:rPr>
                <w:rFonts w:ascii="Arial" w:cs="Arial" w:eastAsia="Arial" w:hAnsi="Arial"/>
                <w:sz w:val="18"/>
                <w:szCs w:val="18"/>
                <w:b w:val="1"/>
                <w:bCs w:val="1"/>
                <w:color w:val="auto"/>
                <w:vertAlign w:val="superscript"/>
              </w:rPr>
              <w:t>(3)</w:t>
            </w:r>
          </w:p>
        </w:tc>
        <w:tc>
          <w:tcPr>
            <w:tcW w:w="0" w:type="dxa"/>
            <w:vAlign w:val="bottom"/>
          </w:tcPr>
          <w:p>
            <w:pPr>
              <w:spacing w:after="0"/>
              <w:rPr>
                <w:sz w:val="1"/>
                <w:szCs w:val="1"/>
                <w:color w:val="auto"/>
              </w:rPr>
            </w:pPr>
          </w:p>
        </w:tc>
      </w:tr>
      <w:tr>
        <w:trPr>
          <w:trHeight w:val="233"/>
        </w:trPr>
        <w:tc>
          <w:tcPr>
            <w:tcW w:w="4280" w:type="dxa"/>
            <w:vAlign w:val="bottom"/>
            <w:tcBorders>
              <w:bottom w:val="single" w:sz="8" w:color="BCBEC0"/>
            </w:tcBorders>
          </w:tcPr>
          <w:p>
            <w:pPr>
              <w:ind w:left="20"/>
              <w:spacing w:after="0"/>
              <w:rPr>
                <w:sz w:val="20"/>
                <w:szCs w:val="20"/>
                <w:color w:val="auto"/>
              </w:rPr>
            </w:pPr>
            <w:r>
              <w:rPr>
                <w:rFonts w:ascii="Arial" w:cs="Arial" w:eastAsia="Arial" w:hAnsi="Arial"/>
                <w:sz w:val="16"/>
                <w:szCs w:val="16"/>
                <w:b w:val="1"/>
                <w:bCs w:val="1"/>
                <w:color w:val="0C3471"/>
              </w:rPr>
              <w:t>Mona Abutaleb Stephenson</w:t>
            </w:r>
          </w:p>
        </w:tc>
        <w:tc>
          <w:tcPr>
            <w:tcW w:w="3260" w:type="dxa"/>
            <w:vAlign w:val="bottom"/>
            <w:tcBorders>
              <w:bottom w:val="single" w:sz="8" w:color="BCBEC0"/>
            </w:tcBorders>
          </w:tcPr>
          <w:p>
            <w:pPr>
              <w:jc w:val="right"/>
              <w:ind w:right="241"/>
              <w:spacing w:after="0"/>
              <w:rPr>
                <w:sz w:val="20"/>
                <w:szCs w:val="20"/>
                <w:color w:val="auto"/>
              </w:rPr>
            </w:pPr>
            <w:r>
              <w:rPr>
                <w:rFonts w:ascii="Arial" w:cs="Arial" w:eastAsia="Arial" w:hAnsi="Arial"/>
                <w:sz w:val="16"/>
                <w:szCs w:val="16"/>
                <w:color w:val="auto"/>
              </w:rPr>
              <w:t>15,272</w:t>
            </w:r>
          </w:p>
        </w:tc>
        <w:tc>
          <w:tcPr>
            <w:tcW w:w="1420" w:type="dxa"/>
            <w:vAlign w:val="bottom"/>
            <w:tcBorders>
              <w:bottom w:val="single" w:sz="8" w:color="BCBEC0"/>
            </w:tcBorders>
          </w:tcPr>
          <w:p>
            <w:pPr>
              <w:jc w:val="right"/>
              <w:ind w:right="224"/>
              <w:spacing w:after="0"/>
              <w:rPr>
                <w:sz w:val="20"/>
                <w:szCs w:val="20"/>
                <w:color w:val="auto"/>
              </w:rPr>
            </w:pPr>
            <w:r>
              <w:rPr>
                <w:rFonts w:ascii="Arial" w:cs="Arial" w:eastAsia="Arial" w:hAnsi="Arial"/>
                <w:sz w:val="16"/>
                <w:szCs w:val="16"/>
                <w:color w:val="auto"/>
              </w:rPr>
              <w:t>1,590,426</w:t>
            </w:r>
          </w:p>
        </w:tc>
        <w:tc>
          <w:tcPr>
            <w:tcW w:w="1240" w:type="dxa"/>
            <w:vAlign w:val="bottom"/>
            <w:tcBorders>
              <w:bottom w:val="single" w:sz="8" w:color="BCBEC0"/>
            </w:tcBorders>
          </w:tcPr>
          <w:p>
            <w:pPr>
              <w:ind w:left="360"/>
              <w:spacing w:after="0"/>
              <w:rPr>
                <w:sz w:val="20"/>
                <w:szCs w:val="20"/>
                <w:color w:val="auto"/>
              </w:rPr>
            </w:pPr>
            <w:r>
              <w:rPr>
                <w:rFonts w:ascii="Arial" w:cs="Arial" w:eastAsia="Arial" w:hAnsi="Arial"/>
                <w:sz w:val="16"/>
                <w:szCs w:val="16"/>
                <w:color w:val="auto"/>
              </w:rPr>
              <w:t>525,000</w:t>
            </w:r>
          </w:p>
        </w:tc>
        <w:tc>
          <w:tcPr>
            <w:tcW w:w="1040" w:type="dxa"/>
            <w:vAlign w:val="bottom"/>
            <w:tcBorders>
              <w:bottom w:val="single" w:sz="8" w:color="BCBEC0"/>
            </w:tcBorders>
          </w:tcPr>
          <w:p>
            <w:pPr>
              <w:jc w:val="right"/>
              <w:spacing w:after="0"/>
              <w:rPr>
                <w:sz w:val="20"/>
                <w:szCs w:val="20"/>
                <w:color w:val="auto"/>
              </w:rPr>
            </w:pPr>
            <w:r>
              <w:rPr>
                <w:rFonts w:ascii="Arial" w:cs="Arial" w:eastAsia="Arial" w:hAnsi="Arial"/>
                <w:sz w:val="16"/>
                <w:szCs w:val="16"/>
                <w:color w:val="auto"/>
              </w:rPr>
              <w:t>Yes</w:t>
            </w:r>
          </w:p>
        </w:tc>
        <w:tc>
          <w:tcPr>
            <w:tcW w:w="0" w:type="dxa"/>
            <w:vAlign w:val="bottom"/>
          </w:tcPr>
          <w:p>
            <w:pPr>
              <w:spacing w:after="0"/>
              <w:rPr>
                <w:sz w:val="1"/>
                <w:szCs w:val="1"/>
                <w:color w:val="auto"/>
              </w:rPr>
            </w:pPr>
          </w:p>
        </w:tc>
      </w:tr>
      <w:tr>
        <w:trPr>
          <w:trHeight w:val="237"/>
        </w:trPr>
        <w:tc>
          <w:tcPr>
            <w:tcW w:w="4280" w:type="dxa"/>
            <w:vAlign w:val="bottom"/>
            <w:tcBorders>
              <w:bottom w:val="single" w:sz="8" w:color="BCBEC0"/>
            </w:tcBorders>
          </w:tcPr>
          <w:p>
            <w:pPr>
              <w:ind w:left="20"/>
              <w:spacing w:after="0"/>
              <w:rPr>
                <w:sz w:val="20"/>
                <w:szCs w:val="20"/>
                <w:color w:val="auto"/>
              </w:rPr>
            </w:pPr>
            <w:r>
              <w:rPr>
                <w:rFonts w:ascii="Arial" w:cs="Arial" w:eastAsia="Arial" w:hAnsi="Arial"/>
                <w:sz w:val="16"/>
                <w:szCs w:val="16"/>
                <w:b w:val="1"/>
                <w:bCs w:val="1"/>
                <w:color w:val="0C3471"/>
              </w:rPr>
              <w:t>Melissa Barra</w:t>
            </w:r>
          </w:p>
        </w:tc>
        <w:tc>
          <w:tcPr>
            <w:tcW w:w="3260" w:type="dxa"/>
            <w:vAlign w:val="bottom"/>
            <w:tcBorders>
              <w:bottom w:val="single" w:sz="8" w:color="BCBEC0"/>
            </w:tcBorders>
          </w:tcPr>
          <w:p>
            <w:pPr>
              <w:jc w:val="right"/>
              <w:ind w:right="241"/>
              <w:spacing w:after="0"/>
              <w:rPr>
                <w:sz w:val="20"/>
                <w:szCs w:val="20"/>
                <w:color w:val="auto"/>
              </w:rPr>
            </w:pPr>
            <w:r>
              <w:rPr>
                <w:rFonts w:ascii="Arial" w:cs="Arial" w:eastAsia="Arial" w:hAnsi="Arial"/>
                <w:sz w:val="16"/>
                <w:szCs w:val="16"/>
                <w:color w:val="auto"/>
              </w:rPr>
              <w:t>6,413</w:t>
            </w:r>
          </w:p>
        </w:tc>
        <w:tc>
          <w:tcPr>
            <w:tcW w:w="1420" w:type="dxa"/>
            <w:vAlign w:val="bottom"/>
            <w:tcBorders>
              <w:bottom w:val="single" w:sz="8" w:color="BCBEC0"/>
            </w:tcBorders>
          </w:tcPr>
          <w:p>
            <w:pPr>
              <w:jc w:val="right"/>
              <w:ind w:right="224"/>
              <w:spacing w:after="0"/>
              <w:rPr>
                <w:sz w:val="20"/>
                <w:szCs w:val="20"/>
                <w:color w:val="auto"/>
              </w:rPr>
            </w:pPr>
            <w:r>
              <w:rPr>
                <w:rFonts w:ascii="Arial" w:cs="Arial" w:eastAsia="Arial" w:hAnsi="Arial"/>
                <w:sz w:val="16"/>
                <w:szCs w:val="16"/>
                <w:color w:val="auto"/>
              </w:rPr>
              <w:t>667,850</w:t>
            </w:r>
          </w:p>
        </w:tc>
        <w:tc>
          <w:tcPr>
            <w:tcW w:w="1240" w:type="dxa"/>
            <w:vAlign w:val="bottom"/>
            <w:tcBorders>
              <w:bottom w:val="single" w:sz="8" w:color="BCBEC0"/>
            </w:tcBorders>
          </w:tcPr>
          <w:p>
            <w:pPr>
              <w:ind w:left="360"/>
              <w:spacing w:after="0"/>
              <w:rPr>
                <w:sz w:val="20"/>
                <w:szCs w:val="20"/>
                <w:color w:val="auto"/>
              </w:rPr>
            </w:pPr>
            <w:r>
              <w:rPr>
                <w:rFonts w:ascii="Arial" w:cs="Arial" w:eastAsia="Arial" w:hAnsi="Arial"/>
                <w:sz w:val="16"/>
                <w:szCs w:val="16"/>
                <w:color w:val="auto"/>
              </w:rPr>
              <w:t>525,000</w:t>
            </w:r>
          </w:p>
        </w:tc>
        <w:tc>
          <w:tcPr>
            <w:tcW w:w="1040" w:type="dxa"/>
            <w:vAlign w:val="bottom"/>
            <w:tcBorders>
              <w:bottom w:val="single" w:sz="8" w:color="BCBEC0"/>
            </w:tcBorders>
          </w:tcPr>
          <w:p>
            <w:pPr>
              <w:jc w:val="right"/>
              <w:spacing w:after="0"/>
              <w:rPr>
                <w:sz w:val="20"/>
                <w:szCs w:val="20"/>
                <w:color w:val="auto"/>
              </w:rPr>
            </w:pPr>
            <w:r>
              <w:rPr>
                <w:rFonts w:ascii="Arial" w:cs="Arial" w:eastAsia="Arial" w:hAnsi="Arial"/>
                <w:sz w:val="16"/>
                <w:szCs w:val="16"/>
                <w:color w:val="auto"/>
              </w:rPr>
              <w:t>Yes</w:t>
            </w:r>
          </w:p>
        </w:tc>
        <w:tc>
          <w:tcPr>
            <w:tcW w:w="0" w:type="dxa"/>
            <w:vAlign w:val="bottom"/>
          </w:tcPr>
          <w:p>
            <w:pPr>
              <w:spacing w:after="0"/>
              <w:rPr>
                <w:sz w:val="1"/>
                <w:szCs w:val="1"/>
                <w:color w:val="auto"/>
              </w:rPr>
            </w:pPr>
          </w:p>
        </w:tc>
      </w:tr>
      <w:tr>
        <w:trPr>
          <w:trHeight w:val="237"/>
        </w:trPr>
        <w:tc>
          <w:tcPr>
            <w:tcW w:w="4280" w:type="dxa"/>
            <w:vAlign w:val="bottom"/>
            <w:tcBorders>
              <w:bottom w:val="single" w:sz="8" w:color="BCBEC0"/>
            </w:tcBorders>
          </w:tcPr>
          <w:p>
            <w:pPr>
              <w:ind w:left="20"/>
              <w:spacing w:after="0"/>
              <w:rPr>
                <w:sz w:val="20"/>
                <w:szCs w:val="20"/>
                <w:color w:val="auto"/>
              </w:rPr>
            </w:pPr>
            <w:r>
              <w:rPr>
                <w:rFonts w:ascii="Arial" w:cs="Arial" w:eastAsia="Arial" w:hAnsi="Arial"/>
                <w:sz w:val="16"/>
                <w:szCs w:val="16"/>
                <w:b w:val="1"/>
                <w:bCs w:val="1"/>
                <w:color w:val="0C3471"/>
              </w:rPr>
              <w:t>Tracey C. Doi</w:t>
            </w:r>
          </w:p>
        </w:tc>
        <w:tc>
          <w:tcPr>
            <w:tcW w:w="3260" w:type="dxa"/>
            <w:vAlign w:val="bottom"/>
            <w:tcBorders>
              <w:bottom w:val="single" w:sz="8" w:color="BCBEC0"/>
            </w:tcBorders>
          </w:tcPr>
          <w:p>
            <w:pPr>
              <w:jc w:val="right"/>
              <w:ind w:right="241"/>
              <w:spacing w:after="0"/>
              <w:rPr>
                <w:sz w:val="20"/>
                <w:szCs w:val="20"/>
                <w:color w:val="auto"/>
              </w:rPr>
            </w:pPr>
            <w:r>
              <w:rPr>
                <w:rFonts w:ascii="Arial" w:cs="Arial" w:eastAsia="Arial" w:hAnsi="Arial"/>
                <w:sz w:val="16"/>
                <w:szCs w:val="16"/>
                <w:color w:val="auto"/>
              </w:rPr>
              <w:t>4,254</w:t>
            </w:r>
          </w:p>
        </w:tc>
        <w:tc>
          <w:tcPr>
            <w:tcW w:w="1420" w:type="dxa"/>
            <w:vAlign w:val="bottom"/>
            <w:tcBorders>
              <w:bottom w:val="single" w:sz="8" w:color="BCBEC0"/>
            </w:tcBorders>
          </w:tcPr>
          <w:p>
            <w:pPr>
              <w:jc w:val="right"/>
              <w:ind w:right="224"/>
              <w:spacing w:after="0"/>
              <w:rPr>
                <w:sz w:val="20"/>
                <w:szCs w:val="20"/>
                <w:color w:val="auto"/>
              </w:rPr>
            </w:pPr>
            <w:r>
              <w:rPr>
                <w:rFonts w:ascii="Arial" w:cs="Arial" w:eastAsia="Arial" w:hAnsi="Arial"/>
                <w:sz w:val="16"/>
                <w:szCs w:val="16"/>
                <w:color w:val="auto"/>
              </w:rPr>
              <w:t>443,012</w:t>
            </w:r>
          </w:p>
        </w:tc>
        <w:tc>
          <w:tcPr>
            <w:tcW w:w="1240" w:type="dxa"/>
            <w:vAlign w:val="bottom"/>
            <w:tcBorders>
              <w:bottom w:val="single" w:sz="8" w:color="BCBEC0"/>
            </w:tcBorders>
          </w:tcPr>
          <w:p>
            <w:pPr>
              <w:ind w:left="360"/>
              <w:spacing w:after="0"/>
              <w:rPr>
                <w:sz w:val="20"/>
                <w:szCs w:val="20"/>
                <w:color w:val="auto"/>
              </w:rPr>
            </w:pPr>
            <w:r>
              <w:rPr>
                <w:rFonts w:ascii="Arial" w:cs="Arial" w:eastAsia="Arial" w:hAnsi="Arial"/>
                <w:sz w:val="16"/>
                <w:szCs w:val="16"/>
                <w:color w:val="auto"/>
              </w:rPr>
              <w:t>525,000</w:t>
            </w:r>
          </w:p>
        </w:tc>
        <w:tc>
          <w:tcPr>
            <w:tcW w:w="1040" w:type="dxa"/>
            <w:vAlign w:val="bottom"/>
            <w:tcBorders>
              <w:bottom w:val="single" w:sz="8" w:color="BCBEC0"/>
            </w:tcBorders>
          </w:tcPr>
          <w:p>
            <w:pPr>
              <w:jc w:val="right"/>
              <w:spacing w:after="0"/>
              <w:rPr>
                <w:sz w:val="20"/>
                <w:szCs w:val="20"/>
                <w:color w:val="auto"/>
              </w:rPr>
            </w:pPr>
            <w:r>
              <w:rPr>
                <w:rFonts w:ascii="Arial" w:cs="Arial" w:eastAsia="Arial" w:hAnsi="Arial"/>
                <w:sz w:val="16"/>
                <w:szCs w:val="16"/>
                <w:color w:val="auto"/>
              </w:rPr>
              <w:t>No</w:t>
            </w:r>
          </w:p>
        </w:tc>
        <w:tc>
          <w:tcPr>
            <w:tcW w:w="0" w:type="dxa"/>
            <w:vAlign w:val="bottom"/>
          </w:tcPr>
          <w:p>
            <w:pPr>
              <w:spacing w:after="0"/>
              <w:rPr>
                <w:sz w:val="1"/>
                <w:szCs w:val="1"/>
                <w:color w:val="auto"/>
              </w:rPr>
            </w:pPr>
          </w:p>
        </w:tc>
      </w:tr>
      <w:tr>
        <w:trPr>
          <w:trHeight w:val="237"/>
        </w:trPr>
        <w:tc>
          <w:tcPr>
            <w:tcW w:w="4280" w:type="dxa"/>
            <w:vAlign w:val="bottom"/>
            <w:tcBorders>
              <w:bottom w:val="single" w:sz="8" w:color="BCBEC0"/>
            </w:tcBorders>
          </w:tcPr>
          <w:p>
            <w:pPr>
              <w:ind w:left="20"/>
              <w:spacing w:after="0"/>
              <w:rPr>
                <w:sz w:val="20"/>
                <w:szCs w:val="20"/>
                <w:color w:val="auto"/>
              </w:rPr>
            </w:pPr>
            <w:r>
              <w:rPr>
                <w:rFonts w:ascii="Arial" w:cs="Arial" w:eastAsia="Arial" w:hAnsi="Arial"/>
                <w:sz w:val="16"/>
                <w:szCs w:val="16"/>
                <w:b w:val="1"/>
                <w:bCs w:val="1"/>
                <w:color w:val="0C3471"/>
              </w:rPr>
              <w:t>T. Michael Glenn</w:t>
            </w:r>
          </w:p>
        </w:tc>
        <w:tc>
          <w:tcPr>
            <w:tcW w:w="3260" w:type="dxa"/>
            <w:vAlign w:val="bottom"/>
            <w:tcBorders>
              <w:bottom w:val="single" w:sz="8" w:color="BCBEC0"/>
            </w:tcBorders>
          </w:tcPr>
          <w:p>
            <w:pPr>
              <w:jc w:val="right"/>
              <w:ind w:right="241"/>
              <w:spacing w:after="0"/>
              <w:rPr>
                <w:sz w:val="20"/>
                <w:szCs w:val="20"/>
                <w:color w:val="auto"/>
              </w:rPr>
            </w:pPr>
            <w:r>
              <w:rPr>
                <w:rFonts w:ascii="Arial" w:cs="Arial" w:eastAsia="Arial" w:hAnsi="Arial"/>
                <w:sz w:val="16"/>
                <w:szCs w:val="16"/>
                <w:color w:val="auto"/>
              </w:rPr>
              <w:t>36,828</w:t>
            </w:r>
          </w:p>
        </w:tc>
        <w:tc>
          <w:tcPr>
            <w:tcW w:w="1420" w:type="dxa"/>
            <w:vAlign w:val="bottom"/>
            <w:tcBorders>
              <w:bottom w:val="single" w:sz="8" w:color="BCBEC0"/>
            </w:tcBorders>
          </w:tcPr>
          <w:p>
            <w:pPr>
              <w:jc w:val="right"/>
              <w:ind w:right="224"/>
              <w:spacing w:after="0"/>
              <w:rPr>
                <w:sz w:val="20"/>
                <w:szCs w:val="20"/>
                <w:color w:val="auto"/>
              </w:rPr>
            </w:pPr>
            <w:r>
              <w:rPr>
                <w:rFonts w:ascii="Arial" w:cs="Arial" w:eastAsia="Arial" w:hAnsi="Arial"/>
                <w:sz w:val="16"/>
                <w:szCs w:val="16"/>
                <w:color w:val="auto"/>
              </w:rPr>
              <w:t>3,835,268</w:t>
            </w:r>
          </w:p>
        </w:tc>
        <w:tc>
          <w:tcPr>
            <w:tcW w:w="1240" w:type="dxa"/>
            <w:vAlign w:val="bottom"/>
            <w:tcBorders>
              <w:bottom w:val="single" w:sz="8" w:color="BCBEC0"/>
            </w:tcBorders>
          </w:tcPr>
          <w:p>
            <w:pPr>
              <w:ind w:left="360"/>
              <w:spacing w:after="0"/>
              <w:rPr>
                <w:sz w:val="20"/>
                <w:szCs w:val="20"/>
                <w:color w:val="auto"/>
              </w:rPr>
            </w:pPr>
            <w:r>
              <w:rPr>
                <w:rFonts w:ascii="Arial" w:cs="Arial" w:eastAsia="Arial" w:hAnsi="Arial"/>
                <w:sz w:val="16"/>
                <w:szCs w:val="16"/>
                <w:color w:val="auto"/>
              </w:rPr>
              <w:t>525,000</w:t>
            </w:r>
          </w:p>
        </w:tc>
        <w:tc>
          <w:tcPr>
            <w:tcW w:w="1040" w:type="dxa"/>
            <w:vAlign w:val="bottom"/>
            <w:tcBorders>
              <w:bottom w:val="single" w:sz="8" w:color="BCBEC0"/>
            </w:tcBorders>
          </w:tcPr>
          <w:p>
            <w:pPr>
              <w:jc w:val="right"/>
              <w:spacing w:after="0"/>
              <w:rPr>
                <w:sz w:val="20"/>
                <w:szCs w:val="20"/>
                <w:color w:val="auto"/>
              </w:rPr>
            </w:pPr>
            <w:r>
              <w:rPr>
                <w:rFonts w:ascii="Arial" w:cs="Arial" w:eastAsia="Arial" w:hAnsi="Arial"/>
                <w:sz w:val="16"/>
                <w:szCs w:val="16"/>
                <w:color w:val="auto"/>
              </w:rPr>
              <w:t>Yes</w:t>
            </w:r>
          </w:p>
        </w:tc>
        <w:tc>
          <w:tcPr>
            <w:tcW w:w="0" w:type="dxa"/>
            <w:vAlign w:val="bottom"/>
          </w:tcPr>
          <w:p>
            <w:pPr>
              <w:spacing w:after="0"/>
              <w:rPr>
                <w:sz w:val="1"/>
                <w:szCs w:val="1"/>
                <w:color w:val="auto"/>
              </w:rPr>
            </w:pPr>
          </w:p>
        </w:tc>
      </w:tr>
      <w:tr>
        <w:trPr>
          <w:trHeight w:val="237"/>
        </w:trPr>
        <w:tc>
          <w:tcPr>
            <w:tcW w:w="4280" w:type="dxa"/>
            <w:vAlign w:val="bottom"/>
            <w:tcBorders>
              <w:bottom w:val="single" w:sz="8" w:color="BCBEC0"/>
            </w:tcBorders>
          </w:tcPr>
          <w:p>
            <w:pPr>
              <w:ind w:left="20"/>
              <w:spacing w:after="0"/>
              <w:rPr>
                <w:sz w:val="20"/>
                <w:szCs w:val="20"/>
                <w:color w:val="auto"/>
              </w:rPr>
            </w:pPr>
            <w:r>
              <w:rPr>
                <w:rFonts w:ascii="Arial" w:cs="Arial" w:eastAsia="Arial" w:hAnsi="Arial"/>
                <w:sz w:val="16"/>
                <w:szCs w:val="16"/>
                <w:b w:val="1"/>
                <w:bCs w:val="1"/>
                <w:color w:val="0C3471"/>
              </w:rPr>
              <w:t>Theodore L. Harris</w:t>
            </w:r>
          </w:p>
        </w:tc>
        <w:tc>
          <w:tcPr>
            <w:tcW w:w="3260" w:type="dxa"/>
            <w:vAlign w:val="bottom"/>
            <w:tcBorders>
              <w:bottom w:val="single" w:sz="8" w:color="BCBEC0"/>
            </w:tcBorders>
          </w:tcPr>
          <w:p>
            <w:pPr>
              <w:jc w:val="right"/>
              <w:ind w:right="241"/>
              <w:spacing w:after="0"/>
              <w:rPr>
                <w:sz w:val="20"/>
                <w:szCs w:val="20"/>
                <w:color w:val="auto"/>
              </w:rPr>
            </w:pPr>
            <w:r>
              <w:rPr>
                <w:rFonts w:ascii="Arial" w:cs="Arial" w:eastAsia="Arial" w:hAnsi="Arial"/>
                <w:sz w:val="16"/>
                <w:szCs w:val="16"/>
                <w:color w:val="auto"/>
              </w:rPr>
              <w:t>16,036</w:t>
            </w:r>
          </w:p>
        </w:tc>
        <w:tc>
          <w:tcPr>
            <w:tcW w:w="1420" w:type="dxa"/>
            <w:vAlign w:val="bottom"/>
            <w:tcBorders>
              <w:bottom w:val="single" w:sz="8" w:color="BCBEC0"/>
            </w:tcBorders>
          </w:tcPr>
          <w:p>
            <w:pPr>
              <w:jc w:val="right"/>
              <w:ind w:right="224"/>
              <w:spacing w:after="0"/>
              <w:rPr>
                <w:sz w:val="20"/>
                <w:szCs w:val="20"/>
                <w:color w:val="auto"/>
              </w:rPr>
            </w:pPr>
            <w:r>
              <w:rPr>
                <w:rFonts w:ascii="Arial" w:cs="Arial" w:eastAsia="Arial" w:hAnsi="Arial"/>
                <w:sz w:val="16"/>
                <w:szCs w:val="16"/>
                <w:color w:val="auto"/>
              </w:rPr>
              <w:t>1,669,989</w:t>
            </w:r>
          </w:p>
        </w:tc>
        <w:tc>
          <w:tcPr>
            <w:tcW w:w="1240" w:type="dxa"/>
            <w:vAlign w:val="bottom"/>
            <w:tcBorders>
              <w:bottom w:val="single" w:sz="8" w:color="BCBEC0"/>
            </w:tcBorders>
          </w:tcPr>
          <w:p>
            <w:pPr>
              <w:ind w:left="360"/>
              <w:spacing w:after="0"/>
              <w:rPr>
                <w:sz w:val="20"/>
                <w:szCs w:val="20"/>
                <w:color w:val="auto"/>
              </w:rPr>
            </w:pPr>
            <w:r>
              <w:rPr>
                <w:rFonts w:ascii="Arial" w:cs="Arial" w:eastAsia="Arial" w:hAnsi="Arial"/>
                <w:sz w:val="16"/>
                <w:szCs w:val="16"/>
                <w:color w:val="auto"/>
              </w:rPr>
              <w:t>525,000</w:t>
            </w:r>
          </w:p>
        </w:tc>
        <w:tc>
          <w:tcPr>
            <w:tcW w:w="1040" w:type="dxa"/>
            <w:vAlign w:val="bottom"/>
            <w:tcBorders>
              <w:bottom w:val="single" w:sz="8" w:color="BCBEC0"/>
            </w:tcBorders>
          </w:tcPr>
          <w:p>
            <w:pPr>
              <w:jc w:val="right"/>
              <w:spacing w:after="0"/>
              <w:rPr>
                <w:sz w:val="20"/>
                <w:szCs w:val="20"/>
                <w:color w:val="auto"/>
              </w:rPr>
            </w:pPr>
            <w:r>
              <w:rPr>
                <w:rFonts w:ascii="Arial" w:cs="Arial" w:eastAsia="Arial" w:hAnsi="Arial"/>
                <w:sz w:val="16"/>
                <w:szCs w:val="16"/>
                <w:color w:val="auto"/>
              </w:rPr>
              <w:t>Yes</w:t>
            </w:r>
          </w:p>
        </w:tc>
        <w:tc>
          <w:tcPr>
            <w:tcW w:w="0" w:type="dxa"/>
            <w:vAlign w:val="bottom"/>
          </w:tcPr>
          <w:p>
            <w:pPr>
              <w:spacing w:after="0"/>
              <w:rPr>
                <w:sz w:val="1"/>
                <w:szCs w:val="1"/>
                <w:color w:val="auto"/>
              </w:rPr>
            </w:pPr>
          </w:p>
        </w:tc>
      </w:tr>
      <w:tr>
        <w:trPr>
          <w:trHeight w:val="236"/>
        </w:trPr>
        <w:tc>
          <w:tcPr>
            <w:tcW w:w="4280" w:type="dxa"/>
            <w:vAlign w:val="bottom"/>
            <w:tcBorders>
              <w:bottom w:val="single" w:sz="8" w:color="BCBEC0"/>
            </w:tcBorders>
          </w:tcPr>
          <w:p>
            <w:pPr>
              <w:ind w:left="20"/>
              <w:spacing w:after="0"/>
              <w:rPr>
                <w:sz w:val="20"/>
                <w:szCs w:val="20"/>
                <w:color w:val="auto"/>
              </w:rPr>
            </w:pPr>
            <w:r>
              <w:rPr>
                <w:rFonts w:ascii="Arial" w:cs="Arial" w:eastAsia="Arial" w:hAnsi="Arial"/>
                <w:sz w:val="16"/>
                <w:szCs w:val="16"/>
                <w:b w:val="1"/>
                <w:bCs w:val="1"/>
                <w:color w:val="0C3471"/>
              </w:rPr>
              <w:t>David A. Jones</w:t>
            </w:r>
          </w:p>
        </w:tc>
        <w:tc>
          <w:tcPr>
            <w:tcW w:w="3260" w:type="dxa"/>
            <w:vAlign w:val="bottom"/>
            <w:tcBorders>
              <w:bottom w:val="single" w:sz="8" w:color="BCBEC0"/>
            </w:tcBorders>
          </w:tcPr>
          <w:p>
            <w:pPr>
              <w:jc w:val="right"/>
              <w:ind w:right="241"/>
              <w:spacing w:after="0"/>
              <w:rPr>
                <w:sz w:val="20"/>
                <w:szCs w:val="20"/>
                <w:color w:val="auto"/>
              </w:rPr>
            </w:pPr>
            <w:r>
              <w:rPr>
                <w:rFonts w:ascii="Arial" w:cs="Arial" w:eastAsia="Arial" w:hAnsi="Arial"/>
                <w:sz w:val="16"/>
                <w:szCs w:val="16"/>
                <w:color w:val="auto"/>
              </w:rPr>
              <w:t>84,770</w:t>
            </w:r>
          </w:p>
        </w:tc>
        <w:tc>
          <w:tcPr>
            <w:tcW w:w="1420" w:type="dxa"/>
            <w:vAlign w:val="bottom"/>
            <w:tcBorders>
              <w:bottom w:val="single" w:sz="8" w:color="BCBEC0"/>
            </w:tcBorders>
          </w:tcPr>
          <w:p>
            <w:pPr>
              <w:jc w:val="right"/>
              <w:ind w:right="224"/>
              <w:spacing w:after="0"/>
              <w:rPr>
                <w:sz w:val="20"/>
                <w:szCs w:val="20"/>
                <w:color w:val="auto"/>
              </w:rPr>
            </w:pPr>
            <w:r>
              <w:rPr>
                <w:rFonts w:ascii="Arial" w:cs="Arial" w:eastAsia="Arial" w:hAnsi="Arial"/>
                <w:sz w:val="16"/>
                <w:szCs w:val="16"/>
                <w:color w:val="auto"/>
              </w:rPr>
              <w:t>8,827,948</w:t>
            </w:r>
          </w:p>
        </w:tc>
        <w:tc>
          <w:tcPr>
            <w:tcW w:w="1240" w:type="dxa"/>
            <w:vAlign w:val="bottom"/>
            <w:tcBorders>
              <w:bottom w:val="single" w:sz="8" w:color="BCBEC0"/>
            </w:tcBorders>
          </w:tcPr>
          <w:p>
            <w:pPr>
              <w:ind w:left="360"/>
              <w:spacing w:after="0"/>
              <w:rPr>
                <w:sz w:val="20"/>
                <w:szCs w:val="20"/>
                <w:color w:val="auto"/>
              </w:rPr>
            </w:pPr>
            <w:r>
              <w:rPr>
                <w:rFonts w:ascii="Arial" w:cs="Arial" w:eastAsia="Arial" w:hAnsi="Arial"/>
                <w:sz w:val="16"/>
                <w:szCs w:val="16"/>
                <w:color w:val="auto"/>
              </w:rPr>
              <w:t>525,000</w:t>
            </w:r>
          </w:p>
        </w:tc>
        <w:tc>
          <w:tcPr>
            <w:tcW w:w="1040" w:type="dxa"/>
            <w:vAlign w:val="bottom"/>
            <w:tcBorders>
              <w:bottom w:val="single" w:sz="8" w:color="BCBEC0"/>
            </w:tcBorders>
          </w:tcPr>
          <w:p>
            <w:pPr>
              <w:jc w:val="right"/>
              <w:spacing w:after="0"/>
              <w:rPr>
                <w:sz w:val="20"/>
                <w:szCs w:val="20"/>
                <w:color w:val="auto"/>
              </w:rPr>
            </w:pPr>
            <w:r>
              <w:rPr>
                <w:rFonts w:ascii="Arial" w:cs="Arial" w:eastAsia="Arial" w:hAnsi="Arial"/>
                <w:sz w:val="16"/>
                <w:szCs w:val="16"/>
                <w:color w:val="auto"/>
              </w:rPr>
              <w:t>Yes</w:t>
            </w:r>
          </w:p>
        </w:tc>
        <w:tc>
          <w:tcPr>
            <w:tcW w:w="0" w:type="dxa"/>
            <w:vAlign w:val="bottom"/>
          </w:tcPr>
          <w:p>
            <w:pPr>
              <w:spacing w:after="0"/>
              <w:rPr>
                <w:sz w:val="1"/>
                <w:szCs w:val="1"/>
                <w:color w:val="auto"/>
              </w:rPr>
            </w:pPr>
          </w:p>
        </w:tc>
      </w:tr>
      <w:tr>
        <w:trPr>
          <w:trHeight w:val="237"/>
        </w:trPr>
        <w:tc>
          <w:tcPr>
            <w:tcW w:w="4280" w:type="dxa"/>
            <w:vAlign w:val="bottom"/>
            <w:tcBorders>
              <w:bottom w:val="single" w:sz="8" w:color="BCBEC0"/>
            </w:tcBorders>
          </w:tcPr>
          <w:p>
            <w:pPr>
              <w:ind w:left="20"/>
              <w:spacing w:after="0"/>
              <w:rPr>
                <w:sz w:val="20"/>
                <w:szCs w:val="20"/>
                <w:color w:val="auto"/>
              </w:rPr>
            </w:pPr>
            <w:r>
              <w:rPr>
                <w:rFonts w:ascii="Arial" w:cs="Arial" w:eastAsia="Arial" w:hAnsi="Arial"/>
                <w:sz w:val="16"/>
                <w:szCs w:val="16"/>
                <w:b w:val="1"/>
                <w:bCs w:val="1"/>
                <w:color w:val="0C3471"/>
              </w:rPr>
              <w:t>Gregory E. Knight</w:t>
            </w:r>
          </w:p>
        </w:tc>
        <w:tc>
          <w:tcPr>
            <w:tcW w:w="3260" w:type="dxa"/>
            <w:vAlign w:val="bottom"/>
            <w:tcBorders>
              <w:bottom w:val="single" w:sz="8" w:color="BCBEC0"/>
            </w:tcBorders>
          </w:tcPr>
          <w:p>
            <w:pPr>
              <w:jc w:val="right"/>
              <w:ind w:right="241"/>
              <w:spacing w:after="0"/>
              <w:rPr>
                <w:sz w:val="20"/>
                <w:szCs w:val="20"/>
                <w:color w:val="auto"/>
              </w:rPr>
            </w:pPr>
            <w:r>
              <w:rPr>
                <w:rFonts w:ascii="Arial" w:cs="Arial" w:eastAsia="Arial" w:hAnsi="Arial"/>
                <w:sz w:val="16"/>
                <w:szCs w:val="16"/>
                <w:color w:val="auto"/>
              </w:rPr>
              <w:t>9,177</w:t>
            </w:r>
          </w:p>
        </w:tc>
        <w:tc>
          <w:tcPr>
            <w:tcW w:w="1420" w:type="dxa"/>
            <w:vAlign w:val="bottom"/>
            <w:tcBorders>
              <w:bottom w:val="single" w:sz="8" w:color="BCBEC0"/>
            </w:tcBorders>
          </w:tcPr>
          <w:p>
            <w:pPr>
              <w:jc w:val="right"/>
              <w:ind w:right="224"/>
              <w:spacing w:after="0"/>
              <w:rPr>
                <w:sz w:val="20"/>
                <w:szCs w:val="20"/>
                <w:color w:val="auto"/>
              </w:rPr>
            </w:pPr>
            <w:r>
              <w:rPr>
                <w:rFonts w:ascii="Arial" w:cs="Arial" w:eastAsia="Arial" w:hAnsi="Arial"/>
                <w:sz w:val="16"/>
                <w:szCs w:val="16"/>
                <w:color w:val="auto"/>
              </w:rPr>
              <w:t>955,693</w:t>
            </w:r>
          </w:p>
        </w:tc>
        <w:tc>
          <w:tcPr>
            <w:tcW w:w="1240" w:type="dxa"/>
            <w:vAlign w:val="bottom"/>
            <w:tcBorders>
              <w:bottom w:val="single" w:sz="8" w:color="BCBEC0"/>
            </w:tcBorders>
          </w:tcPr>
          <w:p>
            <w:pPr>
              <w:ind w:left="360"/>
              <w:spacing w:after="0"/>
              <w:rPr>
                <w:sz w:val="20"/>
                <w:szCs w:val="20"/>
                <w:color w:val="auto"/>
              </w:rPr>
            </w:pPr>
            <w:r>
              <w:rPr>
                <w:rFonts w:ascii="Arial" w:cs="Arial" w:eastAsia="Arial" w:hAnsi="Arial"/>
                <w:sz w:val="16"/>
                <w:szCs w:val="16"/>
                <w:color w:val="auto"/>
              </w:rPr>
              <w:t>525,000</w:t>
            </w:r>
          </w:p>
        </w:tc>
        <w:tc>
          <w:tcPr>
            <w:tcW w:w="1040" w:type="dxa"/>
            <w:vAlign w:val="bottom"/>
            <w:tcBorders>
              <w:bottom w:val="single" w:sz="8" w:color="BCBEC0"/>
            </w:tcBorders>
          </w:tcPr>
          <w:p>
            <w:pPr>
              <w:jc w:val="right"/>
              <w:spacing w:after="0"/>
              <w:rPr>
                <w:sz w:val="20"/>
                <w:szCs w:val="20"/>
                <w:color w:val="auto"/>
              </w:rPr>
            </w:pPr>
            <w:r>
              <w:rPr>
                <w:rFonts w:ascii="Arial" w:cs="Arial" w:eastAsia="Arial" w:hAnsi="Arial"/>
                <w:sz w:val="16"/>
                <w:szCs w:val="16"/>
                <w:color w:val="auto"/>
              </w:rPr>
              <w:t>Yes</w:t>
            </w:r>
          </w:p>
        </w:tc>
        <w:tc>
          <w:tcPr>
            <w:tcW w:w="0" w:type="dxa"/>
            <w:vAlign w:val="bottom"/>
          </w:tcPr>
          <w:p>
            <w:pPr>
              <w:spacing w:after="0"/>
              <w:rPr>
                <w:sz w:val="1"/>
                <w:szCs w:val="1"/>
                <w:color w:val="auto"/>
              </w:rPr>
            </w:pPr>
          </w:p>
        </w:tc>
      </w:tr>
      <w:tr>
        <w:trPr>
          <w:trHeight w:val="237"/>
        </w:trPr>
        <w:tc>
          <w:tcPr>
            <w:tcW w:w="4280" w:type="dxa"/>
            <w:vAlign w:val="bottom"/>
            <w:tcBorders>
              <w:bottom w:val="single" w:sz="8" w:color="BCBEC0"/>
            </w:tcBorders>
          </w:tcPr>
          <w:p>
            <w:pPr>
              <w:ind w:left="20"/>
              <w:spacing w:after="0"/>
              <w:rPr>
                <w:sz w:val="20"/>
                <w:szCs w:val="20"/>
                <w:color w:val="auto"/>
              </w:rPr>
            </w:pPr>
            <w:r>
              <w:rPr>
                <w:rFonts w:ascii="Arial" w:cs="Arial" w:eastAsia="Arial" w:hAnsi="Arial"/>
                <w:sz w:val="16"/>
                <w:szCs w:val="16"/>
                <w:b w:val="1"/>
                <w:bCs w:val="1"/>
                <w:color w:val="0C3471"/>
              </w:rPr>
              <w:t>Michael T. Speetzen</w:t>
            </w:r>
          </w:p>
        </w:tc>
        <w:tc>
          <w:tcPr>
            <w:tcW w:w="3260" w:type="dxa"/>
            <w:vAlign w:val="bottom"/>
            <w:tcBorders>
              <w:bottom w:val="single" w:sz="8" w:color="BCBEC0"/>
            </w:tcBorders>
          </w:tcPr>
          <w:p>
            <w:pPr>
              <w:jc w:val="right"/>
              <w:ind w:right="241"/>
              <w:spacing w:after="0"/>
              <w:rPr>
                <w:sz w:val="20"/>
                <w:szCs w:val="20"/>
                <w:color w:val="auto"/>
              </w:rPr>
            </w:pPr>
            <w:r>
              <w:rPr>
                <w:rFonts w:ascii="Arial" w:cs="Arial" w:eastAsia="Arial" w:hAnsi="Arial"/>
                <w:sz w:val="16"/>
                <w:szCs w:val="16"/>
                <w:color w:val="auto"/>
              </w:rPr>
              <w:t>15,990</w:t>
            </w:r>
          </w:p>
        </w:tc>
        <w:tc>
          <w:tcPr>
            <w:tcW w:w="1420" w:type="dxa"/>
            <w:vAlign w:val="bottom"/>
            <w:tcBorders>
              <w:bottom w:val="single" w:sz="8" w:color="BCBEC0"/>
            </w:tcBorders>
          </w:tcPr>
          <w:p>
            <w:pPr>
              <w:jc w:val="right"/>
              <w:ind w:right="224"/>
              <w:spacing w:after="0"/>
              <w:rPr>
                <w:sz w:val="20"/>
                <w:szCs w:val="20"/>
                <w:color w:val="auto"/>
              </w:rPr>
            </w:pPr>
            <w:r>
              <w:rPr>
                <w:rFonts w:ascii="Arial" w:cs="Arial" w:eastAsia="Arial" w:hAnsi="Arial"/>
                <w:sz w:val="16"/>
                <w:szCs w:val="16"/>
                <w:color w:val="auto"/>
              </w:rPr>
              <w:t>1,665,199</w:t>
            </w:r>
          </w:p>
        </w:tc>
        <w:tc>
          <w:tcPr>
            <w:tcW w:w="1240" w:type="dxa"/>
            <w:vAlign w:val="bottom"/>
            <w:tcBorders>
              <w:bottom w:val="single" w:sz="8" w:color="BCBEC0"/>
            </w:tcBorders>
          </w:tcPr>
          <w:p>
            <w:pPr>
              <w:ind w:left="360"/>
              <w:spacing w:after="0"/>
              <w:rPr>
                <w:sz w:val="20"/>
                <w:szCs w:val="20"/>
                <w:color w:val="auto"/>
              </w:rPr>
            </w:pPr>
            <w:r>
              <w:rPr>
                <w:rFonts w:ascii="Arial" w:cs="Arial" w:eastAsia="Arial" w:hAnsi="Arial"/>
                <w:sz w:val="16"/>
                <w:szCs w:val="16"/>
                <w:color w:val="auto"/>
              </w:rPr>
              <w:t>525,000</w:t>
            </w:r>
          </w:p>
        </w:tc>
        <w:tc>
          <w:tcPr>
            <w:tcW w:w="1040" w:type="dxa"/>
            <w:vAlign w:val="bottom"/>
            <w:tcBorders>
              <w:bottom w:val="single" w:sz="8" w:color="BCBEC0"/>
            </w:tcBorders>
          </w:tcPr>
          <w:p>
            <w:pPr>
              <w:jc w:val="right"/>
              <w:spacing w:after="0"/>
              <w:rPr>
                <w:sz w:val="20"/>
                <w:szCs w:val="20"/>
                <w:color w:val="auto"/>
              </w:rPr>
            </w:pPr>
            <w:r>
              <w:rPr>
                <w:rFonts w:ascii="Arial" w:cs="Arial" w:eastAsia="Arial" w:hAnsi="Arial"/>
                <w:sz w:val="16"/>
                <w:szCs w:val="16"/>
                <w:color w:val="auto"/>
              </w:rPr>
              <w:t>Yes</w:t>
            </w:r>
          </w:p>
        </w:tc>
        <w:tc>
          <w:tcPr>
            <w:tcW w:w="0" w:type="dxa"/>
            <w:vAlign w:val="bottom"/>
          </w:tcPr>
          <w:p>
            <w:pPr>
              <w:spacing w:after="0"/>
              <w:rPr>
                <w:sz w:val="1"/>
                <w:szCs w:val="1"/>
                <w:color w:val="auto"/>
              </w:rPr>
            </w:pPr>
          </w:p>
        </w:tc>
      </w:tr>
      <w:tr>
        <w:trPr>
          <w:trHeight w:val="263"/>
        </w:trPr>
        <w:tc>
          <w:tcPr>
            <w:tcW w:w="4280" w:type="dxa"/>
            <w:vAlign w:val="bottom"/>
            <w:tcBorders>
              <w:bottom w:val="single" w:sz="8" w:color="0C3471"/>
            </w:tcBorders>
          </w:tcPr>
          <w:p>
            <w:pPr>
              <w:ind w:left="20"/>
              <w:spacing w:after="0"/>
              <w:rPr>
                <w:sz w:val="20"/>
                <w:szCs w:val="20"/>
                <w:color w:val="auto"/>
              </w:rPr>
            </w:pPr>
            <w:r>
              <w:rPr>
                <w:rFonts w:ascii="Arial" w:cs="Arial" w:eastAsia="Arial" w:hAnsi="Arial"/>
                <w:sz w:val="16"/>
                <w:szCs w:val="16"/>
                <w:b w:val="1"/>
                <w:bCs w:val="1"/>
                <w:color w:val="0C3471"/>
              </w:rPr>
              <w:t>Billie I. Williamson</w:t>
            </w:r>
          </w:p>
        </w:tc>
        <w:tc>
          <w:tcPr>
            <w:tcW w:w="3260" w:type="dxa"/>
            <w:vAlign w:val="bottom"/>
            <w:tcBorders>
              <w:bottom w:val="single" w:sz="8" w:color="0C3471"/>
            </w:tcBorders>
          </w:tcPr>
          <w:p>
            <w:pPr>
              <w:jc w:val="right"/>
              <w:ind w:right="241"/>
              <w:spacing w:after="0"/>
              <w:rPr>
                <w:sz w:val="20"/>
                <w:szCs w:val="20"/>
                <w:color w:val="auto"/>
              </w:rPr>
            </w:pPr>
            <w:r>
              <w:rPr>
                <w:rFonts w:ascii="Arial" w:cs="Arial" w:eastAsia="Arial" w:hAnsi="Arial"/>
                <w:sz w:val="16"/>
                <w:szCs w:val="16"/>
                <w:color w:val="auto"/>
              </w:rPr>
              <w:t>22,594</w:t>
            </w:r>
          </w:p>
        </w:tc>
        <w:tc>
          <w:tcPr>
            <w:tcW w:w="1420" w:type="dxa"/>
            <w:vAlign w:val="bottom"/>
            <w:tcBorders>
              <w:bottom w:val="single" w:sz="8" w:color="0C3471"/>
            </w:tcBorders>
          </w:tcPr>
          <w:p>
            <w:pPr>
              <w:jc w:val="right"/>
              <w:ind w:right="224"/>
              <w:spacing w:after="0"/>
              <w:rPr>
                <w:sz w:val="20"/>
                <w:szCs w:val="20"/>
                <w:color w:val="auto"/>
              </w:rPr>
            </w:pPr>
            <w:r>
              <w:rPr>
                <w:rFonts w:ascii="Arial" w:cs="Arial" w:eastAsia="Arial" w:hAnsi="Arial"/>
                <w:sz w:val="16"/>
                <w:szCs w:val="16"/>
                <w:color w:val="auto"/>
              </w:rPr>
              <w:t>2,352,939</w:t>
            </w:r>
          </w:p>
        </w:tc>
        <w:tc>
          <w:tcPr>
            <w:tcW w:w="1240" w:type="dxa"/>
            <w:vAlign w:val="bottom"/>
            <w:tcBorders>
              <w:bottom w:val="single" w:sz="8" w:color="0C3471"/>
            </w:tcBorders>
          </w:tcPr>
          <w:p>
            <w:pPr>
              <w:ind w:left="360"/>
              <w:spacing w:after="0"/>
              <w:rPr>
                <w:sz w:val="20"/>
                <w:szCs w:val="20"/>
                <w:color w:val="auto"/>
              </w:rPr>
            </w:pPr>
            <w:r>
              <w:rPr>
                <w:rFonts w:ascii="Arial" w:cs="Arial" w:eastAsia="Arial" w:hAnsi="Arial"/>
                <w:sz w:val="16"/>
                <w:szCs w:val="16"/>
                <w:color w:val="auto"/>
              </w:rPr>
              <w:t>525,000</w:t>
            </w:r>
          </w:p>
        </w:tc>
        <w:tc>
          <w:tcPr>
            <w:tcW w:w="1040" w:type="dxa"/>
            <w:vAlign w:val="bottom"/>
            <w:tcBorders>
              <w:bottom w:val="single" w:sz="8" w:color="0C3471"/>
            </w:tcBorders>
          </w:tcPr>
          <w:p>
            <w:pPr>
              <w:jc w:val="right"/>
              <w:spacing w:after="0"/>
              <w:rPr>
                <w:sz w:val="20"/>
                <w:szCs w:val="20"/>
                <w:color w:val="auto"/>
              </w:rPr>
            </w:pPr>
            <w:r>
              <w:rPr>
                <w:rFonts w:ascii="Arial" w:cs="Arial" w:eastAsia="Arial" w:hAnsi="Arial"/>
                <w:sz w:val="16"/>
                <w:szCs w:val="16"/>
                <w:color w:val="auto"/>
              </w:rPr>
              <w:t>Yes</w:t>
            </w:r>
          </w:p>
        </w:tc>
        <w:tc>
          <w:tcPr>
            <w:tcW w:w="0" w:type="dxa"/>
            <w:vAlign w:val="bottom"/>
          </w:tcPr>
          <w:p>
            <w:pPr>
              <w:spacing w:after="0"/>
              <w:rPr>
                <w:sz w:val="1"/>
                <w:szCs w:val="1"/>
                <w:color w:val="auto"/>
              </w:rPr>
            </w:pPr>
          </w:p>
        </w:tc>
      </w:tr>
    </w:tbl>
    <w:p>
      <w:pPr>
        <w:spacing w:after="0" w:line="165" w:lineRule="exact"/>
        <w:rPr>
          <w:sz w:val="20"/>
          <w:szCs w:val="20"/>
          <w:color w:val="auto"/>
        </w:rPr>
      </w:pPr>
    </w:p>
    <w:p>
      <w:pPr>
        <w:ind w:left="240" w:hanging="232"/>
        <w:spacing w:after="0"/>
        <w:tabs>
          <w:tab w:leader="none" w:pos="240" w:val="left"/>
        </w:tabs>
        <w:numPr>
          <w:ilvl w:val="0"/>
          <w:numId w:val="55"/>
        </w:numPr>
        <w:rPr>
          <w:rFonts w:ascii="Arial" w:cs="Arial" w:eastAsia="Arial" w:hAnsi="Arial"/>
          <w:sz w:val="19"/>
          <w:szCs w:val="19"/>
          <w:color w:val="auto"/>
          <w:vertAlign w:val="superscript"/>
        </w:rPr>
      </w:pPr>
      <w:r>
        <w:rPr>
          <w:rFonts w:ascii="Arial" w:cs="Arial" w:eastAsia="Arial" w:hAnsi="Arial"/>
          <w:sz w:val="14"/>
          <w:szCs w:val="14"/>
          <w:color w:val="auto"/>
        </w:rPr>
        <w:t>The amounts in this column include ordinary shares owned by the director, both directly and indirectly, and unvested restricted stock units.</w:t>
      </w:r>
    </w:p>
    <w:p>
      <w:pPr>
        <w:spacing w:after="0" w:line="57" w:lineRule="exact"/>
        <w:rPr>
          <w:rFonts w:ascii="Arial" w:cs="Arial" w:eastAsia="Arial" w:hAnsi="Arial"/>
          <w:sz w:val="19"/>
          <w:szCs w:val="19"/>
          <w:color w:val="auto"/>
          <w:vertAlign w:val="superscript"/>
        </w:rPr>
      </w:pPr>
    </w:p>
    <w:p>
      <w:pPr>
        <w:ind w:left="220" w:hanging="212"/>
        <w:spacing w:after="0" w:line="219" w:lineRule="auto"/>
        <w:tabs>
          <w:tab w:leader="none" w:pos="220" w:val="left"/>
        </w:tabs>
        <w:numPr>
          <w:ilvl w:val="0"/>
          <w:numId w:val="55"/>
        </w:numPr>
        <w:rPr>
          <w:rFonts w:ascii="Arial" w:cs="Arial" w:eastAsia="Arial" w:hAnsi="Arial"/>
          <w:sz w:val="19"/>
          <w:szCs w:val="19"/>
          <w:color w:val="auto"/>
          <w:vertAlign w:val="superscript"/>
        </w:rPr>
      </w:pPr>
      <w:r>
        <w:rPr>
          <w:rFonts w:ascii="Arial" w:cs="Arial" w:eastAsia="Arial" w:hAnsi="Arial"/>
          <w:sz w:val="14"/>
          <w:szCs w:val="14"/>
          <w:color w:val="auto"/>
        </w:rPr>
        <w:t>Based on the closing market price for our ordinary shares on December 31, 2025 of $104.14.</w:t>
      </w:r>
    </w:p>
    <w:p>
      <w:pPr>
        <w:spacing w:after="0" w:line="66" w:lineRule="exact"/>
        <w:rPr>
          <w:rFonts w:ascii="Arial" w:cs="Arial" w:eastAsia="Arial" w:hAnsi="Arial"/>
          <w:sz w:val="19"/>
          <w:szCs w:val="19"/>
          <w:color w:val="auto"/>
          <w:vertAlign w:val="superscript"/>
        </w:rPr>
      </w:pPr>
    </w:p>
    <w:p>
      <w:pPr>
        <w:ind w:left="220" w:hanging="212"/>
        <w:spacing w:after="0"/>
        <w:tabs>
          <w:tab w:leader="none" w:pos="220" w:val="left"/>
        </w:tabs>
        <w:numPr>
          <w:ilvl w:val="0"/>
          <w:numId w:val="55"/>
        </w:numPr>
        <w:rPr>
          <w:rFonts w:ascii="Arial" w:cs="Arial" w:eastAsia="Arial" w:hAnsi="Arial"/>
          <w:sz w:val="9"/>
          <w:szCs w:val="9"/>
          <w:color w:val="auto"/>
        </w:rPr>
      </w:pPr>
      <w:r>
        <w:rPr>
          <w:rFonts w:ascii="Arial" w:cs="Arial" w:eastAsia="Arial" w:hAnsi="Arial"/>
          <w:sz w:val="14"/>
          <w:szCs w:val="14"/>
          <w:color w:val="auto"/>
        </w:rPr>
        <w:t>Non-employee directors have five years after their election as a director to meet the stock ownership guidelines. All directors have met or are on track to meet the guidelines.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600" w:hanging="574"/>
        <w:spacing w:after="0"/>
        <w:tabs>
          <w:tab w:leader="none" w:pos="600" w:val="left"/>
        </w:tabs>
        <w:numPr>
          <w:ilvl w:val="0"/>
          <w:numId w:val="56"/>
        </w:numPr>
        <w:rPr>
          <w:rFonts w:ascii="Arial" w:cs="Arial" w:eastAsia="Arial" w:hAnsi="Arial"/>
          <w:sz w:val="16"/>
          <w:szCs w:val="16"/>
          <w:b w:val="1"/>
          <w:bCs w:val="1"/>
          <w:color w:val="auto"/>
        </w:rPr>
      </w:pPr>
      <w:r>
        <w:rPr>
          <w:rFonts w:ascii="Arial" w:cs="Arial" w:eastAsia="Arial" w:hAnsi="Arial"/>
          <w:sz w:val="16"/>
          <w:szCs w:val="16"/>
          <w:color w:val="auto"/>
        </w:rPr>
        <w:t xml:space="preserve">Pentair </w:t>
      </w:r>
      <w:r>
        <w:rPr>
          <w:rFonts w:ascii="Arial" w:cs="Arial" w:eastAsia="Arial" w:hAnsi="Arial"/>
          <w:sz w:val="16"/>
          <w:szCs w:val="16"/>
          <w:b w:val="1"/>
          <w:bCs w:val="1"/>
          <w:color w:val="0C3471"/>
        </w:rPr>
        <w:t>|</w:t>
      </w:r>
      <w:r>
        <w:rPr>
          <w:rFonts w:ascii="Arial" w:cs="Arial" w:eastAsia="Arial" w:hAnsi="Arial"/>
          <w:sz w:val="16"/>
          <w:szCs w:val="16"/>
          <w:color w:val="auto"/>
        </w:rPr>
        <w:t xml:space="preserve"> </w:t>
      </w:r>
      <w:r>
        <w:rPr>
          <w:rFonts w:ascii="Arial" w:cs="Arial" w:eastAsia="Arial" w:hAnsi="Arial"/>
          <w:sz w:val="16"/>
          <w:szCs w:val="16"/>
          <w:b w:val="1"/>
          <w:bCs w:val="1"/>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213995</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0" w:name="page31"/>
    <w:bookmarkEnd w:id="30"/>
    <w:p>
      <w:pPr>
        <w:ind w:left="958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5831840</wp:posOffset>
            </wp:positionH>
            <wp:positionV relativeFrom="page">
              <wp:posOffset>191770</wp:posOffset>
            </wp:positionV>
            <wp:extent cx="102870" cy="11176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clrChange>
                        <a:clrFrom>
                          <a:srgbClr val="FFFFFF"/>
                        </a:clrFrom>
                        <a:clrTo>
                          <a:srgbClr val="FFFFFF">
                            <a:alpha val="0"/>
                          </a:srgbClr>
                        </a:clrTo>
                      </a:clrChange>
                      <a:extLst>
                        <a:ext uri="{28A0092B-C50C-407E-A947-70E740481C1C}"/>
                      </a:extLst>
                    </a:blip>
                    <a:srcRect/>
                    <a:stretch>
                      <a:fillRect/>
                    </a:stretch>
                  </pic:blipFill>
                  <pic:spPr bwMode="auto">
                    <a:xfrm>
                      <a:off x="0" y="0"/>
                      <a:ext cx="102870" cy="111760"/>
                    </a:xfrm>
                    <a:prstGeom prst="rect">
                      <a:avLst/>
                    </a:prstGeom>
                    <a:noFill/>
                  </pic:spPr>
                </pic:pic>
              </a:graphicData>
            </a:graphic>
          </wp:anchor>
        </w:drawing>
        <w:t>Corporate Governance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20"/>
        <w:spacing w:after="0"/>
        <w:rPr>
          <w:sz w:val="20"/>
          <w:szCs w:val="20"/>
          <w:color w:val="auto"/>
        </w:rPr>
      </w:pPr>
      <w:r>
        <w:rPr>
          <w:rFonts w:ascii="Arial" w:cs="Arial" w:eastAsia="Arial" w:hAnsi="Arial"/>
          <w:sz w:val="29"/>
          <w:szCs w:val="29"/>
          <w:color w:val="64A70B"/>
        </w:rPr>
        <w:t>Director Compensation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summarizes the compensation that we paid to non-employee directors for the year ended December 31, 2025.</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600" w:type="dxa"/>
            <w:vAlign w:val="bottom"/>
            <w:tcBorders>
              <w:bottom w:val="single" w:sz="8" w:color="BCBEC0"/>
            </w:tcBorders>
          </w:tcPr>
          <w:p>
            <w:pPr>
              <w:ind w:left="20"/>
              <w:spacing w:after="0"/>
              <w:rPr>
                <w:sz w:val="20"/>
                <w:szCs w:val="20"/>
                <w:color w:val="auto"/>
              </w:rPr>
            </w:pPr>
            <w:r>
              <w:rPr>
                <w:rFonts w:ascii="Arial" w:cs="Arial" w:eastAsia="Arial" w:hAnsi="Arial"/>
                <w:sz w:val="14"/>
                <w:szCs w:val="14"/>
                <w:b w:val="1"/>
                <w:bCs w:val="1"/>
                <w:color w:val="0C3471"/>
              </w:rPr>
              <w:t>(a)</w:t>
            </w:r>
          </w:p>
        </w:tc>
        <w:tc>
          <w:tcPr>
            <w:tcW w:w="1700" w:type="dxa"/>
            <w:vAlign w:val="bottom"/>
            <w:tcBorders>
              <w:bottom w:val="single" w:sz="8" w:color="BCBEC0"/>
            </w:tcBorders>
          </w:tcPr>
          <w:p>
            <w:pPr>
              <w:jc w:val="right"/>
              <w:ind w:right="142"/>
              <w:spacing w:after="0"/>
              <w:rPr>
                <w:sz w:val="20"/>
                <w:szCs w:val="20"/>
                <w:color w:val="auto"/>
              </w:rPr>
            </w:pPr>
            <w:r>
              <w:rPr>
                <w:rFonts w:ascii="Arial" w:cs="Arial" w:eastAsia="Arial" w:hAnsi="Arial"/>
                <w:sz w:val="14"/>
                <w:szCs w:val="14"/>
                <w:b w:val="1"/>
                <w:bCs w:val="1"/>
                <w:color w:val="0C3471"/>
              </w:rPr>
              <w:t>(b)</w:t>
            </w:r>
          </w:p>
        </w:tc>
        <w:tc>
          <w:tcPr>
            <w:tcW w:w="1020" w:type="dxa"/>
            <w:vAlign w:val="bottom"/>
            <w:tcBorders>
              <w:bottom w:val="single" w:sz="8" w:color="BCBEC0"/>
            </w:tcBorders>
          </w:tcPr>
          <w:p>
            <w:pPr>
              <w:jc w:val="right"/>
              <w:ind w:right="62"/>
              <w:spacing w:after="0"/>
              <w:rPr>
                <w:sz w:val="20"/>
                <w:szCs w:val="20"/>
                <w:color w:val="auto"/>
              </w:rPr>
            </w:pPr>
            <w:r>
              <w:rPr>
                <w:rFonts w:ascii="Arial" w:cs="Arial" w:eastAsia="Arial" w:hAnsi="Arial"/>
                <w:sz w:val="14"/>
                <w:szCs w:val="14"/>
                <w:b w:val="1"/>
                <w:bCs w:val="1"/>
                <w:color w:val="0C3471"/>
              </w:rPr>
              <w:t>(c)</w:t>
            </w:r>
          </w:p>
        </w:tc>
        <w:tc>
          <w:tcPr>
            <w:tcW w:w="900" w:type="dxa"/>
            <w:vAlign w:val="bottom"/>
            <w:tcBorders>
              <w:bottom w:val="single" w:sz="8" w:color="BCBEC0"/>
            </w:tcBorders>
          </w:tcPr>
          <w:p>
            <w:pPr>
              <w:jc w:val="right"/>
              <w:ind w:right="142"/>
              <w:spacing w:after="0"/>
              <w:rPr>
                <w:sz w:val="20"/>
                <w:szCs w:val="20"/>
                <w:color w:val="auto"/>
              </w:rPr>
            </w:pPr>
            <w:r>
              <w:rPr>
                <w:rFonts w:ascii="Arial" w:cs="Arial" w:eastAsia="Arial" w:hAnsi="Arial"/>
                <w:sz w:val="14"/>
                <w:szCs w:val="14"/>
                <w:b w:val="1"/>
                <w:bCs w:val="1"/>
                <w:color w:val="0C3471"/>
              </w:rPr>
              <w:t>(d)</w:t>
            </w:r>
          </w:p>
        </w:tc>
        <w:tc>
          <w:tcPr>
            <w:tcW w:w="1480" w:type="dxa"/>
            <w:vAlign w:val="bottom"/>
            <w:tcBorders>
              <w:bottom w:val="single" w:sz="8" w:color="BCBEC0"/>
            </w:tcBorders>
          </w:tcPr>
          <w:p>
            <w:pPr>
              <w:jc w:val="right"/>
              <w:ind w:right="162"/>
              <w:spacing w:after="0"/>
              <w:rPr>
                <w:sz w:val="20"/>
                <w:szCs w:val="20"/>
                <w:color w:val="auto"/>
              </w:rPr>
            </w:pPr>
            <w:r>
              <w:rPr>
                <w:rFonts w:ascii="Arial" w:cs="Arial" w:eastAsia="Arial" w:hAnsi="Arial"/>
                <w:sz w:val="14"/>
                <w:szCs w:val="14"/>
                <w:b w:val="1"/>
                <w:bCs w:val="1"/>
                <w:color w:val="0C3471"/>
              </w:rPr>
              <w:t>(e)</w:t>
            </w:r>
          </w:p>
        </w:tc>
        <w:tc>
          <w:tcPr>
            <w:tcW w:w="1380" w:type="dxa"/>
            <w:vAlign w:val="bottom"/>
            <w:tcBorders>
              <w:bottom w:val="single" w:sz="8" w:color="BCBEC0"/>
            </w:tcBorders>
          </w:tcPr>
          <w:p>
            <w:pPr>
              <w:jc w:val="right"/>
              <w:ind w:right="83"/>
              <w:spacing w:after="0"/>
              <w:rPr>
                <w:sz w:val="20"/>
                <w:szCs w:val="20"/>
                <w:color w:val="auto"/>
              </w:rPr>
            </w:pPr>
            <w:r>
              <w:rPr>
                <w:rFonts w:ascii="Arial" w:cs="Arial" w:eastAsia="Arial" w:hAnsi="Arial"/>
                <w:sz w:val="14"/>
                <w:szCs w:val="14"/>
                <w:b w:val="1"/>
                <w:bCs w:val="1"/>
                <w:color w:val="0C3471"/>
              </w:rPr>
              <w:t>(f)</w:t>
            </w:r>
          </w:p>
        </w:tc>
        <w:tc>
          <w:tcPr>
            <w:tcW w:w="1340" w:type="dxa"/>
            <w:vAlign w:val="bottom"/>
            <w:tcBorders>
              <w:bottom w:val="single" w:sz="8" w:color="BCBEC0"/>
            </w:tcBorders>
          </w:tcPr>
          <w:p>
            <w:pPr>
              <w:jc w:val="right"/>
              <w:ind w:right="82"/>
              <w:spacing w:after="0"/>
              <w:rPr>
                <w:sz w:val="20"/>
                <w:szCs w:val="20"/>
                <w:color w:val="auto"/>
              </w:rPr>
            </w:pPr>
            <w:r>
              <w:rPr>
                <w:rFonts w:ascii="Arial" w:cs="Arial" w:eastAsia="Arial" w:hAnsi="Arial"/>
                <w:sz w:val="14"/>
                <w:szCs w:val="14"/>
                <w:b w:val="1"/>
                <w:bCs w:val="1"/>
                <w:color w:val="0C3471"/>
              </w:rPr>
              <w:t>(g)</w:t>
            </w:r>
          </w:p>
        </w:tc>
        <w:tc>
          <w:tcPr>
            <w:tcW w:w="820" w:type="dxa"/>
            <w:vAlign w:val="bottom"/>
            <w:tcBorders>
              <w:bottom w:val="single" w:sz="8" w:color="BCBEC0"/>
            </w:tcBorders>
          </w:tcPr>
          <w:p>
            <w:pPr>
              <w:jc w:val="right"/>
              <w:spacing w:after="0"/>
              <w:rPr>
                <w:sz w:val="20"/>
                <w:szCs w:val="20"/>
                <w:color w:val="auto"/>
              </w:rPr>
            </w:pPr>
            <w:r>
              <w:rPr>
                <w:rFonts w:ascii="Arial" w:cs="Arial" w:eastAsia="Arial" w:hAnsi="Arial"/>
                <w:sz w:val="14"/>
                <w:szCs w:val="14"/>
                <w:b w:val="1"/>
                <w:bCs w:val="1"/>
                <w:color w:val="0C3471"/>
              </w:rPr>
              <w:t>(h)</w:t>
            </w:r>
          </w:p>
        </w:tc>
      </w:tr>
      <w:tr>
        <w:trPr>
          <w:trHeight w:val="180"/>
        </w:trPr>
        <w:tc>
          <w:tcPr>
            <w:tcW w:w="260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380" w:type="dxa"/>
            <w:vAlign w:val="bottom"/>
          </w:tcPr>
          <w:p>
            <w:pPr>
              <w:jc w:val="right"/>
              <w:ind w:right="83"/>
              <w:spacing w:after="0"/>
              <w:rPr>
                <w:sz w:val="20"/>
                <w:szCs w:val="20"/>
                <w:color w:val="auto"/>
              </w:rPr>
            </w:pPr>
            <w:r>
              <w:rPr>
                <w:rFonts w:ascii="Arial" w:cs="Arial" w:eastAsia="Arial" w:hAnsi="Arial"/>
                <w:sz w:val="14"/>
                <w:szCs w:val="14"/>
                <w:b w:val="1"/>
                <w:bCs w:val="1"/>
                <w:color w:val="auto"/>
              </w:rPr>
              <w:t>Change in</w:t>
            </w:r>
          </w:p>
        </w:tc>
        <w:tc>
          <w:tcPr>
            <w:tcW w:w="134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6"/>
        </w:trPr>
        <w:tc>
          <w:tcPr>
            <w:tcW w:w="260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380" w:type="dxa"/>
            <w:vAlign w:val="bottom"/>
          </w:tcPr>
          <w:p>
            <w:pPr>
              <w:jc w:val="right"/>
              <w:ind w:right="83"/>
              <w:spacing w:after="0"/>
              <w:rPr>
                <w:sz w:val="20"/>
                <w:szCs w:val="20"/>
                <w:color w:val="auto"/>
              </w:rPr>
            </w:pPr>
            <w:r>
              <w:rPr>
                <w:rFonts w:ascii="Arial" w:cs="Arial" w:eastAsia="Arial" w:hAnsi="Arial"/>
                <w:sz w:val="14"/>
                <w:szCs w:val="14"/>
                <w:b w:val="1"/>
                <w:bCs w:val="1"/>
                <w:color w:val="auto"/>
              </w:rPr>
              <w:t>Pension Value</w:t>
            </w:r>
          </w:p>
        </w:tc>
        <w:tc>
          <w:tcPr>
            <w:tcW w:w="134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5"/>
        </w:trPr>
        <w:tc>
          <w:tcPr>
            <w:tcW w:w="260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80" w:type="dxa"/>
            <w:vAlign w:val="bottom"/>
          </w:tcPr>
          <w:p>
            <w:pPr>
              <w:jc w:val="right"/>
              <w:ind w:right="162"/>
              <w:spacing w:after="0"/>
              <w:rPr>
                <w:sz w:val="20"/>
                <w:szCs w:val="20"/>
                <w:color w:val="auto"/>
              </w:rPr>
            </w:pPr>
            <w:r>
              <w:rPr>
                <w:rFonts w:ascii="Arial" w:cs="Arial" w:eastAsia="Arial" w:hAnsi="Arial"/>
                <w:sz w:val="14"/>
                <w:szCs w:val="14"/>
                <w:b w:val="1"/>
                <w:bCs w:val="1"/>
                <w:color w:val="auto"/>
              </w:rPr>
              <w:t>Non-Equity</w:t>
            </w:r>
          </w:p>
        </w:tc>
        <w:tc>
          <w:tcPr>
            <w:tcW w:w="1380" w:type="dxa"/>
            <w:vAlign w:val="bottom"/>
          </w:tcPr>
          <w:p>
            <w:pPr>
              <w:jc w:val="right"/>
              <w:ind w:right="83"/>
              <w:spacing w:after="0"/>
              <w:rPr>
                <w:sz w:val="20"/>
                <w:szCs w:val="20"/>
                <w:color w:val="auto"/>
              </w:rPr>
            </w:pPr>
            <w:r>
              <w:rPr>
                <w:rFonts w:ascii="Arial" w:cs="Arial" w:eastAsia="Arial" w:hAnsi="Arial"/>
                <w:sz w:val="14"/>
                <w:szCs w:val="14"/>
                <w:b w:val="1"/>
                <w:bCs w:val="1"/>
                <w:color w:val="auto"/>
              </w:rPr>
              <w:t>and Deferred</w:t>
            </w:r>
          </w:p>
        </w:tc>
        <w:tc>
          <w:tcPr>
            <w:tcW w:w="134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6"/>
        </w:trPr>
        <w:tc>
          <w:tcPr>
            <w:tcW w:w="2600" w:type="dxa"/>
            <w:vAlign w:val="bottom"/>
          </w:tcPr>
          <w:p>
            <w:pPr>
              <w:spacing w:after="0"/>
              <w:rPr>
                <w:sz w:val="15"/>
                <w:szCs w:val="15"/>
                <w:color w:val="auto"/>
              </w:rPr>
            </w:pPr>
          </w:p>
        </w:tc>
        <w:tc>
          <w:tcPr>
            <w:tcW w:w="1700" w:type="dxa"/>
            <w:vAlign w:val="bottom"/>
          </w:tcPr>
          <w:p>
            <w:pPr>
              <w:jc w:val="right"/>
              <w:ind w:right="142"/>
              <w:spacing w:after="0"/>
              <w:rPr>
                <w:sz w:val="20"/>
                <w:szCs w:val="20"/>
                <w:color w:val="auto"/>
              </w:rPr>
            </w:pPr>
            <w:r>
              <w:rPr>
                <w:rFonts w:ascii="Arial" w:cs="Arial" w:eastAsia="Arial" w:hAnsi="Arial"/>
                <w:sz w:val="14"/>
                <w:szCs w:val="14"/>
                <w:b w:val="1"/>
                <w:bCs w:val="1"/>
                <w:color w:val="auto"/>
              </w:rPr>
              <w:t>Fees Earned or</w:t>
            </w:r>
          </w:p>
        </w:tc>
        <w:tc>
          <w:tcPr>
            <w:tcW w:w="1020" w:type="dxa"/>
            <w:vAlign w:val="bottom"/>
          </w:tcPr>
          <w:p>
            <w:pPr>
              <w:jc w:val="right"/>
              <w:ind w:right="62"/>
              <w:spacing w:after="0"/>
              <w:rPr>
                <w:sz w:val="20"/>
                <w:szCs w:val="20"/>
                <w:color w:val="auto"/>
              </w:rPr>
            </w:pPr>
            <w:r>
              <w:rPr>
                <w:rFonts w:ascii="Arial" w:cs="Arial" w:eastAsia="Arial" w:hAnsi="Arial"/>
                <w:sz w:val="14"/>
                <w:szCs w:val="14"/>
                <w:b w:val="1"/>
                <w:bCs w:val="1"/>
                <w:color w:val="auto"/>
              </w:rPr>
              <w:t>Stock</w:t>
            </w:r>
          </w:p>
        </w:tc>
        <w:tc>
          <w:tcPr>
            <w:tcW w:w="900" w:type="dxa"/>
            <w:vAlign w:val="bottom"/>
          </w:tcPr>
          <w:p>
            <w:pPr>
              <w:jc w:val="right"/>
              <w:ind w:right="142"/>
              <w:spacing w:after="0"/>
              <w:rPr>
                <w:sz w:val="20"/>
                <w:szCs w:val="20"/>
                <w:color w:val="auto"/>
              </w:rPr>
            </w:pPr>
            <w:r>
              <w:rPr>
                <w:rFonts w:ascii="Arial" w:cs="Arial" w:eastAsia="Arial" w:hAnsi="Arial"/>
                <w:sz w:val="14"/>
                <w:szCs w:val="14"/>
                <w:b w:val="1"/>
                <w:bCs w:val="1"/>
                <w:color w:val="auto"/>
              </w:rPr>
              <w:t>Option</w:t>
            </w:r>
          </w:p>
        </w:tc>
        <w:tc>
          <w:tcPr>
            <w:tcW w:w="1480" w:type="dxa"/>
            <w:vAlign w:val="bottom"/>
          </w:tcPr>
          <w:p>
            <w:pPr>
              <w:jc w:val="right"/>
              <w:ind w:right="162"/>
              <w:spacing w:after="0"/>
              <w:rPr>
                <w:sz w:val="20"/>
                <w:szCs w:val="20"/>
                <w:color w:val="auto"/>
              </w:rPr>
            </w:pPr>
            <w:r>
              <w:rPr>
                <w:rFonts w:ascii="Arial" w:cs="Arial" w:eastAsia="Arial" w:hAnsi="Arial"/>
                <w:sz w:val="14"/>
                <w:szCs w:val="14"/>
                <w:b w:val="1"/>
                <w:bCs w:val="1"/>
                <w:color w:val="auto"/>
              </w:rPr>
              <w:t>Incentive Plan</w:t>
            </w:r>
          </w:p>
        </w:tc>
        <w:tc>
          <w:tcPr>
            <w:tcW w:w="1380" w:type="dxa"/>
            <w:vAlign w:val="bottom"/>
          </w:tcPr>
          <w:p>
            <w:pPr>
              <w:jc w:val="right"/>
              <w:ind w:right="83"/>
              <w:spacing w:after="0"/>
              <w:rPr>
                <w:sz w:val="20"/>
                <w:szCs w:val="20"/>
                <w:color w:val="auto"/>
              </w:rPr>
            </w:pPr>
            <w:r>
              <w:rPr>
                <w:rFonts w:ascii="Arial" w:cs="Arial" w:eastAsia="Arial" w:hAnsi="Arial"/>
                <w:sz w:val="14"/>
                <w:szCs w:val="14"/>
                <w:b w:val="1"/>
                <w:bCs w:val="1"/>
                <w:color w:val="auto"/>
              </w:rPr>
              <w:t>Compensation</w:t>
            </w:r>
          </w:p>
        </w:tc>
        <w:tc>
          <w:tcPr>
            <w:tcW w:w="1340" w:type="dxa"/>
            <w:vAlign w:val="bottom"/>
          </w:tcPr>
          <w:p>
            <w:pPr>
              <w:jc w:val="right"/>
              <w:ind w:right="82"/>
              <w:spacing w:after="0"/>
              <w:rPr>
                <w:sz w:val="20"/>
                <w:szCs w:val="20"/>
                <w:color w:val="auto"/>
              </w:rPr>
            </w:pPr>
            <w:r>
              <w:rPr>
                <w:rFonts w:ascii="Arial" w:cs="Arial" w:eastAsia="Arial" w:hAnsi="Arial"/>
                <w:sz w:val="14"/>
                <w:szCs w:val="14"/>
                <w:b w:val="1"/>
                <w:bCs w:val="1"/>
                <w:color w:val="auto"/>
              </w:rPr>
              <w:t>All Other</w:t>
            </w:r>
          </w:p>
        </w:tc>
        <w:tc>
          <w:tcPr>
            <w:tcW w:w="820" w:type="dxa"/>
            <w:vAlign w:val="bottom"/>
          </w:tcPr>
          <w:p>
            <w:pPr>
              <w:spacing w:after="0"/>
              <w:rPr>
                <w:sz w:val="15"/>
                <w:szCs w:val="15"/>
                <w:color w:val="auto"/>
              </w:rPr>
            </w:pPr>
          </w:p>
        </w:tc>
      </w:tr>
      <w:tr>
        <w:trPr>
          <w:trHeight w:val="162"/>
        </w:trPr>
        <w:tc>
          <w:tcPr>
            <w:tcW w:w="2600" w:type="dxa"/>
            <w:vAlign w:val="bottom"/>
          </w:tcPr>
          <w:p>
            <w:pPr>
              <w:spacing w:after="0"/>
              <w:rPr>
                <w:sz w:val="14"/>
                <w:szCs w:val="14"/>
                <w:color w:val="auto"/>
              </w:rPr>
            </w:pPr>
          </w:p>
        </w:tc>
        <w:tc>
          <w:tcPr>
            <w:tcW w:w="1700" w:type="dxa"/>
            <w:vAlign w:val="bottom"/>
          </w:tcPr>
          <w:p>
            <w:pPr>
              <w:jc w:val="right"/>
              <w:ind w:right="142"/>
              <w:spacing w:after="0"/>
              <w:rPr>
                <w:sz w:val="20"/>
                <w:szCs w:val="20"/>
                <w:color w:val="auto"/>
              </w:rPr>
            </w:pPr>
            <w:r>
              <w:rPr>
                <w:rFonts w:ascii="Arial" w:cs="Arial" w:eastAsia="Arial" w:hAnsi="Arial"/>
                <w:sz w:val="14"/>
                <w:szCs w:val="14"/>
                <w:b w:val="1"/>
                <w:bCs w:val="1"/>
                <w:color w:val="auto"/>
              </w:rPr>
              <w:t>Paid in Cash</w:t>
            </w:r>
          </w:p>
        </w:tc>
        <w:tc>
          <w:tcPr>
            <w:tcW w:w="1020" w:type="dxa"/>
            <w:vAlign w:val="bottom"/>
          </w:tcPr>
          <w:p>
            <w:pPr>
              <w:jc w:val="right"/>
              <w:ind w:right="62"/>
              <w:spacing w:after="0"/>
              <w:rPr>
                <w:sz w:val="20"/>
                <w:szCs w:val="20"/>
                <w:color w:val="auto"/>
              </w:rPr>
            </w:pPr>
            <w:r>
              <w:rPr>
                <w:rFonts w:ascii="Arial" w:cs="Arial" w:eastAsia="Arial" w:hAnsi="Arial"/>
                <w:sz w:val="14"/>
                <w:szCs w:val="14"/>
                <w:b w:val="1"/>
                <w:bCs w:val="1"/>
                <w:color w:val="auto"/>
              </w:rPr>
              <w:t>Awards</w:t>
            </w:r>
          </w:p>
        </w:tc>
        <w:tc>
          <w:tcPr>
            <w:tcW w:w="900" w:type="dxa"/>
            <w:vAlign w:val="bottom"/>
          </w:tcPr>
          <w:p>
            <w:pPr>
              <w:jc w:val="right"/>
              <w:ind w:right="142"/>
              <w:spacing w:after="0"/>
              <w:rPr>
                <w:sz w:val="20"/>
                <w:szCs w:val="20"/>
                <w:color w:val="auto"/>
              </w:rPr>
            </w:pPr>
            <w:r>
              <w:rPr>
                <w:rFonts w:ascii="Arial" w:cs="Arial" w:eastAsia="Arial" w:hAnsi="Arial"/>
                <w:sz w:val="14"/>
                <w:szCs w:val="14"/>
                <w:b w:val="1"/>
                <w:bCs w:val="1"/>
                <w:color w:val="auto"/>
              </w:rPr>
              <w:t>Awards</w:t>
            </w:r>
          </w:p>
        </w:tc>
        <w:tc>
          <w:tcPr>
            <w:tcW w:w="1480" w:type="dxa"/>
            <w:vAlign w:val="bottom"/>
          </w:tcPr>
          <w:p>
            <w:pPr>
              <w:jc w:val="right"/>
              <w:ind w:right="162"/>
              <w:spacing w:after="0"/>
              <w:rPr>
                <w:sz w:val="20"/>
                <w:szCs w:val="20"/>
                <w:color w:val="auto"/>
              </w:rPr>
            </w:pPr>
            <w:r>
              <w:rPr>
                <w:rFonts w:ascii="Arial" w:cs="Arial" w:eastAsia="Arial" w:hAnsi="Arial"/>
                <w:sz w:val="14"/>
                <w:szCs w:val="14"/>
                <w:b w:val="1"/>
                <w:bCs w:val="1"/>
                <w:color w:val="auto"/>
              </w:rPr>
              <w:t>Compensation</w:t>
            </w:r>
          </w:p>
        </w:tc>
        <w:tc>
          <w:tcPr>
            <w:tcW w:w="1380" w:type="dxa"/>
            <w:vAlign w:val="bottom"/>
          </w:tcPr>
          <w:p>
            <w:pPr>
              <w:jc w:val="right"/>
              <w:ind w:right="83"/>
              <w:spacing w:after="0"/>
              <w:rPr>
                <w:sz w:val="20"/>
                <w:szCs w:val="20"/>
                <w:color w:val="auto"/>
              </w:rPr>
            </w:pPr>
            <w:r>
              <w:rPr>
                <w:rFonts w:ascii="Arial" w:cs="Arial" w:eastAsia="Arial" w:hAnsi="Arial"/>
                <w:sz w:val="14"/>
                <w:szCs w:val="14"/>
                <w:b w:val="1"/>
                <w:bCs w:val="1"/>
                <w:color w:val="auto"/>
              </w:rPr>
              <w:t>Earnings</w:t>
            </w:r>
          </w:p>
        </w:tc>
        <w:tc>
          <w:tcPr>
            <w:tcW w:w="1340" w:type="dxa"/>
            <w:vAlign w:val="bottom"/>
          </w:tcPr>
          <w:p>
            <w:pPr>
              <w:jc w:val="right"/>
              <w:ind w:right="82"/>
              <w:spacing w:after="0"/>
              <w:rPr>
                <w:sz w:val="20"/>
                <w:szCs w:val="20"/>
                <w:color w:val="auto"/>
              </w:rPr>
            </w:pPr>
            <w:r>
              <w:rPr>
                <w:rFonts w:ascii="Arial" w:cs="Arial" w:eastAsia="Arial" w:hAnsi="Arial"/>
                <w:sz w:val="14"/>
                <w:szCs w:val="14"/>
                <w:b w:val="1"/>
                <w:bCs w:val="1"/>
                <w:color w:val="auto"/>
              </w:rPr>
              <w:t>Compensation</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Total</w:t>
            </w:r>
          </w:p>
        </w:tc>
      </w:tr>
      <w:tr>
        <w:trPr>
          <w:trHeight w:val="225"/>
        </w:trPr>
        <w:tc>
          <w:tcPr>
            <w:tcW w:w="2600" w:type="dxa"/>
            <w:vAlign w:val="bottom"/>
            <w:tcBorders>
              <w:bottom w:val="single" w:sz="8" w:color="0C3471"/>
            </w:tcBorders>
          </w:tcPr>
          <w:p>
            <w:pPr>
              <w:ind w:left="20"/>
              <w:spacing w:after="0"/>
              <w:rPr>
                <w:sz w:val="20"/>
                <w:szCs w:val="20"/>
                <w:color w:val="auto"/>
              </w:rPr>
            </w:pPr>
            <w:r>
              <w:rPr>
                <w:rFonts w:ascii="Arial" w:cs="Arial" w:eastAsia="Arial" w:hAnsi="Arial"/>
                <w:sz w:val="14"/>
                <w:szCs w:val="14"/>
                <w:b w:val="1"/>
                <w:bCs w:val="1"/>
                <w:color w:val="auto"/>
              </w:rPr>
              <w:t>Name</w:t>
            </w:r>
          </w:p>
        </w:tc>
        <w:tc>
          <w:tcPr>
            <w:tcW w:w="1700" w:type="dxa"/>
            <w:vAlign w:val="bottom"/>
            <w:tcBorders>
              <w:bottom w:val="single" w:sz="8" w:color="0C3471"/>
            </w:tcBorders>
          </w:tcPr>
          <w:p>
            <w:pPr>
              <w:jc w:val="right"/>
              <w:ind w:right="142"/>
              <w:spacing w:after="0"/>
              <w:rPr>
                <w:sz w:val="20"/>
                <w:szCs w:val="20"/>
                <w:color w:val="auto"/>
              </w:rPr>
            </w:pPr>
            <w:r>
              <w:rPr>
                <w:rFonts w:ascii="Arial" w:cs="Arial" w:eastAsia="Arial" w:hAnsi="Arial"/>
                <w:sz w:val="14"/>
                <w:szCs w:val="14"/>
                <w:b w:val="1"/>
                <w:bCs w:val="1"/>
                <w:color w:val="auto"/>
              </w:rPr>
              <w:t>($)</w:t>
            </w:r>
          </w:p>
        </w:tc>
        <w:tc>
          <w:tcPr>
            <w:tcW w:w="1020" w:type="dxa"/>
            <w:vAlign w:val="bottom"/>
            <w:tcBorders>
              <w:bottom w:val="single" w:sz="8" w:color="0C3471"/>
            </w:tcBorders>
          </w:tcPr>
          <w:p>
            <w:pPr>
              <w:jc w:val="right"/>
              <w:ind w:right="62"/>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8"/>
                <w:szCs w:val="18"/>
                <w:b w:val="1"/>
                <w:bCs w:val="1"/>
                <w:color w:val="auto"/>
                <w:vertAlign w:val="superscript"/>
              </w:rPr>
              <w:t>(1)</w:t>
            </w:r>
          </w:p>
        </w:tc>
        <w:tc>
          <w:tcPr>
            <w:tcW w:w="900" w:type="dxa"/>
            <w:vAlign w:val="bottom"/>
            <w:tcBorders>
              <w:bottom w:val="single" w:sz="8" w:color="0C3471"/>
            </w:tcBorders>
          </w:tcPr>
          <w:p>
            <w:pPr>
              <w:jc w:val="center"/>
              <w:ind w:left="82"/>
              <w:spacing w:after="0"/>
              <w:rPr>
                <w:sz w:val="20"/>
                <w:szCs w:val="20"/>
                <w:color w:val="auto"/>
              </w:rPr>
            </w:pPr>
            <w:r>
              <w:rPr>
                <w:rFonts w:ascii="Arial" w:cs="Arial" w:eastAsia="Arial" w:hAnsi="Arial"/>
                <w:sz w:val="14"/>
                <w:szCs w:val="14"/>
                <w:b w:val="1"/>
                <w:bCs w:val="1"/>
                <w:color w:val="auto"/>
                <w:w w:val="94"/>
              </w:rPr>
              <w:t>($)</w:t>
            </w:r>
            <w:r>
              <w:rPr>
                <w:rFonts w:ascii="Arial" w:cs="Arial" w:eastAsia="Arial" w:hAnsi="Arial"/>
                <w:sz w:val="18"/>
                <w:szCs w:val="18"/>
                <w:b w:val="1"/>
                <w:bCs w:val="1"/>
                <w:color w:val="auto"/>
                <w:w w:val="94"/>
                <w:vertAlign w:val="superscript"/>
              </w:rPr>
              <w:t>(2)</w:t>
            </w:r>
          </w:p>
        </w:tc>
        <w:tc>
          <w:tcPr>
            <w:tcW w:w="1480" w:type="dxa"/>
            <w:vAlign w:val="bottom"/>
            <w:tcBorders>
              <w:bottom w:val="single" w:sz="8" w:color="0C3471"/>
            </w:tcBorders>
          </w:tcPr>
          <w:p>
            <w:pPr>
              <w:jc w:val="right"/>
              <w:ind w:right="162"/>
              <w:spacing w:after="0"/>
              <w:rPr>
                <w:sz w:val="20"/>
                <w:szCs w:val="20"/>
                <w:color w:val="auto"/>
              </w:rPr>
            </w:pPr>
            <w:r>
              <w:rPr>
                <w:rFonts w:ascii="Arial" w:cs="Arial" w:eastAsia="Arial" w:hAnsi="Arial"/>
                <w:sz w:val="14"/>
                <w:szCs w:val="14"/>
                <w:b w:val="1"/>
                <w:bCs w:val="1"/>
                <w:color w:val="auto"/>
              </w:rPr>
              <w:t>($)</w:t>
            </w:r>
          </w:p>
        </w:tc>
        <w:tc>
          <w:tcPr>
            <w:tcW w:w="1380" w:type="dxa"/>
            <w:vAlign w:val="bottom"/>
            <w:tcBorders>
              <w:bottom w:val="single" w:sz="8" w:color="0C3471"/>
            </w:tcBorders>
          </w:tcPr>
          <w:p>
            <w:pPr>
              <w:jc w:val="right"/>
              <w:ind w:right="83"/>
              <w:spacing w:after="0"/>
              <w:rPr>
                <w:sz w:val="20"/>
                <w:szCs w:val="20"/>
                <w:color w:val="auto"/>
              </w:rPr>
            </w:pPr>
            <w:r>
              <w:rPr>
                <w:rFonts w:ascii="Arial" w:cs="Arial" w:eastAsia="Arial" w:hAnsi="Arial"/>
                <w:sz w:val="14"/>
                <w:szCs w:val="14"/>
                <w:b w:val="1"/>
                <w:bCs w:val="1"/>
                <w:color w:val="auto"/>
              </w:rPr>
              <w:t>($)</w:t>
            </w:r>
          </w:p>
        </w:tc>
        <w:tc>
          <w:tcPr>
            <w:tcW w:w="1340" w:type="dxa"/>
            <w:vAlign w:val="bottom"/>
            <w:tcBorders>
              <w:bottom w:val="single" w:sz="8" w:color="0C3471"/>
            </w:tcBorders>
          </w:tcPr>
          <w:p>
            <w:pPr>
              <w:jc w:val="right"/>
              <w:ind w:right="82"/>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8"/>
                <w:szCs w:val="18"/>
                <w:b w:val="1"/>
                <w:bCs w:val="1"/>
                <w:color w:val="auto"/>
                <w:vertAlign w:val="superscript"/>
              </w:rPr>
              <w:t>(3)</w:t>
            </w:r>
          </w:p>
        </w:tc>
        <w:tc>
          <w:tcPr>
            <w:tcW w:w="820" w:type="dxa"/>
            <w:vAlign w:val="bottom"/>
            <w:tcBorders>
              <w:bottom w:val="single" w:sz="8" w:color="0C3471"/>
            </w:tcBorders>
          </w:tcPr>
          <w:p>
            <w:pPr>
              <w:jc w:val="right"/>
              <w:spacing w:after="0"/>
              <w:rPr>
                <w:sz w:val="20"/>
                <w:szCs w:val="20"/>
                <w:color w:val="auto"/>
              </w:rPr>
            </w:pPr>
            <w:r>
              <w:rPr>
                <w:rFonts w:ascii="Arial" w:cs="Arial" w:eastAsia="Arial" w:hAnsi="Arial"/>
                <w:sz w:val="14"/>
                <w:szCs w:val="14"/>
                <w:b w:val="1"/>
                <w:bCs w:val="1"/>
                <w:color w:val="auto"/>
              </w:rPr>
              <w:t>($)</w:t>
            </w:r>
          </w:p>
        </w:tc>
      </w:tr>
      <w:tr>
        <w:trPr>
          <w:trHeight w:val="233"/>
        </w:trPr>
        <w:tc>
          <w:tcPr>
            <w:tcW w:w="2600" w:type="dxa"/>
            <w:vAlign w:val="bottom"/>
            <w:tcBorders>
              <w:bottom w:val="single" w:sz="8" w:color="BCBEC0"/>
            </w:tcBorders>
          </w:tcPr>
          <w:p>
            <w:pPr>
              <w:ind w:left="20"/>
              <w:spacing w:after="0"/>
              <w:rPr>
                <w:sz w:val="20"/>
                <w:szCs w:val="20"/>
                <w:color w:val="auto"/>
              </w:rPr>
            </w:pPr>
            <w:r>
              <w:rPr>
                <w:rFonts w:ascii="Arial" w:cs="Arial" w:eastAsia="Arial" w:hAnsi="Arial"/>
                <w:sz w:val="16"/>
                <w:szCs w:val="16"/>
                <w:b w:val="1"/>
                <w:bCs w:val="1"/>
                <w:color w:val="0C3471"/>
              </w:rPr>
              <w:t>Mona Abutaleb Stephenson</w:t>
            </w:r>
          </w:p>
        </w:tc>
        <w:tc>
          <w:tcPr>
            <w:tcW w:w="1700" w:type="dxa"/>
            <w:vAlign w:val="bottom"/>
            <w:tcBorders>
              <w:bottom w:val="single" w:sz="8" w:color="BCBEC0"/>
            </w:tcBorders>
          </w:tcPr>
          <w:p>
            <w:pPr>
              <w:jc w:val="right"/>
              <w:ind w:right="202"/>
              <w:spacing w:after="0"/>
              <w:rPr>
                <w:sz w:val="20"/>
                <w:szCs w:val="20"/>
                <w:color w:val="auto"/>
              </w:rPr>
            </w:pPr>
            <w:r>
              <w:rPr>
                <w:rFonts w:ascii="Arial" w:cs="Arial" w:eastAsia="Arial" w:hAnsi="Arial"/>
                <w:sz w:val="16"/>
                <w:szCs w:val="16"/>
                <w:color w:val="auto"/>
              </w:rPr>
              <w:t>118,500</w:t>
            </w:r>
          </w:p>
        </w:tc>
        <w:tc>
          <w:tcPr>
            <w:tcW w:w="1020" w:type="dxa"/>
            <w:vAlign w:val="bottom"/>
            <w:tcBorders>
              <w:bottom w:val="single" w:sz="8" w:color="BCBEC0"/>
            </w:tcBorders>
          </w:tcPr>
          <w:p>
            <w:pPr>
              <w:jc w:val="right"/>
              <w:ind w:right="122"/>
              <w:spacing w:after="0"/>
              <w:rPr>
                <w:sz w:val="20"/>
                <w:szCs w:val="20"/>
                <w:color w:val="auto"/>
              </w:rPr>
            </w:pPr>
            <w:r>
              <w:rPr>
                <w:rFonts w:ascii="Arial" w:cs="Arial" w:eastAsia="Arial" w:hAnsi="Arial"/>
                <w:sz w:val="16"/>
                <w:szCs w:val="16"/>
                <w:color w:val="auto"/>
              </w:rPr>
              <w:t>164,957</w:t>
            </w:r>
          </w:p>
        </w:tc>
        <w:tc>
          <w:tcPr>
            <w:tcW w:w="900" w:type="dxa"/>
            <w:vAlign w:val="bottom"/>
            <w:tcBorders>
              <w:bottom w:val="single" w:sz="8" w:color="BCBEC0"/>
            </w:tcBorders>
          </w:tcPr>
          <w:p>
            <w:pPr>
              <w:jc w:val="center"/>
              <w:ind w:left="102"/>
              <w:spacing w:after="0"/>
              <w:rPr>
                <w:sz w:val="20"/>
                <w:szCs w:val="20"/>
                <w:color w:val="auto"/>
              </w:rPr>
            </w:pPr>
            <w:r>
              <w:rPr>
                <w:rFonts w:ascii="Arial" w:cs="Arial" w:eastAsia="Arial" w:hAnsi="Arial"/>
                <w:sz w:val="16"/>
                <w:szCs w:val="16"/>
                <w:color w:val="auto"/>
                <w:w w:val="99"/>
              </w:rPr>
              <w:t>—</w:t>
            </w:r>
          </w:p>
        </w:tc>
        <w:tc>
          <w:tcPr>
            <w:tcW w:w="1480" w:type="dxa"/>
            <w:vAlign w:val="bottom"/>
            <w:tcBorders>
              <w:bottom w:val="single" w:sz="8" w:color="BCBEC0"/>
            </w:tcBorders>
          </w:tcPr>
          <w:p>
            <w:pPr>
              <w:ind w:left="1020"/>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BCBEC0"/>
            </w:tcBorders>
          </w:tcPr>
          <w:p>
            <w:pPr>
              <w:ind w:left="1020"/>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BCBEC0"/>
            </w:tcBorders>
          </w:tcPr>
          <w:p>
            <w:pPr>
              <w:jc w:val="right"/>
              <w:ind w:right="142"/>
              <w:spacing w:after="0"/>
              <w:rPr>
                <w:sz w:val="20"/>
                <w:szCs w:val="20"/>
                <w:color w:val="auto"/>
              </w:rPr>
            </w:pPr>
            <w:r>
              <w:rPr>
                <w:rFonts w:ascii="Arial" w:cs="Arial" w:eastAsia="Arial" w:hAnsi="Arial"/>
                <w:sz w:val="16"/>
                <w:szCs w:val="16"/>
                <w:color w:val="auto"/>
              </w:rPr>
              <w:t>102,059</w:t>
            </w:r>
          </w:p>
        </w:tc>
        <w:tc>
          <w:tcPr>
            <w:tcW w:w="820" w:type="dxa"/>
            <w:vAlign w:val="bottom"/>
            <w:tcBorders>
              <w:bottom w:val="single" w:sz="8" w:color="BCBEC0"/>
            </w:tcBorders>
          </w:tcPr>
          <w:p>
            <w:pPr>
              <w:jc w:val="right"/>
              <w:ind w:right="1"/>
              <w:spacing w:after="0"/>
              <w:rPr>
                <w:sz w:val="20"/>
                <w:szCs w:val="20"/>
                <w:color w:val="auto"/>
              </w:rPr>
            </w:pPr>
            <w:r>
              <w:rPr>
                <w:rFonts w:ascii="Arial" w:cs="Arial" w:eastAsia="Arial" w:hAnsi="Arial"/>
                <w:sz w:val="16"/>
                <w:szCs w:val="16"/>
                <w:color w:val="auto"/>
              </w:rPr>
              <w:t>385,516</w:t>
            </w:r>
          </w:p>
        </w:tc>
      </w:tr>
      <w:tr>
        <w:trPr>
          <w:trHeight w:val="237"/>
        </w:trPr>
        <w:tc>
          <w:tcPr>
            <w:tcW w:w="2600" w:type="dxa"/>
            <w:vAlign w:val="bottom"/>
            <w:tcBorders>
              <w:bottom w:val="single" w:sz="8" w:color="BCBEC0"/>
            </w:tcBorders>
          </w:tcPr>
          <w:p>
            <w:pPr>
              <w:ind w:left="20"/>
              <w:spacing w:after="0"/>
              <w:rPr>
                <w:sz w:val="20"/>
                <w:szCs w:val="20"/>
                <w:color w:val="auto"/>
              </w:rPr>
            </w:pPr>
            <w:r>
              <w:rPr>
                <w:rFonts w:ascii="Arial" w:cs="Arial" w:eastAsia="Arial" w:hAnsi="Arial"/>
                <w:sz w:val="16"/>
                <w:szCs w:val="16"/>
                <w:b w:val="1"/>
                <w:bCs w:val="1"/>
                <w:color w:val="0C3471"/>
              </w:rPr>
              <w:t>Melissa Barra</w:t>
            </w:r>
          </w:p>
        </w:tc>
        <w:tc>
          <w:tcPr>
            <w:tcW w:w="1700" w:type="dxa"/>
            <w:vAlign w:val="bottom"/>
            <w:tcBorders>
              <w:bottom w:val="single" w:sz="8" w:color="BCBEC0"/>
            </w:tcBorders>
          </w:tcPr>
          <w:p>
            <w:pPr>
              <w:jc w:val="right"/>
              <w:ind w:right="202"/>
              <w:spacing w:after="0"/>
              <w:rPr>
                <w:sz w:val="20"/>
                <w:szCs w:val="20"/>
                <w:color w:val="auto"/>
              </w:rPr>
            </w:pPr>
            <w:r>
              <w:rPr>
                <w:rFonts w:ascii="Arial" w:cs="Arial" w:eastAsia="Arial" w:hAnsi="Arial"/>
                <w:sz w:val="16"/>
                <w:szCs w:val="16"/>
                <w:color w:val="auto"/>
              </w:rPr>
              <w:t>118,500</w:t>
            </w:r>
          </w:p>
        </w:tc>
        <w:tc>
          <w:tcPr>
            <w:tcW w:w="1020" w:type="dxa"/>
            <w:vAlign w:val="bottom"/>
            <w:tcBorders>
              <w:bottom w:val="single" w:sz="8" w:color="BCBEC0"/>
            </w:tcBorders>
          </w:tcPr>
          <w:p>
            <w:pPr>
              <w:jc w:val="right"/>
              <w:ind w:right="122"/>
              <w:spacing w:after="0"/>
              <w:rPr>
                <w:sz w:val="20"/>
                <w:szCs w:val="20"/>
                <w:color w:val="auto"/>
              </w:rPr>
            </w:pPr>
            <w:r>
              <w:rPr>
                <w:rFonts w:ascii="Arial" w:cs="Arial" w:eastAsia="Arial" w:hAnsi="Arial"/>
                <w:sz w:val="16"/>
                <w:szCs w:val="16"/>
                <w:color w:val="auto"/>
              </w:rPr>
              <w:t>164,957</w:t>
            </w:r>
          </w:p>
        </w:tc>
        <w:tc>
          <w:tcPr>
            <w:tcW w:w="900" w:type="dxa"/>
            <w:vAlign w:val="bottom"/>
            <w:tcBorders>
              <w:bottom w:val="single" w:sz="8" w:color="BCBEC0"/>
            </w:tcBorders>
          </w:tcPr>
          <w:p>
            <w:pPr>
              <w:jc w:val="center"/>
              <w:ind w:left="102"/>
              <w:spacing w:after="0"/>
              <w:rPr>
                <w:sz w:val="20"/>
                <w:szCs w:val="20"/>
                <w:color w:val="auto"/>
              </w:rPr>
            </w:pPr>
            <w:r>
              <w:rPr>
                <w:rFonts w:ascii="Arial" w:cs="Arial" w:eastAsia="Arial" w:hAnsi="Arial"/>
                <w:sz w:val="16"/>
                <w:szCs w:val="16"/>
                <w:color w:val="auto"/>
                <w:w w:val="99"/>
              </w:rPr>
              <w:t>—</w:t>
            </w:r>
          </w:p>
        </w:tc>
        <w:tc>
          <w:tcPr>
            <w:tcW w:w="1480" w:type="dxa"/>
            <w:vAlign w:val="bottom"/>
            <w:tcBorders>
              <w:bottom w:val="single" w:sz="8" w:color="BCBEC0"/>
            </w:tcBorders>
          </w:tcPr>
          <w:p>
            <w:pPr>
              <w:ind w:left="1020"/>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BCBEC0"/>
            </w:tcBorders>
          </w:tcPr>
          <w:p>
            <w:pPr>
              <w:ind w:left="1020"/>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BCBEC0"/>
            </w:tcBorders>
          </w:tcPr>
          <w:p>
            <w:pPr>
              <w:jc w:val="right"/>
              <w:ind w:right="142"/>
              <w:spacing w:after="0"/>
              <w:rPr>
                <w:sz w:val="20"/>
                <w:szCs w:val="20"/>
                <w:color w:val="auto"/>
              </w:rPr>
            </w:pPr>
            <w:r>
              <w:rPr>
                <w:rFonts w:ascii="Arial" w:cs="Arial" w:eastAsia="Arial" w:hAnsi="Arial"/>
                <w:sz w:val="16"/>
                <w:szCs w:val="16"/>
                <w:color w:val="auto"/>
              </w:rPr>
              <w:t>61,679</w:t>
            </w:r>
          </w:p>
        </w:tc>
        <w:tc>
          <w:tcPr>
            <w:tcW w:w="820" w:type="dxa"/>
            <w:vAlign w:val="bottom"/>
            <w:tcBorders>
              <w:bottom w:val="single" w:sz="8" w:color="BCBEC0"/>
            </w:tcBorders>
          </w:tcPr>
          <w:p>
            <w:pPr>
              <w:jc w:val="right"/>
              <w:ind w:right="1"/>
              <w:spacing w:after="0"/>
              <w:rPr>
                <w:sz w:val="20"/>
                <w:szCs w:val="20"/>
                <w:color w:val="auto"/>
              </w:rPr>
            </w:pPr>
            <w:r>
              <w:rPr>
                <w:rFonts w:ascii="Arial" w:cs="Arial" w:eastAsia="Arial" w:hAnsi="Arial"/>
                <w:sz w:val="16"/>
                <w:szCs w:val="16"/>
                <w:color w:val="auto"/>
              </w:rPr>
              <w:t>345,136</w:t>
            </w:r>
          </w:p>
        </w:tc>
      </w:tr>
      <w:tr>
        <w:trPr>
          <w:trHeight w:val="236"/>
        </w:trPr>
        <w:tc>
          <w:tcPr>
            <w:tcW w:w="2600" w:type="dxa"/>
            <w:vAlign w:val="bottom"/>
            <w:tcBorders>
              <w:bottom w:val="single" w:sz="8" w:color="BCBEC0"/>
            </w:tcBorders>
          </w:tcPr>
          <w:p>
            <w:pPr>
              <w:ind w:left="20"/>
              <w:spacing w:after="0"/>
              <w:rPr>
                <w:sz w:val="20"/>
                <w:szCs w:val="20"/>
                <w:color w:val="auto"/>
              </w:rPr>
            </w:pPr>
            <w:r>
              <w:rPr>
                <w:rFonts w:ascii="Arial" w:cs="Arial" w:eastAsia="Arial" w:hAnsi="Arial"/>
                <w:sz w:val="16"/>
                <w:szCs w:val="16"/>
                <w:b w:val="1"/>
                <w:bCs w:val="1"/>
                <w:color w:val="0C3471"/>
              </w:rPr>
              <w:t>Tracey C. Doi</w:t>
            </w:r>
          </w:p>
        </w:tc>
        <w:tc>
          <w:tcPr>
            <w:tcW w:w="1700" w:type="dxa"/>
            <w:vAlign w:val="bottom"/>
            <w:tcBorders>
              <w:bottom w:val="single" w:sz="8" w:color="BCBEC0"/>
            </w:tcBorders>
          </w:tcPr>
          <w:p>
            <w:pPr>
              <w:jc w:val="right"/>
              <w:ind w:right="202"/>
              <w:spacing w:after="0"/>
              <w:rPr>
                <w:sz w:val="20"/>
                <w:szCs w:val="20"/>
                <w:color w:val="auto"/>
              </w:rPr>
            </w:pPr>
            <w:r>
              <w:rPr>
                <w:rFonts w:ascii="Arial" w:cs="Arial" w:eastAsia="Arial" w:hAnsi="Arial"/>
                <w:sz w:val="16"/>
                <w:szCs w:val="16"/>
                <w:color w:val="auto"/>
              </w:rPr>
              <w:t>118,500</w:t>
            </w:r>
          </w:p>
        </w:tc>
        <w:tc>
          <w:tcPr>
            <w:tcW w:w="1020" w:type="dxa"/>
            <w:vAlign w:val="bottom"/>
            <w:tcBorders>
              <w:bottom w:val="single" w:sz="8" w:color="BCBEC0"/>
            </w:tcBorders>
          </w:tcPr>
          <w:p>
            <w:pPr>
              <w:jc w:val="right"/>
              <w:ind w:right="122"/>
              <w:spacing w:after="0"/>
              <w:rPr>
                <w:sz w:val="20"/>
                <w:szCs w:val="20"/>
                <w:color w:val="auto"/>
              </w:rPr>
            </w:pPr>
            <w:r>
              <w:rPr>
                <w:rFonts w:ascii="Arial" w:cs="Arial" w:eastAsia="Arial" w:hAnsi="Arial"/>
                <w:sz w:val="16"/>
                <w:szCs w:val="16"/>
                <w:color w:val="auto"/>
              </w:rPr>
              <w:t>164,957</w:t>
            </w:r>
          </w:p>
        </w:tc>
        <w:tc>
          <w:tcPr>
            <w:tcW w:w="900" w:type="dxa"/>
            <w:vAlign w:val="bottom"/>
            <w:tcBorders>
              <w:bottom w:val="single" w:sz="8" w:color="BCBEC0"/>
            </w:tcBorders>
          </w:tcPr>
          <w:p>
            <w:pPr>
              <w:jc w:val="center"/>
              <w:ind w:left="102"/>
              <w:spacing w:after="0"/>
              <w:rPr>
                <w:sz w:val="20"/>
                <w:szCs w:val="20"/>
                <w:color w:val="auto"/>
              </w:rPr>
            </w:pPr>
            <w:r>
              <w:rPr>
                <w:rFonts w:ascii="Arial" w:cs="Arial" w:eastAsia="Arial" w:hAnsi="Arial"/>
                <w:sz w:val="16"/>
                <w:szCs w:val="16"/>
                <w:color w:val="auto"/>
                <w:w w:val="99"/>
              </w:rPr>
              <w:t>—</w:t>
            </w:r>
          </w:p>
        </w:tc>
        <w:tc>
          <w:tcPr>
            <w:tcW w:w="1480" w:type="dxa"/>
            <w:vAlign w:val="bottom"/>
            <w:tcBorders>
              <w:bottom w:val="single" w:sz="8" w:color="BCBEC0"/>
            </w:tcBorders>
          </w:tcPr>
          <w:p>
            <w:pPr>
              <w:ind w:left="1020"/>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BCBEC0"/>
            </w:tcBorders>
          </w:tcPr>
          <w:p>
            <w:pPr>
              <w:ind w:left="1020"/>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BCBEC0"/>
            </w:tcBorders>
          </w:tcPr>
          <w:p>
            <w:pPr>
              <w:jc w:val="right"/>
              <w:ind w:right="142"/>
              <w:spacing w:after="0"/>
              <w:rPr>
                <w:sz w:val="20"/>
                <w:szCs w:val="20"/>
                <w:color w:val="auto"/>
              </w:rPr>
            </w:pPr>
            <w:r>
              <w:rPr>
                <w:rFonts w:ascii="Arial" w:cs="Arial" w:eastAsia="Arial" w:hAnsi="Arial"/>
                <w:sz w:val="16"/>
                <w:szCs w:val="16"/>
                <w:color w:val="auto"/>
              </w:rPr>
              <w:t>53,376</w:t>
            </w:r>
          </w:p>
        </w:tc>
        <w:tc>
          <w:tcPr>
            <w:tcW w:w="820" w:type="dxa"/>
            <w:vAlign w:val="bottom"/>
            <w:tcBorders>
              <w:bottom w:val="single" w:sz="8" w:color="BCBEC0"/>
            </w:tcBorders>
          </w:tcPr>
          <w:p>
            <w:pPr>
              <w:jc w:val="right"/>
              <w:ind w:right="1"/>
              <w:spacing w:after="0"/>
              <w:rPr>
                <w:sz w:val="20"/>
                <w:szCs w:val="20"/>
                <w:color w:val="auto"/>
              </w:rPr>
            </w:pPr>
            <w:r>
              <w:rPr>
                <w:rFonts w:ascii="Arial" w:cs="Arial" w:eastAsia="Arial" w:hAnsi="Arial"/>
                <w:sz w:val="16"/>
                <w:szCs w:val="16"/>
                <w:color w:val="auto"/>
              </w:rPr>
              <w:t>336,833</w:t>
            </w:r>
          </w:p>
        </w:tc>
      </w:tr>
      <w:tr>
        <w:trPr>
          <w:trHeight w:val="237"/>
        </w:trPr>
        <w:tc>
          <w:tcPr>
            <w:tcW w:w="2600" w:type="dxa"/>
            <w:vAlign w:val="bottom"/>
            <w:tcBorders>
              <w:bottom w:val="single" w:sz="8" w:color="BCBEC0"/>
            </w:tcBorders>
          </w:tcPr>
          <w:p>
            <w:pPr>
              <w:ind w:left="20"/>
              <w:spacing w:after="0"/>
              <w:rPr>
                <w:sz w:val="20"/>
                <w:szCs w:val="20"/>
                <w:color w:val="auto"/>
              </w:rPr>
            </w:pPr>
            <w:r>
              <w:rPr>
                <w:rFonts w:ascii="Arial" w:cs="Arial" w:eastAsia="Arial" w:hAnsi="Arial"/>
                <w:sz w:val="16"/>
                <w:szCs w:val="16"/>
                <w:b w:val="1"/>
                <w:bCs w:val="1"/>
                <w:color w:val="0C3471"/>
              </w:rPr>
              <w:t>T. Michael Glenn</w:t>
            </w:r>
          </w:p>
        </w:tc>
        <w:tc>
          <w:tcPr>
            <w:tcW w:w="1700" w:type="dxa"/>
            <w:vAlign w:val="bottom"/>
            <w:tcBorders>
              <w:bottom w:val="single" w:sz="8" w:color="BCBEC0"/>
            </w:tcBorders>
          </w:tcPr>
          <w:p>
            <w:pPr>
              <w:jc w:val="right"/>
              <w:ind w:right="202"/>
              <w:spacing w:after="0"/>
              <w:rPr>
                <w:sz w:val="20"/>
                <w:szCs w:val="20"/>
                <w:color w:val="auto"/>
              </w:rPr>
            </w:pPr>
            <w:r>
              <w:rPr>
                <w:rFonts w:ascii="Arial" w:cs="Arial" w:eastAsia="Arial" w:hAnsi="Arial"/>
                <w:sz w:val="16"/>
                <w:szCs w:val="16"/>
                <w:color w:val="auto"/>
              </w:rPr>
              <w:t>140,000</w:t>
            </w:r>
          </w:p>
        </w:tc>
        <w:tc>
          <w:tcPr>
            <w:tcW w:w="1020" w:type="dxa"/>
            <w:vAlign w:val="bottom"/>
            <w:tcBorders>
              <w:bottom w:val="single" w:sz="8" w:color="BCBEC0"/>
            </w:tcBorders>
          </w:tcPr>
          <w:p>
            <w:pPr>
              <w:jc w:val="right"/>
              <w:ind w:right="122"/>
              <w:spacing w:after="0"/>
              <w:rPr>
                <w:sz w:val="20"/>
                <w:szCs w:val="20"/>
                <w:color w:val="auto"/>
              </w:rPr>
            </w:pPr>
            <w:r>
              <w:rPr>
                <w:rFonts w:ascii="Arial" w:cs="Arial" w:eastAsia="Arial" w:hAnsi="Arial"/>
                <w:sz w:val="16"/>
                <w:szCs w:val="16"/>
                <w:color w:val="auto"/>
              </w:rPr>
              <w:t>164,957</w:t>
            </w:r>
          </w:p>
        </w:tc>
        <w:tc>
          <w:tcPr>
            <w:tcW w:w="900" w:type="dxa"/>
            <w:vAlign w:val="bottom"/>
            <w:tcBorders>
              <w:bottom w:val="single" w:sz="8" w:color="BCBEC0"/>
            </w:tcBorders>
          </w:tcPr>
          <w:p>
            <w:pPr>
              <w:jc w:val="center"/>
              <w:ind w:left="102"/>
              <w:spacing w:after="0"/>
              <w:rPr>
                <w:sz w:val="20"/>
                <w:szCs w:val="20"/>
                <w:color w:val="auto"/>
              </w:rPr>
            </w:pPr>
            <w:r>
              <w:rPr>
                <w:rFonts w:ascii="Arial" w:cs="Arial" w:eastAsia="Arial" w:hAnsi="Arial"/>
                <w:sz w:val="16"/>
                <w:szCs w:val="16"/>
                <w:color w:val="auto"/>
                <w:w w:val="99"/>
              </w:rPr>
              <w:t>—</w:t>
            </w:r>
          </w:p>
        </w:tc>
        <w:tc>
          <w:tcPr>
            <w:tcW w:w="1480" w:type="dxa"/>
            <w:vAlign w:val="bottom"/>
            <w:tcBorders>
              <w:bottom w:val="single" w:sz="8" w:color="BCBEC0"/>
            </w:tcBorders>
          </w:tcPr>
          <w:p>
            <w:pPr>
              <w:ind w:left="1020"/>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BCBEC0"/>
            </w:tcBorders>
          </w:tcPr>
          <w:p>
            <w:pPr>
              <w:ind w:left="1020"/>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BCBEC0"/>
            </w:tcBorders>
          </w:tcPr>
          <w:p>
            <w:pPr>
              <w:jc w:val="right"/>
              <w:ind w:right="142"/>
              <w:spacing w:after="0"/>
              <w:rPr>
                <w:sz w:val="20"/>
                <w:szCs w:val="20"/>
                <w:color w:val="auto"/>
              </w:rPr>
            </w:pPr>
            <w:r>
              <w:rPr>
                <w:rFonts w:ascii="Arial" w:cs="Arial" w:eastAsia="Arial" w:hAnsi="Arial"/>
                <w:sz w:val="16"/>
                <w:szCs w:val="16"/>
                <w:color w:val="auto"/>
              </w:rPr>
              <w:t>167,844</w:t>
            </w:r>
          </w:p>
        </w:tc>
        <w:tc>
          <w:tcPr>
            <w:tcW w:w="820" w:type="dxa"/>
            <w:vAlign w:val="bottom"/>
            <w:tcBorders>
              <w:bottom w:val="single" w:sz="8" w:color="BCBEC0"/>
            </w:tcBorders>
          </w:tcPr>
          <w:p>
            <w:pPr>
              <w:jc w:val="right"/>
              <w:ind w:right="1"/>
              <w:spacing w:after="0"/>
              <w:rPr>
                <w:sz w:val="20"/>
                <w:szCs w:val="20"/>
                <w:color w:val="auto"/>
              </w:rPr>
            </w:pPr>
            <w:r>
              <w:rPr>
                <w:rFonts w:ascii="Arial" w:cs="Arial" w:eastAsia="Arial" w:hAnsi="Arial"/>
                <w:sz w:val="16"/>
                <w:szCs w:val="16"/>
                <w:color w:val="auto"/>
              </w:rPr>
              <w:t>472,801</w:t>
            </w:r>
          </w:p>
        </w:tc>
      </w:tr>
      <w:tr>
        <w:trPr>
          <w:trHeight w:val="237"/>
        </w:trPr>
        <w:tc>
          <w:tcPr>
            <w:tcW w:w="2600" w:type="dxa"/>
            <w:vAlign w:val="bottom"/>
            <w:tcBorders>
              <w:bottom w:val="single" w:sz="8" w:color="BCBEC0"/>
            </w:tcBorders>
          </w:tcPr>
          <w:p>
            <w:pPr>
              <w:ind w:left="20"/>
              <w:spacing w:after="0"/>
              <w:rPr>
                <w:sz w:val="20"/>
                <w:szCs w:val="20"/>
                <w:color w:val="auto"/>
              </w:rPr>
            </w:pPr>
            <w:r>
              <w:rPr>
                <w:rFonts w:ascii="Arial" w:cs="Arial" w:eastAsia="Arial" w:hAnsi="Arial"/>
                <w:sz w:val="16"/>
                <w:szCs w:val="16"/>
                <w:b w:val="1"/>
                <w:bCs w:val="1"/>
                <w:color w:val="0C3471"/>
              </w:rPr>
              <w:t>Theodore L. Harris</w:t>
            </w:r>
          </w:p>
        </w:tc>
        <w:tc>
          <w:tcPr>
            <w:tcW w:w="1700" w:type="dxa"/>
            <w:vAlign w:val="bottom"/>
            <w:tcBorders>
              <w:bottom w:val="single" w:sz="8" w:color="BCBEC0"/>
            </w:tcBorders>
          </w:tcPr>
          <w:p>
            <w:pPr>
              <w:jc w:val="right"/>
              <w:ind w:right="202"/>
              <w:spacing w:after="0"/>
              <w:rPr>
                <w:sz w:val="20"/>
                <w:szCs w:val="20"/>
                <w:color w:val="auto"/>
              </w:rPr>
            </w:pPr>
            <w:r>
              <w:rPr>
                <w:rFonts w:ascii="Arial" w:cs="Arial" w:eastAsia="Arial" w:hAnsi="Arial"/>
                <w:sz w:val="16"/>
                <w:szCs w:val="16"/>
                <w:color w:val="auto"/>
              </w:rPr>
              <w:t>120,000</w:t>
            </w:r>
          </w:p>
        </w:tc>
        <w:tc>
          <w:tcPr>
            <w:tcW w:w="1020" w:type="dxa"/>
            <w:vAlign w:val="bottom"/>
            <w:tcBorders>
              <w:bottom w:val="single" w:sz="8" w:color="BCBEC0"/>
            </w:tcBorders>
          </w:tcPr>
          <w:p>
            <w:pPr>
              <w:jc w:val="right"/>
              <w:ind w:right="122"/>
              <w:spacing w:after="0"/>
              <w:rPr>
                <w:sz w:val="20"/>
                <w:szCs w:val="20"/>
                <w:color w:val="auto"/>
              </w:rPr>
            </w:pPr>
            <w:r>
              <w:rPr>
                <w:rFonts w:ascii="Arial" w:cs="Arial" w:eastAsia="Arial" w:hAnsi="Arial"/>
                <w:sz w:val="16"/>
                <w:szCs w:val="16"/>
                <w:color w:val="auto"/>
              </w:rPr>
              <w:t>164,957</w:t>
            </w:r>
          </w:p>
        </w:tc>
        <w:tc>
          <w:tcPr>
            <w:tcW w:w="900" w:type="dxa"/>
            <w:vAlign w:val="bottom"/>
            <w:tcBorders>
              <w:bottom w:val="single" w:sz="8" w:color="BCBEC0"/>
            </w:tcBorders>
          </w:tcPr>
          <w:p>
            <w:pPr>
              <w:jc w:val="center"/>
              <w:ind w:left="102"/>
              <w:spacing w:after="0"/>
              <w:rPr>
                <w:sz w:val="20"/>
                <w:szCs w:val="20"/>
                <w:color w:val="auto"/>
              </w:rPr>
            </w:pPr>
            <w:r>
              <w:rPr>
                <w:rFonts w:ascii="Arial" w:cs="Arial" w:eastAsia="Arial" w:hAnsi="Arial"/>
                <w:sz w:val="16"/>
                <w:szCs w:val="16"/>
                <w:color w:val="auto"/>
                <w:w w:val="99"/>
              </w:rPr>
              <w:t>—</w:t>
            </w:r>
          </w:p>
        </w:tc>
        <w:tc>
          <w:tcPr>
            <w:tcW w:w="1480" w:type="dxa"/>
            <w:vAlign w:val="bottom"/>
            <w:tcBorders>
              <w:bottom w:val="single" w:sz="8" w:color="BCBEC0"/>
            </w:tcBorders>
          </w:tcPr>
          <w:p>
            <w:pPr>
              <w:ind w:left="1020"/>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BCBEC0"/>
            </w:tcBorders>
          </w:tcPr>
          <w:p>
            <w:pPr>
              <w:ind w:left="1020"/>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BCBEC0"/>
            </w:tcBorders>
          </w:tcPr>
          <w:p>
            <w:pPr>
              <w:jc w:val="right"/>
              <w:ind w:right="142"/>
              <w:spacing w:after="0"/>
              <w:rPr>
                <w:sz w:val="20"/>
                <w:szCs w:val="20"/>
                <w:color w:val="auto"/>
              </w:rPr>
            </w:pPr>
            <w:r>
              <w:rPr>
                <w:rFonts w:ascii="Arial" w:cs="Arial" w:eastAsia="Arial" w:hAnsi="Arial"/>
                <w:sz w:val="16"/>
                <w:szCs w:val="16"/>
                <w:color w:val="auto"/>
              </w:rPr>
              <w:t>68,793</w:t>
            </w:r>
          </w:p>
        </w:tc>
        <w:tc>
          <w:tcPr>
            <w:tcW w:w="820" w:type="dxa"/>
            <w:vAlign w:val="bottom"/>
            <w:tcBorders>
              <w:bottom w:val="single" w:sz="8" w:color="BCBEC0"/>
            </w:tcBorders>
          </w:tcPr>
          <w:p>
            <w:pPr>
              <w:jc w:val="right"/>
              <w:ind w:right="1"/>
              <w:spacing w:after="0"/>
              <w:rPr>
                <w:sz w:val="20"/>
                <w:szCs w:val="20"/>
                <w:color w:val="auto"/>
              </w:rPr>
            </w:pPr>
            <w:r>
              <w:rPr>
                <w:rFonts w:ascii="Arial" w:cs="Arial" w:eastAsia="Arial" w:hAnsi="Arial"/>
                <w:sz w:val="16"/>
                <w:szCs w:val="16"/>
                <w:color w:val="auto"/>
              </w:rPr>
              <w:t>353,750</w:t>
            </w:r>
          </w:p>
        </w:tc>
      </w:tr>
      <w:tr>
        <w:trPr>
          <w:trHeight w:val="237"/>
        </w:trPr>
        <w:tc>
          <w:tcPr>
            <w:tcW w:w="2600" w:type="dxa"/>
            <w:vAlign w:val="bottom"/>
            <w:tcBorders>
              <w:bottom w:val="single" w:sz="8" w:color="BCBEC0"/>
            </w:tcBorders>
          </w:tcPr>
          <w:p>
            <w:pPr>
              <w:ind w:left="20"/>
              <w:spacing w:after="0"/>
              <w:rPr>
                <w:sz w:val="20"/>
                <w:szCs w:val="20"/>
                <w:color w:val="auto"/>
              </w:rPr>
            </w:pPr>
            <w:r>
              <w:rPr>
                <w:rFonts w:ascii="Arial" w:cs="Arial" w:eastAsia="Arial" w:hAnsi="Arial"/>
                <w:sz w:val="16"/>
                <w:szCs w:val="16"/>
                <w:b w:val="1"/>
                <w:bCs w:val="1"/>
                <w:color w:val="0C3471"/>
              </w:rPr>
              <w:t>David A. Jones</w:t>
            </w:r>
          </w:p>
        </w:tc>
        <w:tc>
          <w:tcPr>
            <w:tcW w:w="1700" w:type="dxa"/>
            <w:vAlign w:val="bottom"/>
            <w:tcBorders>
              <w:bottom w:val="single" w:sz="8" w:color="BCBEC0"/>
            </w:tcBorders>
          </w:tcPr>
          <w:p>
            <w:pPr>
              <w:jc w:val="right"/>
              <w:ind w:right="202"/>
              <w:spacing w:after="0"/>
              <w:rPr>
                <w:sz w:val="20"/>
                <w:szCs w:val="20"/>
                <w:color w:val="auto"/>
              </w:rPr>
            </w:pPr>
            <w:r>
              <w:rPr>
                <w:rFonts w:ascii="Arial" w:cs="Arial" w:eastAsia="Arial" w:hAnsi="Arial"/>
                <w:sz w:val="16"/>
                <w:szCs w:val="16"/>
                <w:color w:val="auto"/>
              </w:rPr>
              <w:t>300,000</w:t>
            </w:r>
          </w:p>
        </w:tc>
        <w:tc>
          <w:tcPr>
            <w:tcW w:w="1020" w:type="dxa"/>
            <w:vAlign w:val="bottom"/>
            <w:tcBorders>
              <w:bottom w:val="single" w:sz="8" w:color="BCBEC0"/>
            </w:tcBorders>
          </w:tcPr>
          <w:p>
            <w:pPr>
              <w:jc w:val="right"/>
              <w:ind w:right="122"/>
              <w:spacing w:after="0"/>
              <w:rPr>
                <w:sz w:val="20"/>
                <w:szCs w:val="20"/>
                <w:color w:val="auto"/>
              </w:rPr>
            </w:pPr>
            <w:r>
              <w:rPr>
                <w:rFonts w:ascii="Arial" w:cs="Arial" w:eastAsia="Arial" w:hAnsi="Arial"/>
                <w:sz w:val="16"/>
                <w:szCs w:val="16"/>
                <w:color w:val="auto"/>
              </w:rPr>
              <w:t>164,957</w:t>
            </w:r>
          </w:p>
        </w:tc>
        <w:tc>
          <w:tcPr>
            <w:tcW w:w="900" w:type="dxa"/>
            <w:vAlign w:val="bottom"/>
            <w:tcBorders>
              <w:bottom w:val="single" w:sz="8" w:color="BCBEC0"/>
            </w:tcBorders>
          </w:tcPr>
          <w:p>
            <w:pPr>
              <w:jc w:val="center"/>
              <w:ind w:left="102"/>
              <w:spacing w:after="0"/>
              <w:rPr>
                <w:sz w:val="20"/>
                <w:szCs w:val="20"/>
                <w:color w:val="auto"/>
              </w:rPr>
            </w:pPr>
            <w:r>
              <w:rPr>
                <w:rFonts w:ascii="Arial" w:cs="Arial" w:eastAsia="Arial" w:hAnsi="Arial"/>
                <w:sz w:val="16"/>
                <w:szCs w:val="16"/>
                <w:color w:val="auto"/>
                <w:w w:val="99"/>
              </w:rPr>
              <w:t>—</w:t>
            </w:r>
          </w:p>
        </w:tc>
        <w:tc>
          <w:tcPr>
            <w:tcW w:w="1480" w:type="dxa"/>
            <w:vAlign w:val="bottom"/>
            <w:tcBorders>
              <w:bottom w:val="single" w:sz="8" w:color="BCBEC0"/>
            </w:tcBorders>
          </w:tcPr>
          <w:p>
            <w:pPr>
              <w:ind w:left="1020"/>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BCBEC0"/>
            </w:tcBorders>
          </w:tcPr>
          <w:p>
            <w:pPr>
              <w:ind w:left="1020"/>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BCBEC0"/>
            </w:tcBorders>
          </w:tcPr>
          <w:p>
            <w:pPr>
              <w:jc w:val="right"/>
              <w:ind w:right="142"/>
              <w:spacing w:after="0"/>
              <w:rPr>
                <w:sz w:val="20"/>
                <w:szCs w:val="20"/>
                <w:color w:val="auto"/>
              </w:rPr>
            </w:pPr>
            <w:r>
              <w:rPr>
                <w:rFonts w:ascii="Arial" w:cs="Arial" w:eastAsia="Arial" w:hAnsi="Arial"/>
                <w:sz w:val="16"/>
                <w:szCs w:val="16"/>
                <w:color w:val="auto"/>
              </w:rPr>
              <w:t>120,990</w:t>
            </w:r>
          </w:p>
        </w:tc>
        <w:tc>
          <w:tcPr>
            <w:tcW w:w="820" w:type="dxa"/>
            <w:vAlign w:val="bottom"/>
            <w:tcBorders>
              <w:bottom w:val="single" w:sz="8" w:color="BCBEC0"/>
            </w:tcBorders>
          </w:tcPr>
          <w:p>
            <w:pPr>
              <w:jc w:val="right"/>
              <w:ind w:right="1"/>
              <w:spacing w:after="0"/>
              <w:rPr>
                <w:sz w:val="20"/>
                <w:szCs w:val="20"/>
                <w:color w:val="auto"/>
              </w:rPr>
            </w:pPr>
            <w:r>
              <w:rPr>
                <w:rFonts w:ascii="Arial" w:cs="Arial" w:eastAsia="Arial" w:hAnsi="Arial"/>
                <w:sz w:val="16"/>
                <w:szCs w:val="16"/>
                <w:color w:val="auto"/>
              </w:rPr>
              <w:t>585,947</w:t>
            </w:r>
          </w:p>
        </w:tc>
      </w:tr>
      <w:tr>
        <w:trPr>
          <w:trHeight w:val="236"/>
        </w:trPr>
        <w:tc>
          <w:tcPr>
            <w:tcW w:w="2600" w:type="dxa"/>
            <w:vAlign w:val="bottom"/>
            <w:tcBorders>
              <w:bottom w:val="single" w:sz="8" w:color="BCBEC0"/>
            </w:tcBorders>
          </w:tcPr>
          <w:p>
            <w:pPr>
              <w:ind w:left="20"/>
              <w:spacing w:after="0"/>
              <w:rPr>
                <w:sz w:val="20"/>
                <w:szCs w:val="20"/>
                <w:color w:val="auto"/>
              </w:rPr>
            </w:pPr>
            <w:r>
              <w:rPr>
                <w:rFonts w:ascii="Arial" w:cs="Arial" w:eastAsia="Arial" w:hAnsi="Arial"/>
                <w:sz w:val="16"/>
                <w:szCs w:val="16"/>
                <w:b w:val="1"/>
                <w:bCs w:val="1"/>
                <w:color w:val="0C3471"/>
              </w:rPr>
              <w:t>Gregory E. Knight</w:t>
            </w:r>
          </w:p>
        </w:tc>
        <w:tc>
          <w:tcPr>
            <w:tcW w:w="1700" w:type="dxa"/>
            <w:vAlign w:val="bottom"/>
            <w:tcBorders>
              <w:bottom w:val="single" w:sz="8" w:color="BCBEC0"/>
            </w:tcBorders>
          </w:tcPr>
          <w:p>
            <w:pPr>
              <w:jc w:val="right"/>
              <w:ind w:right="202"/>
              <w:spacing w:after="0"/>
              <w:rPr>
                <w:sz w:val="20"/>
                <w:szCs w:val="20"/>
                <w:color w:val="auto"/>
              </w:rPr>
            </w:pPr>
            <w:r>
              <w:rPr>
                <w:rFonts w:ascii="Arial" w:cs="Arial" w:eastAsia="Arial" w:hAnsi="Arial"/>
                <w:sz w:val="16"/>
                <w:szCs w:val="16"/>
                <w:color w:val="auto"/>
              </w:rPr>
              <w:t>118,500</w:t>
            </w:r>
          </w:p>
        </w:tc>
        <w:tc>
          <w:tcPr>
            <w:tcW w:w="1020" w:type="dxa"/>
            <w:vAlign w:val="bottom"/>
            <w:tcBorders>
              <w:bottom w:val="single" w:sz="8" w:color="BCBEC0"/>
            </w:tcBorders>
          </w:tcPr>
          <w:p>
            <w:pPr>
              <w:jc w:val="right"/>
              <w:ind w:right="122"/>
              <w:spacing w:after="0"/>
              <w:rPr>
                <w:sz w:val="20"/>
                <w:szCs w:val="20"/>
                <w:color w:val="auto"/>
              </w:rPr>
            </w:pPr>
            <w:r>
              <w:rPr>
                <w:rFonts w:ascii="Arial" w:cs="Arial" w:eastAsia="Arial" w:hAnsi="Arial"/>
                <w:sz w:val="16"/>
                <w:szCs w:val="16"/>
                <w:color w:val="auto"/>
              </w:rPr>
              <w:t>164,957</w:t>
            </w:r>
          </w:p>
        </w:tc>
        <w:tc>
          <w:tcPr>
            <w:tcW w:w="900" w:type="dxa"/>
            <w:vAlign w:val="bottom"/>
            <w:tcBorders>
              <w:bottom w:val="single" w:sz="8" w:color="BCBEC0"/>
            </w:tcBorders>
          </w:tcPr>
          <w:p>
            <w:pPr>
              <w:jc w:val="center"/>
              <w:ind w:left="102"/>
              <w:spacing w:after="0"/>
              <w:rPr>
                <w:sz w:val="20"/>
                <w:szCs w:val="20"/>
                <w:color w:val="auto"/>
              </w:rPr>
            </w:pPr>
            <w:r>
              <w:rPr>
                <w:rFonts w:ascii="Arial" w:cs="Arial" w:eastAsia="Arial" w:hAnsi="Arial"/>
                <w:sz w:val="16"/>
                <w:szCs w:val="16"/>
                <w:color w:val="auto"/>
                <w:w w:val="99"/>
              </w:rPr>
              <w:t>—</w:t>
            </w:r>
          </w:p>
        </w:tc>
        <w:tc>
          <w:tcPr>
            <w:tcW w:w="1480" w:type="dxa"/>
            <w:vAlign w:val="bottom"/>
            <w:tcBorders>
              <w:bottom w:val="single" w:sz="8" w:color="BCBEC0"/>
            </w:tcBorders>
          </w:tcPr>
          <w:p>
            <w:pPr>
              <w:ind w:left="1020"/>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BCBEC0"/>
            </w:tcBorders>
          </w:tcPr>
          <w:p>
            <w:pPr>
              <w:ind w:left="1020"/>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BCBEC0"/>
            </w:tcBorders>
          </w:tcPr>
          <w:p>
            <w:pPr>
              <w:jc w:val="right"/>
              <w:ind w:right="142"/>
              <w:spacing w:after="0"/>
              <w:rPr>
                <w:sz w:val="20"/>
                <w:szCs w:val="20"/>
                <w:color w:val="auto"/>
              </w:rPr>
            </w:pPr>
            <w:r>
              <w:rPr>
                <w:rFonts w:ascii="Arial" w:cs="Arial" w:eastAsia="Arial" w:hAnsi="Arial"/>
                <w:sz w:val="16"/>
                <w:szCs w:val="16"/>
                <w:color w:val="auto"/>
              </w:rPr>
              <w:t>62,281</w:t>
            </w:r>
          </w:p>
        </w:tc>
        <w:tc>
          <w:tcPr>
            <w:tcW w:w="820" w:type="dxa"/>
            <w:vAlign w:val="bottom"/>
            <w:tcBorders>
              <w:bottom w:val="single" w:sz="8" w:color="BCBEC0"/>
            </w:tcBorders>
          </w:tcPr>
          <w:p>
            <w:pPr>
              <w:jc w:val="right"/>
              <w:ind w:right="1"/>
              <w:spacing w:after="0"/>
              <w:rPr>
                <w:sz w:val="20"/>
                <w:szCs w:val="20"/>
                <w:color w:val="auto"/>
              </w:rPr>
            </w:pPr>
            <w:r>
              <w:rPr>
                <w:rFonts w:ascii="Arial" w:cs="Arial" w:eastAsia="Arial" w:hAnsi="Arial"/>
                <w:sz w:val="16"/>
                <w:szCs w:val="16"/>
                <w:color w:val="auto"/>
              </w:rPr>
              <w:t>345,738</w:t>
            </w:r>
          </w:p>
        </w:tc>
      </w:tr>
      <w:tr>
        <w:trPr>
          <w:trHeight w:val="237"/>
        </w:trPr>
        <w:tc>
          <w:tcPr>
            <w:tcW w:w="2600" w:type="dxa"/>
            <w:vAlign w:val="bottom"/>
            <w:tcBorders>
              <w:bottom w:val="single" w:sz="8" w:color="BCBEC0"/>
            </w:tcBorders>
          </w:tcPr>
          <w:p>
            <w:pPr>
              <w:ind w:left="20"/>
              <w:spacing w:after="0"/>
              <w:rPr>
                <w:sz w:val="20"/>
                <w:szCs w:val="20"/>
                <w:color w:val="auto"/>
              </w:rPr>
            </w:pPr>
            <w:r>
              <w:rPr>
                <w:rFonts w:ascii="Arial" w:cs="Arial" w:eastAsia="Arial" w:hAnsi="Arial"/>
                <w:sz w:val="16"/>
                <w:szCs w:val="16"/>
                <w:b w:val="1"/>
                <w:bCs w:val="1"/>
                <w:color w:val="0C3471"/>
              </w:rPr>
              <w:t>Michael T. Speetzen</w:t>
            </w:r>
          </w:p>
        </w:tc>
        <w:tc>
          <w:tcPr>
            <w:tcW w:w="1700" w:type="dxa"/>
            <w:vAlign w:val="bottom"/>
            <w:tcBorders>
              <w:bottom w:val="single" w:sz="8" w:color="BCBEC0"/>
            </w:tcBorders>
          </w:tcPr>
          <w:p>
            <w:pPr>
              <w:jc w:val="right"/>
              <w:ind w:right="202"/>
              <w:spacing w:after="0"/>
              <w:rPr>
                <w:sz w:val="20"/>
                <w:szCs w:val="20"/>
                <w:color w:val="auto"/>
              </w:rPr>
            </w:pPr>
            <w:r>
              <w:rPr>
                <w:rFonts w:ascii="Arial" w:cs="Arial" w:eastAsia="Arial" w:hAnsi="Arial"/>
                <w:sz w:val="16"/>
                <w:szCs w:val="16"/>
                <w:color w:val="auto"/>
              </w:rPr>
              <w:t>143,500</w:t>
            </w:r>
          </w:p>
        </w:tc>
        <w:tc>
          <w:tcPr>
            <w:tcW w:w="1020" w:type="dxa"/>
            <w:vAlign w:val="bottom"/>
            <w:tcBorders>
              <w:bottom w:val="single" w:sz="8" w:color="BCBEC0"/>
            </w:tcBorders>
          </w:tcPr>
          <w:p>
            <w:pPr>
              <w:jc w:val="right"/>
              <w:ind w:right="122"/>
              <w:spacing w:after="0"/>
              <w:rPr>
                <w:sz w:val="20"/>
                <w:szCs w:val="20"/>
                <w:color w:val="auto"/>
              </w:rPr>
            </w:pPr>
            <w:r>
              <w:rPr>
                <w:rFonts w:ascii="Arial" w:cs="Arial" w:eastAsia="Arial" w:hAnsi="Arial"/>
                <w:sz w:val="16"/>
                <w:szCs w:val="16"/>
                <w:color w:val="auto"/>
              </w:rPr>
              <w:t>164,957</w:t>
            </w:r>
          </w:p>
        </w:tc>
        <w:tc>
          <w:tcPr>
            <w:tcW w:w="900" w:type="dxa"/>
            <w:vAlign w:val="bottom"/>
            <w:tcBorders>
              <w:bottom w:val="single" w:sz="8" w:color="BCBEC0"/>
            </w:tcBorders>
          </w:tcPr>
          <w:p>
            <w:pPr>
              <w:jc w:val="center"/>
              <w:ind w:left="102"/>
              <w:spacing w:after="0"/>
              <w:rPr>
                <w:sz w:val="20"/>
                <w:szCs w:val="20"/>
                <w:color w:val="auto"/>
              </w:rPr>
            </w:pPr>
            <w:r>
              <w:rPr>
                <w:rFonts w:ascii="Arial" w:cs="Arial" w:eastAsia="Arial" w:hAnsi="Arial"/>
                <w:sz w:val="16"/>
                <w:szCs w:val="16"/>
                <w:color w:val="auto"/>
                <w:w w:val="99"/>
              </w:rPr>
              <w:t>—</w:t>
            </w:r>
          </w:p>
        </w:tc>
        <w:tc>
          <w:tcPr>
            <w:tcW w:w="1480" w:type="dxa"/>
            <w:vAlign w:val="bottom"/>
            <w:tcBorders>
              <w:bottom w:val="single" w:sz="8" w:color="BCBEC0"/>
            </w:tcBorders>
          </w:tcPr>
          <w:p>
            <w:pPr>
              <w:ind w:left="1020"/>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BCBEC0"/>
            </w:tcBorders>
          </w:tcPr>
          <w:p>
            <w:pPr>
              <w:ind w:left="1020"/>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BCBEC0"/>
            </w:tcBorders>
          </w:tcPr>
          <w:p>
            <w:pPr>
              <w:jc w:val="right"/>
              <w:ind w:right="142"/>
              <w:spacing w:after="0"/>
              <w:rPr>
                <w:sz w:val="20"/>
                <w:szCs w:val="20"/>
                <w:color w:val="auto"/>
              </w:rPr>
            </w:pPr>
            <w:r>
              <w:rPr>
                <w:rFonts w:ascii="Arial" w:cs="Arial" w:eastAsia="Arial" w:hAnsi="Arial"/>
                <w:sz w:val="16"/>
                <w:szCs w:val="16"/>
                <w:color w:val="auto"/>
              </w:rPr>
              <w:t>68,082</w:t>
            </w:r>
          </w:p>
        </w:tc>
        <w:tc>
          <w:tcPr>
            <w:tcW w:w="820" w:type="dxa"/>
            <w:vAlign w:val="bottom"/>
            <w:tcBorders>
              <w:bottom w:val="single" w:sz="8" w:color="BCBEC0"/>
            </w:tcBorders>
          </w:tcPr>
          <w:p>
            <w:pPr>
              <w:jc w:val="right"/>
              <w:ind w:right="1"/>
              <w:spacing w:after="0"/>
              <w:rPr>
                <w:sz w:val="20"/>
                <w:szCs w:val="20"/>
                <w:color w:val="auto"/>
              </w:rPr>
            </w:pPr>
            <w:r>
              <w:rPr>
                <w:rFonts w:ascii="Arial" w:cs="Arial" w:eastAsia="Arial" w:hAnsi="Arial"/>
                <w:sz w:val="16"/>
                <w:szCs w:val="16"/>
                <w:color w:val="auto"/>
              </w:rPr>
              <w:t>376,539</w:t>
            </w:r>
          </w:p>
        </w:tc>
      </w:tr>
      <w:tr>
        <w:trPr>
          <w:trHeight w:val="237"/>
        </w:trPr>
        <w:tc>
          <w:tcPr>
            <w:tcW w:w="2600" w:type="dxa"/>
            <w:vAlign w:val="bottom"/>
            <w:tcBorders>
              <w:bottom w:val="single" w:sz="8" w:color="0C3471"/>
            </w:tcBorders>
          </w:tcPr>
          <w:p>
            <w:pPr>
              <w:ind w:left="20"/>
              <w:spacing w:after="0"/>
              <w:rPr>
                <w:sz w:val="20"/>
                <w:szCs w:val="20"/>
                <w:color w:val="auto"/>
              </w:rPr>
            </w:pPr>
            <w:r>
              <w:rPr>
                <w:rFonts w:ascii="Arial" w:cs="Arial" w:eastAsia="Arial" w:hAnsi="Arial"/>
                <w:sz w:val="16"/>
                <w:szCs w:val="16"/>
                <w:b w:val="1"/>
                <w:bCs w:val="1"/>
                <w:color w:val="0C3471"/>
              </w:rPr>
              <w:t>Billie I. Williamson</w:t>
            </w:r>
          </w:p>
        </w:tc>
        <w:tc>
          <w:tcPr>
            <w:tcW w:w="1700" w:type="dxa"/>
            <w:vAlign w:val="bottom"/>
            <w:tcBorders>
              <w:bottom w:val="single" w:sz="8" w:color="0C3471"/>
            </w:tcBorders>
          </w:tcPr>
          <w:p>
            <w:pPr>
              <w:jc w:val="right"/>
              <w:ind w:right="202"/>
              <w:spacing w:after="0"/>
              <w:rPr>
                <w:sz w:val="20"/>
                <w:szCs w:val="20"/>
                <w:color w:val="auto"/>
              </w:rPr>
            </w:pPr>
            <w:r>
              <w:rPr>
                <w:rFonts w:ascii="Arial" w:cs="Arial" w:eastAsia="Arial" w:hAnsi="Arial"/>
                <w:sz w:val="16"/>
                <w:szCs w:val="16"/>
                <w:color w:val="auto"/>
              </w:rPr>
              <w:t>140,000</w:t>
            </w:r>
          </w:p>
        </w:tc>
        <w:tc>
          <w:tcPr>
            <w:tcW w:w="1020" w:type="dxa"/>
            <w:vAlign w:val="bottom"/>
            <w:tcBorders>
              <w:bottom w:val="single" w:sz="8" w:color="0C3471"/>
            </w:tcBorders>
          </w:tcPr>
          <w:p>
            <w:pPr>
              <w:jc w:val="right"/>
              <w:ind w:right="122"/>
              <w:spacing w:after="0"/>
              <w:rPr>
                <w:sz w:val="20"/>
                <w:szCs w:val="20"/>
                <w:color w:val="auto"/>
              </w:rPr>
            </w:pPr>
            <w:r>
              <w:rPr>
                <w:rFonts w:ascii="Arial" w:cs="Arial" w:eastAsia="Arial" w:hAnsi="Arial"/>
                <w:sz w:val="16"/>
                <w:szCs w:val="16"/>
                <w:color w:val="auto"/>
              </w:rPr>
              <w:t>164,957</w:t>
            </w:r>
          </w:p>
        </w:tc>
        <w:tc>
          <w:tcPr>
            <w:tcW w:w="900" w:type="dxa"/>
            <w:vAlign w:val="bottom"/>
            <w:tcBorders>
              <w:bottom w:val="single" w:sz="8" w:color="0C3471"/>
            </w:tcBorders>
          </w:tcPr>
          <w:p>
            <w:pPr>
              <w:jc w:val="center"/>
              <w:ind w:left="102"/>
              <w:spacing w:after="0"/>
              <w:rPr>
                <w:sz w:val="20"/>
                <w:szCs w:val="20"/>
                <w:color w:val="auto"/>
              </w:rPr>
            </w:pPr>
            <w:r>
              <w:rPr>
                <w:rFonts w:ascii="Arial" w:cs="Arial" w:eastAsia="Arial" w:hAnsi="Arial"/>
                <w:sz w:val="16"/>
                <w:szCs w:val="16"/>
                <w:color w:val="auto"/>
                <w:w w:val="99"/>
              </w:rPr>
              <w:t>—</w:t>
            </w:r>
          </w:p>
        </w:tc>
        <w:tc>
          <w:tcPr>
            <w:tcW w:w="1480" w:type="dxa"/>
            <w:vAlign w:val="bottom"/>
            <w:tcBorders>
              <w:bottom w:val="single" w:sz="8" w:color="0C3471"/>
            </w:tcBorders>
          </w:tcPr>
          <w:p>
            <w:pPr>
              <w:ind w:left="1020"/>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0C3471"/>
            </w:tcBorders>
          </w:tcPr>
          <w:p>
            <w:pPr>
              <w:ind w:left="1020"/>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0C3471"/>
            </w:tcBorders>
          </w:tcPr>
          <w:p>
            <w:pPr>
              <w:jc w:val="right"/>
              <w:ind w:right="142"/>
              <w:spacing w:after="0"/>
              <w:rPr>
                <w:sz w:val="20"/>
                <w:szCs w:val="20"/>
                <w:color w:val="auto"/>
              </w:rPr>
            </w:pPr>
            <w:r>
              <w:rPr>
                <w:rFonts w:ascii="Arial" w:cs="Arial" w:eastAsia="Arial" w:hAnsi="Arial"/>
                <w:sz w:val="16"/>
                <w:szCs w:val="16"/>
                <w:color w:val="auto"/>
              </w:rPr>
              <w:t>66,938</w:t>
            </w:r>
          </w:p>
        </w:tc>
        <w:tc>
          <w:tcPr>
            <w:tcW w:w="820" w:type="dxa"/>
            <w:vAlign w:val="bottom"/>
            <w:tcBorders>
              <w:bottom w:val="single" w:sz="8" w:color="0C3471"/>
            </w:tcBorders>
          </w:tcPr>
          <w:p>
            <w:pPr>
              <w:jc w:val="right"/>
              <w:ind w:right="1"/>
              <w:spacing w:after="0"/>
              <w:rPr>
                <w:sz w:val="20"/>
                <w:szCs w:val="20"/>
                <w:color w:val="auto"/>
              </w:rPr>
            </w:pPr>
            <w:r>
              <w:rPr>
                <w:rFonts w:ascii="Arial" w:cs="Arial" w:eastAsia="Arial" w:hAnsi="Arial"/>
                <w:sz w:val="16"/>
                <w:szCs w:val="16"/>
                <w:color w:val="auto"/>
              </w:rPr>
              <w:t>371,895</w:t>
            </w:r>
          </w:p>
        </w:tc>
      </w:tr>
    </w:tbl>
    <w:p>
      <w:pPr>
        <w:spacing w:after="0" w:line="180" w:lineRule="exact"/>
        <w:rPr>
          <w:sz w:val="20"/>
          <w:szCs w:val="20"/>
          <w:color w:val="auto"/>
        </w:rPr>
      </w:pPr>
    </w:p>
    <w:p>
      <w:pPr>
        <w:ind w:left="200" w:right="320" w:hanging="192"/>
        <w:spacing w:after="0" w:line="296" w:lineRule="auto"/>
        <w:tabs>
          <w:tab w:leader="none" w:pos="228" w:val="left"/>
        </w:tabs>
        <w:numPr>
          <w:ilvl w:val="0"/>
          <w:numId w:val="57"/>
        </w:numPr>
        <w:rPr>
          <w:rFonts w:ascii="Arial" w:cs="Arial" w:eastAsia="Arial" w:hAnsi="Arial"/>
          <w:sz w:val="9"/>
          <w:szCs w:val="9"/>
          <w:color w:val="auto"/>
        </w:rPr>
      </w:pPr>
      <w:r>
        <w:rPr>
          <w:rFonts w:ascii="Arial" w:cs="Arial" w:eastAsia="Arial" w:hAnsi="Arial"/>
          <w:sz w:val="14"/>
          <w:szCs w:val="14"/>
          <w:color w:val="auto"/>
        </w:rPr>
        <w:t>The amounts in column (c) represent the aggregate grant date fair value, computed in accordance with Accounting Standards Codification 718 (“ASC 718”), of restricted stock units granted during 2025. Assumptions used in the calculation of these amounts are included in note 13 to our audited financial statements for the year ended December 31, 2025 included in our Annual Report on Form 10-K filed with the SEC on February 24, 2026. As of December 31, 2025, each then-serving director had the unvested restricted stock units and deferred share units shown in the table below.</w:t>
      </w:r>
    </w:p>
    <w:p>
      <w:pPr>
        <w:spacing w:after="0" w:line="114" w:lineRule="exact"/>
        <w:rPr>
          <w:sz w:val="20"/>
          <w:szCs w:val="20"/>
          <w:color w:val="auto"/>
        </w:rPr>
      </w:pPr>
    </w:p>
    <w:tbl>
      <w:tblPr>
        <w:tblLayout w:type="fixed"/>
        <w:tblInd w:w="200" w:type="dxa"/>
        <w:tblCellMar>
          <w:top w:w="0" w:type="dxa"/>
          <w:left w:w="0" w:type="dxa"/>
          <w:bottom w:w="0" w:type="dxa"/>
          <w:right w:w="0" w:type="dxa"/>
        </w:tblCellMar>
      </w:tblPr>
      <w:tr>
        <w:trPr>
          <w:trHeight w:val="149"/>
        </w:trPr>
        <w:tc>
          <w:tcPr>
            <w:tcW w:w="5020" w:type="dxa"/>
            <w:vAlign w:val="bottom"/>
          </w:tcPr>
          <w:p>
            <w:pPr>
              <w:spacing w:after="0"/>
              <w:rPr>
                <w:sz w:val="12"/>
                <w:szCs w:val="12"/>
                <w:color w:val="auto"/>
              </w:rPr>
            </w:pPr>
          </w:p>
        </w:tc>
        <w:tc>
          <w:tcPr>
            <w:tcW w:w="4580" w:type="dxa"/>
            <w:vAlign w:val="bottom"/>
          </w:tcPr>
          <w:p>
            <w:pPr>
              <w:jc w:val="right"/>
              <w:ind w:right="190"/>
              <w:spacing w:after="0"/>
              <w:rPr>
                <w:sz w:val="20"/>
                <w:szCs w:val="20"/>
                <w:color w:val="auto"/>
              </w:rPr>
            </w:pPr>
            <w:r>
              <w:rPr>
                <w:rFonts w:ascii="Arial" w:cs="Arial" w:eastAsia="Arial" w:hAnsi="Arial"/>
                <w:sz w:val="13"/>
                <w:szCs w:val="13"/>
                <w:b w:val="1"/>
                <w:bCs w:val="1"/>
                <w:color w:val="auto"/>
              </w:rPr>
              <w:t>Unvested Restricted</w:t>
            </w:r>
          </w:p>
        </w:tc>
        <w:tc>
          <w:tcPr>
            <w:tcW w:w="1160" w:type="dxa"/>
            <w:vAlign w:val="bottom"/>
          </w:tcPr>
          <w:p>
            <w:pPr>
              <w:jc w:val="right"/>
              <w:spacing w:after="0"/>
              <w:rPr>
                <w:sz w:val="20"/>
                <w:szCs w:val="20"/>
                <w:color w:val="auto"/>
              </w:rPr>
            </w:pPr>
            <w:r>
              <w:rPr>
                <w:rFonts w:ascii="Arial" w:cs="Arial" w:eastAsia="Arial" w:hAnsi="Arial"/>
                <w:sz w:val="13"/>
                <w:szCs w:val="13"/>
                <w:b w:val="1"/>
                <w:bCs w:val="1"/>
                <w:color w:val="auto"/>
              </w:rPr>
              <w:t>Deferred Share</w:t>
            </w:r>
          </w:p>
        </w:tc>
      </w:tr>
      <w:tr>
        <w:trPr>
          <w:trHeight w:val="172"/>
        </w:trPr>
        <w:tc>
          <w:tcPr>
            <w:tcW w:w="5020" w:type="dxa"/>
            <w:vAlign w:val="bottom"/>
          </w:tcPr>
          <w:p>
            <w:pPr>
              <w:ind w:left="20"/>
              <w:spacing w:after="0"/>
              <w:rPr>
                <w:sz w:val="20"/>
                <w:szCs w:val="20"/>
                <w:color w:val="auto"/>
              </w:rPr>
            </w:pPr>
            <w:r>
              <w:rPr>
                <w:rFonts w:ascii="Arial" w:cs="Arial" w:eastAsia="Arial" w:hAnsi="Arial"/>
                <w:sz w:val="13"/>
                <w:szCs w:val="13"/>
                <w:b w:val="1"/>
                <w:bCs w:val="1"/>
                <w:color w:val="auto"/>
              </w:rPr>
              <w:t>Name</w:t>
            </w:r>
          </w:p>
        </w:tc>
        <w:tc>
          <w:tcPr>
            <w:tcW w:w="4580" w:type="dxa"/>
            <w:vAlign w:val="bottom"/>
          </w:tcPr>
          <w:p>
            <w:pPr>
              <w:jc w:val="right"/>
              <w:ind w:right="190"/>
              <w:spacing w:after="0"/>
              <w:rPr>
                <w:sz w:val="20"/>
                <w:szCs w:val="20"/>
                <w:color w:val="auto"/>
              </w:rPr>
            </w:pPr>
            <w:r>
              <w:rPr>
                <w:rFonts w:ascii="Arial" w:cs="Arial" w:eastAsia="Arial" w:hAnsi="Arial"/>
                <w:sz w:val="13"/>
                <w:szCs w:val="13"/>
                <w:b w:val="1"/>
                <w:bCs w:val="1"/>
                <w:color w:val="auto"/>
              </w:rPr>
              <w:t>Stock Units</w:t>
            </w:r>
          </w:p>
        </w:tc>
        <w:tc>
          <w:tcPr>
            <w:tcW w:w="1160" w:type="dxa"/>
            <w:vAlign w:val="bottom"/>
          </w:tcPr>
          <w:p>
            <w:pPr>
              <w:jc w:val="right"/>
              <w:spacing w:after="0"/>
              <w:rPr>
                <w:sz w:val="20"/>
                <w:szCs w:val="20"/>
                <w:color w:val="auto"/>
              </w:rPr>
            </w:pPr>
            <w:r>
              <w:rPr>
                <w:rFonts w:ascii="Arial" w:cs="Arial" w:eastAsia="Arial" w:hAnsi="Arial"/>
                <w:sz w:val="13"/>
                <w:szCs w:val="13"/>
                <w:b w:val="1"/>
                <w:bCs w:val="1"/>
                <w:color w:val="auto"/>
              </w:rPr>
              <w:t>Units</w:t>
            </w:r>
          </w:p>
        </w:tc>
      </w:tr>
      <w:tr>
        <w:trPr>
          <w:trHeight w:val="22"/>
        </w:trPr>
        <w:tc>
          <w:tcPr>
            <w:tcW w:w="5020" w:type="dxa"/>
            <w:vAlign w:val="bottom"/>
            <w:tcBorders>
              <w:bottom w:val="single" w:sz="8" w:color="0C3471"/>
            </w:tcBorders>
          </w:tcPr>
          <w:p>
            <w:pPr>
              <w:spacing w:after="0" w:line="20" w:lineRule="exact"/>
              <w:rPr>
                <w:sz w:val="1"/>
                <w:szCs w:val="1"/>
                <w:color w:val="auto"/>
              </w:rPr>
            </w:pPr>
          </w:p>
        </w:tc>
        <w:tc>
          <w:tcPr>
            <w:tcW w:w="4580" w:type="dxa"/>
            <w:vAlign w:val="bottom"/>
            <w:tcBorders>
              <w:bottom w:val="single" w:sz="8" w:color="0C3471"/>
            </w:tcBorders>
          </w:tcPr>
          <w:p>
            <w:pPr>
              <w:spacing w:after="0" w:line="20" w:lineRule="exact"/>
              <w:rPr>
                <w:sz w:val="1"/>
                <w:szCs w:val="1"/>
                <w:color w:val="auto"/>
              </w:rPr>
            </w:pPr>
          </w:p>
        </w:tc>
        <w:tc>
          <w:tcPr>
            <w:tcW w:w="1160" w:type="dxa"/>
            <w:vAlign w:val="bottom"/>
            <w:tcBorders>
              <w:bottom w:val="single" w:sz="8" w:color="0C3471"/>
            </w:tcBorders>
          </w:tcPr>
          <w:p>
            <w:pPr>
              <w:spacing w:after="0" w:line="20" w:lineRule="exact"/>
              <w:rPr>
                <w:sz w:val="1"/>
                <w:szCs w:val="1"/>
                <w:color w:val="auto"/>
              </w:rPr>
            </w:pPr>
          </w:p>
        </w:tc>
      </w:tr>
      <w:tr>
        <w:trPr>
          <w:trHeight w:val="216"/>
        </w:trPr>
        <w:tc>
          <w:tcPr>
            <w:tcW w:w="5020" w:type="dxa"/>
            <w:vAlign w:val="bottom"/>
            <w:tcBorders>
              <w:bottom w:val="single" w:sz="8" w:color="BCBEC0"/>
            </w:tcBorders>
          </w:tcPr>
          <w:p>
            <w:pPr>
              <w:ind w:left="20"/>
              <w:spacing w:after="0"/>
              <w:rPr>
                <w:sz w:val="20"/>
                <w:szCs w:val="20"/>
                <w:color w:val="auto"/>
              </w:rPr>
            </w:pPr>
            <w:r>
              <w:rPr>
                <w:rFonts w:ascii="Arial" w:cs="Arial" w:eastAsia="Arial" w:hAnsi="Arial"/>
                <w:sz w:val="14"/>
                <w:szCs w:val="14"/>
                <w:b w:val="1"/>
                <w:bCs w:val="1"/>
                <w:color w:val="0C3471"/>
              </w:rPr>
              <w:t>Mona Abutaleb Stephenson</w:t>
            </w:r>
          </w:p>
        </w:tc>
        <w:tc>
          <w:tcPr>
            <w:tcW w:w="4580" w:type="dxa"/>
            <w:vAlign w:val="bottom"/>
            <w:tcBorders>
              <w:bottom w:val="single" w:sz="8" w:color="BCBEC0"/>
            </w:tcBorders>
          </w:tcPr>
          <w:p>
            <w:pPr>
              <w:jc w:val="right"/>
              <w:ind w:right="230"/>
              <w:spacing w:after="0"/>
              <w:rPr>
                <w:sz w:val="20"/>
                <w:szCs w:val="20"/>
                <w:color w:val="auto"/>
              </w:rPr>
            </w:pPr>
            <w:r>
              <w:rPr>
                <w:rFonts w:ascii="Arial" w:cs="Arial" w:eastAsia="Arial" w:hAnsi="Arial"/>
                <w:sz w:val="14"/>
                <w:szCs w:val="14"/>
                <w:color w:val="auto"/>
              </w:rPr>
              <w:t>1,643</w:t>
            </w:r>
          </w:p>
        </w:tc>
        <w:tc>
          <w:tcPr>
            <w:tcW w:w="1160" w:type="dxa"/>
            <w:vAlign w:val="bottom"/>
            <w:tcBorders>
              <w:bottom w:val="single" w:sz="8" w:color="BCBEC0"/>
            </w:tcBorders>
          </w:tcPr>
          <w:p>
            <w:pPr>
              <w:jc w:val="right"/>
              <w:spacing w:after="0"/>
              <w:rPr>
                <w:sz w:val="20"/>
                <w:szCs w:val="20"/>
                <w:color w:val="auto"/>
              </w:rPr>
            </w:pPr>
            <w:r>
              <w:rPr>
                <w:rFonts w:ascii="Arial" w:cs="Arial" w:eastAsia="Arial" w:hAnsi="Arial"/>
                <w:sz w:val="14"/>
                <w:szCs w:val="14"/>
                <w:color w:val="auto"/>
              </w:rPr>
              <w:t>—</w:t>
            </w:r>
          </w:p>
        </w:tc>
      </w:tr>
      <w:tr>
        <w:trPr>
          <w:trHeight w:val="223"/>
        </w:trPr>
        <w:tc>
          <w:tcPr>
            <w:tcW w:w="5020" w:type="dxa"/>
            <w:vAlign w:val="bottom"/>
            <w:tcBorders>
              <w:bottom w:val="single" w:sz="8" w:color="BCBEC0"/>
            </w:tcBorders>
          </w:tcPr>
          <w:p>
            <w:pPr>
              <w:ind w:left="20"/>
              <w:spacing w:after="0"/>
              <w:rPr>
                <w:sz w:val="20"/>
                <w:szCs w:val="20"/>
                <w:color w:val="auto"/>
              </w:rPr>
            </w:pPr>
            <w:r>
              <w:rPr>
                <w:rFonts w:ascii="Arial" w:cs="Arial" w:eastAsia="Arial" w:hAnsi="Arial"/>
                <w:sz w:val="14"/>
                <w:szCs w:val="14"/>
                <w:b w:val="1"/>
                <w:bCs w:val="1"/>
                <w:color w:val="0C3471"/>
              </w:rPr>
              <w:t>Melissa Barra</w:t>
            </w:r>
          </w:p>
        </w:tc>
        <w:tc>
          <w:tcPr>
            <w:tcW w:w="4580" w:type="dxa"/>
            <w:vAlign w:val="bottom"/>
            <w:tcBorders>
              <w:bottom w:val="single" w:sz="8" w:color="BCBEC0"/>
            </w:tcBorders>
          </w:tcPr>
          <w:p>
            <w:pPr>
              <w:jc w:val="right"/>
              <w:ind w:right="230"/>
              <w:spacing w:after="0"/>
              <w:rPr>
                <w:sz w:val="20"/>
                <w:szCs w:val="20"/>
                <w:color w:val="auto"/>
              </w:rPr>
            </w:pPr>
            <w:r>
              <w:rPr>
                <w:rFonts w:ascii="Arial" w:cs="Arial" w:eastAsia="Arial" w:hAnsi="Arial"/>
                <w:sz w:val="14"/>
                <w:szCs w:val="14"/>
                <w:color w:val="auto"/>
              </w:rPr>
              <w:t>1,643</w:t>
            </w:r>
          </w:p>
        </w:tc>
        <w:tc>
          <w:tcPr>
            <w:tcW w:w="1160" w:type="dxa"/>
            <w:vAlign w:val="bottom"/>
            <w:tcBorders>
              <w:bottom w:val="single" w:sz="8" w:color="BCBEC0"/>
            </w:tcBorders>
          </w:tcPr>
          <w:p>
            <w:pPr>
              <w:jc w:val="right"/>
              <w:spacing w:after="0"/>
              <w:rPr>
                <w:sz w:val="20"/>
                <w:szCs w:val="20"/>
                <w:color w:val="auto"/>
              </w:rPr>
            </w:pPr>
            <w:r>
              <w:rPr>
                <w:rFonts w:ascii="Arial" w:cs="Arial" w:eastAsia="Arial" w:hAnsi="Arial"/>
                <w:sz w:val="14"/>
                <w:szCs w:val="14"/>
                <w:color w:val="auto"/>
              </w:rPr>
              <w:t>—</w:t>
            </w:r>
          </w:p>
        </w:tc>
      </w:tr>
      <w:tr>
        <w:trPr>
          <w:trHeight w:val="223"/>
        </w:trPr>
        <w:tc>
          <w:tcPr>
            <w:tcW w:w="5020" w:type="dxa"/>
            <w:vAlign w:val="bottom"/>
            <w:tcBorders>
              <w:bottom w:val="single" w:sz="8" w:color="BCBEC0"/>
            </w:tcBorders>
          </w:tcPr>
          <w:p>
            <w:pPr>
              <w:ind w:left="20"/>
              <w:spacing w:after="0"/>
              <w:rPr>
                <w:sz w:val="20"/>
                <w:szCs w:val="20"/>
                <w:color w:val="auto"/>
              </w:rPr>
            </w:pPr>
            <w:r>
              <w:rPr>
                <w:rFonts w:ascii="Arial" w:cs="Arial" w:eastAsia="Arial" w:hAnsi="Arial"/>
                <w:sz w:val="14"/>
                <w:szCs w:val="14"/>
                <w:b w:val="1"/>
                <w:bCs w:val="1"/>
                <w:color w:val="0C3471"/>
              </w:rPr>
              <w:t>Tracey C. Doi</w:t>
            </w:r>
          </w:p>
        </w:tc>
        <w:tc>
          <w:tcPr>
            <w:tcW w:w="4580" w:type="dxa"/>
            <w:vAlign w:val="bottom"/>
            <w:tcBorders>
              <w:bottom w:val="single" w:sz="8" w:color="BCBEC0"/>
            </w:tcBorders>
          </w:tcPr>
          <w:p>
            <w:pPr>
              <w:jc w:val="right"/>
              <w:ind w:right="230"/>
              <w:spacing w:after="0"/>
              <w:rPr>
                <w:sz w:val="20"/>
                <w:szCs w:val="20"/>
                <w:color w:val="auto"/>
              </w:rPr>
            </w:pPr>
            <w:r>
              <w:rPr>
                <w:rFonts w:ascii="Arial" w:cs="Arial" w:eastAsia="Arial" w:hAnsi="Arial"/>
                <w:sz w:val="14"/>
                <w:szCs w:val="14"/>
                <w:color w:val="auto"/>
              </w:rPr>
              <w:t>1,643</w:t>
            </w:r>
          </w:p>
        </w:tc>
        <w:tc>
          <w:tcPr>
            <w:tcW w:w="1160" w:type="dxa"/>
            <w:vAlign w:val="bottom"/>
            <w:tcBorders>
              <w:bottom w:val="single" w:sz="8" w:color="BCBEC0"/>
            </w:tcBorders>
          </w:tcPr>
          <w:p>
            <w:pPr>
              <w:jc w:val="right"/>
              <w:spacing w:after="0"/>
              <w:rPr>
                <w:sz w:val="20"/>
                <w:szCs w:val="20"/>
                <w:color w:val="auto"/>
              </w:rPr>
            </w:pPr>
            <w:r>
              <w:rPr>
                <w:rFonts w:ascii="Arial" w:cs="Arial" w:eastAsia="Arial" w:hAnsi="Arial"/>
                <w:sz w:val="14"/>
                <w:szCs w:val="14"/>
                <w:color w:val="auto"/>
              </w:rPr>
              <w:t>—</w:t>
            </w:r>
          </w:p>
        </w:tc>
      </w:tr>
      <w:tr>
        <w:trPr>
          <w:trHeight w:val="223"/>
        </w:trPr>
        <w:tc>
          <w:tcPr>
            <w:tcW w:w="5020" w:type="dxa"/>
            <w:vAlign w:val="bottom"/>
            <w:tcBorders>
              <w:bottom w:val="single" w:sz="8" w:color="BCBEC0"/>
            </w:tcBorders>
          </w:tcPr>
          <w:p>
            <w:pPr>
              <w:ind w:left="20"/>
              <w:spacing w:after="0"/>
              <w:rPr>
                <w:sz w:val="20"/>
                <w:szCs w:val="20"/>
                <w:color w:val="auto"/>
              </w:rPr>
            </w:pPr>
            <w:r>
              <w:rPr>
                <w:rFonts w:ascii="Arial" w:cs="Arial" w:eastAsia="Arial" w:hAnsi="Arial"/>
                <w:sz w:val="14"/>
                <w:szCs w:val="14"/>
                <w:b w:val="1"/>
                <w:bCs w:val="1"/>
                <w:color w:val="0C3471"/>
              </w:rPr>
              <w:t>T. Michael Glenn</w:t>
            </w:r>
          </w:p>
        </w:tc>
        <w:tc>
          <w:tcPr>
            <w:tcW w:w="4580" w:type="dxa"/>
            <w:vAlign w:val="bottom"/>
            <w:tcBorders>
              <w:bottom w:val="single" w:sz="8" w:color="BCBEC0"/>
            </w:tcBorders>
          </w:tcPr>
          <w:p>
            <w:pPr>
              <w:jc w:val="right"/>
              <w:ind w:right="230"/>
              <w:spacing w:after="0"/>
              <w:rPr>
                <w:sz w:val="20"/>
                <w:szCs w:val="20"/>
                <w:color w:val="auto"/>
              </w:rPr>
            </w:pPr>
            <w:r>
              <w:rPr>
                <w:rFonts w:ascii="Arial" w:cs="Arial" w:eastAsia="Arial" w:hAnsi="Arial"/>
                <w:sz w:val="14"/>
                <w:szCs w:val="14"/>
                <w:color w:val="auto"/>
              </w:rPr>
              <w:t>1,643</w:t>
            </w:r>
          </w:p>
        </w:tc>
        <w:tc>
          <w:tcPr>
            <w:tcW w:w="1160" w:type="dxa"/>
            <w:vAlign w:val="bottom"/>
            <w:tcBorders>
              <w:bottom w:val="single" w:sz="8" w:color="BCBEC0"/>
            </w:tcBorders>
          </w:tcPr>
          <w:p>
            <w:pPr>
              <w:jc w:val="right"/>
              <w:spacing w:after="0"/>
              <w:rPr>
                <w:sz w:val="20"/>
                <w:szCs w:val="20"/>
                <w:color w:val="auto"/>
              </w:rPr>
            </w:pPr>
            <w:r>
              <w:rPr>
                <w:rFonts w:ascii="Arial" w:cs="Arial" w:eastAsia="Arial" w:hAnsi="Arial"/>
                <w:sz w:val="14"/>
                <w:szCs w:val="14"/>
                <w:color w:val="auto"/>
              </w:rPr>
              <w:t>1,977</w:t>
            </w:r>
          </w:p>
        </w:tc>
      </w:tr>
      <w:tr>
        <w:trPr>
          <w:trHeight w:val="223"/>
        </w:trPr>
        <w:tc>
          <w:tcPr>
            <w:tcW w:w="5020" w:type="dxa"/>
            <w:vAlign w:val="bottom"/>
            <w:tcBorders>
              <w:bottom w:val="single" w:sz="8" w:color="BCBEC0"/>
            </w:tcBorders>
          </w:tcPr>
          <w:p>
            <w:pPr>
              <w:ind w:left="20"/>
              <w:spacing w:after="0"/>
              <w:rPr>
                <w:sz w:val="20"/>
                <w:szCs w:val="20"/>
                <w:color w:val="auto"/>
              </w:rPr>
            </w:pPr>
            <w:r>
              <w:rPr>
                <w:rFonts w:ascii="Arial" w:cs="Arial" w:eastAsia="Arial" w:hAnsi="Arial"/>
                <w:sz w:val="14"/>
                <w:szCs w:val="14"/>
                <w:b w:val="1"/>
                <w:bCs w:val="1"/>
                <w:color w:val="0C3471"/>
              </w:rPr>
              <w:t>Theodore L. Harris</w:t>
            </w:r>
          </w:p>
        </w:tc>
        <w:tc>
          <w:tcPr>
            <w:tcW w:w="4580" w:type="dxa"/>
            <w:vAlign w:val="bottom"/>
            <w:tcBorders>
              <w:bottom w:val="single" w:sz="8" w:color="BCBEC0"/>
            </w:tcBorders>
          </w:tcPr>
          <w:p>
            <w:pPr>
              <w:jc w:val="right"/>
              <w:ind w:right="230"/>
              <w:spacing w:after="0"/>
              <w:rPr>
                <w:sz w:val="20"/>
                <w:szCs w:val="20"/>
                <w:color w:val="auto"/>
              </w:rPr>
            </w:pPr>
            <w:r>
              <w:rPr>
                <w:rFonts w:ascii="Arial" w:cs="Arial" w:eastAsia="Arial" w:hAnsi="Arial"/>
                <w:sz w:val="14"/>
                <w:szCs w:val="14"/>
                <w:color w:val="auto"/>
              </w:rPr>
              <w:t>1,643</w:t>
            </w:r>
          </w:p>
        </w:tc>
        <w:tc>
          <w:tcPr>
            <w:tcW w:w="1160" w:type="dxa"/>
            <w:vAlign w:val="bottom"/>
            <w:tcBorders>
              <w:bottom w:val="single" w:sz="8" w:color="BCBEC0"/>
            </w:tcBorders>
          </w:tcPr>
          <w:p>
            <w:pPr>
              <w:jc w:val="right"/>
              <w:spacing w:after="0"/>
              <w:rPr>
                <w:sz w:val="20"/>
                <w:szCs w:val="20"/>
                <w:color w:val="auto"/>
              </w:rPr>
            </w:pPr>
            <w:r>
              <w:rPr>
                <w:rFonts w:ascii="Arial" w:cs="Arial" w:eastAsia="Arial" w:hAnsi="Arial"/>
                <w:sz w:val="14"/>
                <w:szCs w:val="14"/>
                <w:color w:val="auto"/>
              </w:rPr>
              <w:t>—</w:t>
            </w:r>
          </w:p>
        </w:tc>
      </w:tr>
      <w:tr>
        <w:trPr>
          <w:trHeight w:val="223"/>
        </w:trPr>
        <w:tc>
          <w:tcPr>
            <w:tcW w:w="5020" w:type="dxa"/>
            <w:vAlign w:val="bottom"/>
            <w:tcBorders>
              <w:bottom w:val="single" w:sz="8" w:color="BCBEC0"/>
            </w:tcBorders>
          </w:tcPr>
          <w:p>
            <w:pPr>
              <w:ind w:left="20"/>
              <w:spacing w:after="0"/>
              <w:rPr>
                <w:sz w:val="20"/>
                <w:szCs w:val="20"/>
                <w:color w:val="auto"/>
              </w:rPr>
            </w:pPr>
            <w:r>
              <w:rPr>
                <w:rFonts w:ascii="Arial" w:cs="Arial" w:eastAsia="Arial" w:hAnsi="Arial"/>
                <w:sz w:val="14"/>
                <w:szCs w:val="14"/>
                <w:b w:val="1"/>
                <w:bCs w:val="1"/>
                <w:color w:val="0C3471"/>
              </w:rPr>
              <w:t>David A. Jones</w:t>
            </w:r>
          </w:p>
        </w:tc>
        <w:tc>
          <w:tcPr>
            <w:tcW w:w="4580" w:type="dxa"/>
            <w:vAlign w:val="bottom"/>
            <w:tcBorders>
              <w:bottom w:val="single" w:sz="8" w:color="BCBEC0"/>
            </w:tcBorders>
          </w:tcPr>
          <w:p>
            <w:pPr>
              <w:jc w:val="right"/>
              <w:ind w:right="230"/>
              <w:spacing w:after="0"/>
              <w:rPr>
                <w:sz w:val="20"/>
                <w:szCs w:val="20"/>
                <w:color w:val="auto"/>
              </w:rPr>
            </w:pPr>
            <w:r>
              <w:rPr>
                <w:rFonts w:ascii="Arial" w:cs="Arial" w:eastAsia="Arial" w:hAnsi="Arial"/>
                <w:sz w:val="14"/>
                <w:szCs w:val="14"/>
                <w:color w:val="auto"/>
              </w:rPr>
              <w:t>1,643</w:t>
            </w:r>
          </w:p>
        </w:tc>
        <w:tc>
          <w:tcPr>
            <w:tcW w:w="1160" w:type="dxa"/>
            <w:vAlign w:val="bottom"/>
            <w:tcBorders>
              <w:bottom w:val="single" w:sz="8" w:color="BCBEC0"/>
            </w:tcBorders>
          </w:tcPr>
          <w:p>
            <w:pPr>
              <w:jc w:val="right"/>
              <w:spacing w:after="0"/>
              <w:rPr>
                <w:sz w:val="20"/>
                <w:szCs w:val="20"/>
                <w:color w:val="auto"/>
              </w:rPr>
            </w:pPr>
            <w:r>
              <w:rPr>
                <w:rFonts w:ascii="Arial" w:cs="Arial" w:eastAsia="Arial" w:hAnsi="Arial"/>
                <w:sz w:val="14"/>
                <w:szCs w:val="14"/>
                <w:color w:val="auto"/>
              </w:rPr>
              <w:t>56,798</w:t>
            </w:r>
          </w:p>
        </w:tc>
      </w:tr>
      <w:tr>
        <w:trPr>
          <w:trHeight w:val="223"/>
        </w:trPr>
        <w:tc>
          <w:tcPr>
            <w:tcW w:w="5020" w:type="dxa"/>
            <w:vAlign w:val="bottom"/>
            <w:tcBorders>
              <w:bottom w:val="single" w:sz="8" w:color="BCBEC0"/>
            </w:tcBorders>
          </w:tcPr>
          <w:p>
            <w:pPr>
              <w:ind w:left="20"/>
              <w:spacing w:after="0"/>
              <w:rPr>
                <w:sz w:val="20"/>
                <w:szCs w:val="20"/>
                <w:color w:val="auto"/>
              </w:rPr>
            </w:pPr>
            <w:r>
              <w:rPr>
                <w:rFonts w:ascii="Arial" w:cs="Arial" w:eastAsia="Arial" w:hAnsi="Arial"/>
                <w:sz w:val="14"/>
                <w:szCs w:val="14"/>
                <w:b w:val="1"/>
                <w:bCs w:val="1"/>
                <w:color w:val="0C3471"/>
              </w:rPr>
              <w:t>Gregory E. Knight</w:t>
            </w:r>
          </w:p>
        </w:tc>
        <w:tc>
          <w:tcPr>
            <w:tcW w:w="4580" w:type="dxa"/>
            <w:vAlign w:val="bottom"/>
            <w:tcBorders>
              <w:bottom w:val="single" w:sz="8" w:color="BCBEC0"/>
            </w:tcBorders>
          </w:tcPr>
          <w:p>
            <w:pPr>
              <w:jc w:val="right"/>
              <w:ind w:right="230"/>
              <w:spacing w:after="0"/>
              <w:rPr>
                <w:sz w:val="20"/>
                <w:szCs w:val="20"/>
                <w:color w:val="auto"/>
              </w:rPr>
            </w:pPr>
            <w:r>
              <w:rPr>
                <w:rFonts w:ascii="Arial" w:cs="Arial" w:eastAsia="Arial" w:hAnsi="Arial"/>
                <w:sz w:val="14"/>
                <w:szCs w:val="14"/>
                <w:color w:val="auto"/>
              </w:rPr>
              <w:t>1,643</w:t>
            </w:r>
          </w:p>
        </w:tc>
        <w:tc>
          <w:tcPr>
            <w:tcW w:w="1160" w:type="dxa"/>
            <w:vAlign w:val="bottom"/>
            <w:tcBorders>
              <w:bottom w:val="single" w:sz="8" w:color="BCBEC0"/>
            </w:tcBorders>
          </w:tcPr>
          <w:p>
            <w:pPr>
              <w:jc w:val="right"/>
              <w:spacing w:after="0"/>
              <w:rPr>
                <w:sz w:val="20"/>
                <w:szCs w:val="20"/>
                <w:color w:val="auto"/>
              </w:rPr>
            </w:pPr>
            <w:r>
              <w:rPr>
                <w:rFonts w:ascii="Arial" w:cs="Arial" w:eastAsia="Arial" w:hAnsi="Arial"/>
                <w:sz w:val="14"/>
                <w:szCs w:val="14"/>
                <w:color w:val="auto"/>
              </w:rPr>
              <w:t>—</w:t>
            </w:r>
          </w:p>
        </w:tc>
      </w:tr>
      <w:tr>
        <w:trPr>
          <w:trHeight w:val="223"/>
        </w:trPr>
        <w:tc>
          <w:tcPr>
            <w:tcW w:w="5020" w:type="dxa"/>
            <w:vAlign w:val="bottom"/>
            <w:tcBorders>
              <w:bottom w:val="single" w:sz="8" w:color="BCBEC0"/>
            </w:tcBorders>
          </w:tcPr>
          <w:p>
            <w:pPr>
              <w:ind w:left="20"/>
              <w:spacing w:after="0"/>
              <w:rPr>
                <w:sz w:val="20"/>
                <w:szCs w:val="20"/>
                <w:color w:val="auto"/>
              </w:rPr>
            </w:pPr>
            <w:r>
              <w:rPr>
                <w:rFonts w:ascii="Arial" w:cs="Arial" w:eastAsia="Arial" w:hAnsi="Arial"/>
                <w:sz w:val="14"/>
                <w:szCs w:val="14"/>
                <w:b w:val="1"/>
                <w:bCs w:val="1"/>
                <w:color w:val="0C3471"/>
              </w:rPr>
              <w:t>Michael T. Speetzen</w:t>
            </w:r>
          </w:p>
        </w:tc>
        <w:tc>
          <w:tcPr>
            <w:tcW w:w="4580" w:type="dxa"/>
            <w:vAlign w:val="bottom"/>
            <w:tcBorders>
              <w:bottom w:val="single" w:sz="8" w:color="BCBEC0"/>
            </w:tcBorders>
          </w:tcPr>
          <w:p>
            <w:pPr>
              <w:jc w:val="right"/>
              <w:ind w:right="230"/>
              <w:spacing w:after="0"/>
              <w:rPr>
                <w:sz w:val="20"/>
                <w:szCs w:val="20"/>
                <w:color w:val="auto"/>
              </w:rPr>
            </w:pPr>
            <w:r>
              <w:rPr>
                <w:rFonts w:ascii="Arial" w:cs="Arial" w:eastAsia="Arial" w:hAnsi="Arial"/>
                <w:sz w:val="14"/>
                <w:szCs w:val="14"/>
                <w:color w:val="auto"/>
              </w:rPr>
              <w:t>1,643</w:t>
            </w:r>
          </w:p>
        </w:tc>
        <w:tc>
          <w:tcPr>
            <w:tcW w:w="1160" w:type="dxa"/>
            <w:vAlign w:val="bottom"/>
            <w:tcBorders>
              <w:bottom w:val="single" w:sz="8" w:color="BCBEC0"/>
            </w:tcBorders>
          </w:tcPr>
          <w:p>
            <w:pPr>
              <w:jc w:val="right"/>
              <w:spacing w:after="0"/>
              <w:rPr>
                <w:sz w:val="20"/>
                <w:szCs w:val="20"/>
                <w:color w:val="auto"/>
              </w:rPr>
            </w:pPr>
            <w:r>
              <w:rPr>
                <w:rFonts w:ascii="Arial" w:cs="Arial" w:eastAsia="Arial" w:hAnsi="Arial"/>
                <w:sz w:val="14"/>
                <w:szCs w:val="14"/>
                <w:color w:val="auto"/>
              </w:rPr>
              <w:t>—</w:t>
            </w:r>
          </w:p>
        </w:tc>
      </w:tr>
      <w:tr>
        <w:trPr>
          <w:trHeight w:val="223"/>
        </w:trPr>
        <w:tc>
          <w:tcPr>
            <w:tcW w:w="5020" w:type="dxa"/>
            <w:vAlign w:val="bottom"/>
            <w:tcBorders>
              <w:bottom w:val="single" w:sz="8" w:color="0C3471"/>
            </w:tcBorders>
          </w:tcPr>
          <w:p>
            <w:pPr>
              <w:ind w:left="20"/>
              <w:spacing w:after="0"/>
              <w:rPr>
                <w:sz w:val="20"/>
                <w:szCs w:val="20"/>
                <w:color w:val="auto"/>
              </w:rPr>
            </w:pPr>
            <w:r>
              <w:rPr>
                <w:rFonts w:ascii="Arial" w:cs="Arial" w:eastAsia="Arial" w:hAnsi="Arial"/>
                <w:sz w:val="14"/>
                <w:szCs w:val="14"/>
                <w:b w:val="1"/>
                <w:bCs w:val="1"/>
                <w:color w:val="0C3471"/>
              </w:rPr>
              <w:t>Billie I. Williamson</w:t>
            </w:r>
          </w:p>
        </w:tc>
        <w:tc>
          <w:tcPr>
            <w:tcW w:w="4580" w:type="dxa"/>
            <w:vAlign w:val="bottom"/>
            <w:tcBorders>
              <w:bottom w:val="single" w:sz="8" w:color="0C3471"/>
            </w:tcBorders>
          </w:tcPr>
          <w:p>
            <w:pPr>
              <w:jc w:val="right"/>
              <w:ind w:right="230"/>
              <w:spacing w:after="0"/>
              <w:rPr>
                <w:sz w:val="20"/>
                <w:szCs w:val="20"/>
                <w:color w:val="auto"/>
              </w:rPr>
            </w:pPr>
            <w:r>
              <w:rPr>
                <w:rFonts w:ascii="Arial" w:cs="Arial" w:eastAsia="Arial" w:hAnsi="Arial"/>
                <w:sz w:val="14"/>
                <w:szCs w:val="14"/>
                <w:color w:val="auto"/>
              </w:rPr>
              <w:t>1,643</w:t>
            </w:r>
          </w:p>
        </w:tc>
        <w:tc>
          <w:tcPr>
            <w:tcW w:w="1160" w:type="dxa"/>
            <w:vAlign w:val="bottom"/>
            <w:tcBorders>
              <w:bottom w:val="single" w:sz="8" w:color="0C3471"/>
            </w:tcBorders>
          </w:tcPr>
          <w:p>
            <w:pPr>
              <w:jc w:val="right"/>
              <w:spacing w:after="0"/>
              <w:rPr>
                <w:sz w:val="20"/>
                <w:szCs w:val="20"/>
                <w:color w:val="auto"/>
              </w:rPr>
            </w:pPr>
            <w:r>
              <w:rPr>
                <w:rFonts w:ascii="Arial" w:cs="Arial" w:eastAsia="Arial" w:hAnsi="Arial"/>
                <w:sz w:val="14"/>
                <w:szCs w:val="14"/>
                <w:color w:val="auto"/>
              </w:rPr>
              <w:t>—</w:t>
            </w:r>
          </w:p>
        </w:tc>
      </w:tr>
    </w:tbl>
    <w:p>
      <w:pPr>
        <w:spacing w:after="0" w:line="180" w:lineRule="exact"/>
        <w:rPr>
          <w:sz w:val="20"/>
          <w:szCs w:val="20"/>
          <w:color w:val="auto"/>
        </w:rPr>
      </w:pPr>
    </w:p>
    <w:p>
      <w:pPr>
        <w:ind w:left="200" w:right="240" w:hanging="192"/>
        <w:spacing w:after="0" w:line="325" w:lineRule="auto"/>
        <w:tabs>
          <w:tab w:leader="none" w:pos="214" w:val="left"/>
        </w:tabs>
        <w:numPr>
          <w:ilvl w:val="0"/>
          <w:numId w:val="58"/>
        </w:numPr>
        <w:rPr>
          <w:rFonts w:ascii="Arial" w:cs="Arial" w:eastAsia="Arial" w:hAnsi="Arial"/>
          <w:sz w:val="9"/>
          <w:szCs w:val="9"/>
          <w:color w:val="auto"/>
        </w:rPr>
      </w:pPr>
      <w:r>
        <w:rPr>
          <w:rFonts w:ascii="Arial" w:cs="Arial" w:eastAsia="Arial" w:hAnsi="Arial"/>
          <w:sz w:val="14"/>
          <w:szCs w:val="14"/>
          <w:color w:val="auto"/>
        </w:rPr>
        <w:t>No stock options were granted to our non-employee directors during 2025. As of December 31, 2025, each then-serving non-employee director had the outstanding stock options shown in the table below.</w:t>
      </w:r>
    </w:p>
    <w:p>
      <w:pPr>
        <w:spacing w:after="0" w:line="200" w:lineRule="exact"/>
        <w:rPr>
          <w:sz w:val="20"/>
          <w:szCs w:val="20"/>
          <w:color w:val="auto"/>
        </w:rPr>
      </w:pP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10780" w:type="dxa"/>
            <w:vAlign w:val="bottom"/>
          </w:tcPr>
          <w:p>
            <w:pPr>
              <w:ind w:left="8260"/>
              <w:spacing w:after="0"/>
              <w:rPr>
                <w:sz w:val="20"/>
                <w:szCs w:val="20"/>
                <w:color w:val="auto"/>
              </w:rPr>
            </w:pPr>
            <w:r>
              <w:rPr>
                <w:rFonts w:ascii="Arial" w:cs="Arial" w:eastAsia="Arial" w:hAnsi="Arial"/>
                <w:sz w:val="16"/>
                <w:szCs w:val="16"/>
                <w:b w:val="1"/>
                <w:bCs w:val="1"/>
                <w:color w:val="auto"/>
              </w:rPr>
              <w:t xml:space="preserve">2026 Proxy Statement </w:t>
            </w:r>
            <w:r>
              <w:rPr>
                <w:rFonts w:ascii="Arial" w:cs="Arial" w:eastAsia="Arial" w:hAnsi="Arial"/>
                <w:sz w:val="16"/>
                <w:szCs w:val="16"/>
                <w:b w:val="1"/>
                <w:bCs w:val="1"/>
                <w:color w:val="0C3471"/>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Pentair</w:t>
            </w:r>
          </w:p>
        </w:tc>
        <w:tc>
          <w:tcPr>
            <w:tcW w:w="460" w:type="dxa"/>
            <w:vAlign w:val="bottom"/>
          </w:tcPr>
          <w:p>
            <w:pPr>
              <w:jc w:val="right"/>
              <w:spacing w:after="0"/>
              <w:rPr>
                <w:sz w:val="20"/>
                <w:szCs w:val="20"/>
                <w:color w:val="auto"/>
              </w:rPr>
            </w:pPr>
            <w:r>
              <w:rPr>
                <w:rFonts w:ascii="Arial" w:cs="Arial" w:eastAsia="Arial" w:hAnsi="Arial"/>
                <w:sz w:val="16"/>
                <w:szCs w:val="16"/>
                <w:b w:val="1"/>
                <w:bCs w:val="1"/>
                <w:color w:val="auto"/>
              </w:rPr>
              <w:t>29</w:t>
            </w:r>
          </w:p>
        </w:tc>
      </w:tr>
      <w:tr>
        <w:trPr>
          <w:trHeight w:val="311"/>
        </w:trPr>
        <w:tc>
          <w:tcPr>
            <w:tcW w:w="107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14" w:right="339" w:bottom="1440" w:gutter="0" w:footer="0" w:header="0"/>
        </w:sectPr>
      </w:pPr>
    </w:p>
    <w:bookmarkStart w:id="31" w:name="page32"/>
    <w:bookmarkEnd w:id="31"/>
    <w:p>
      <w:pPr>
        <w:ind w:left="392"/>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225425</wp:posOffset>
            </wp:positionH>
            <wp:positionV relativeFrom="page">
              <wp:posOffset>191770</wp:posOffset>
            </wp:positionV>
            <wp:extent cx="102870" cy="11176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clrChange>
                        <a:clrFrom>
                          <a:srgbClr val="FFFFFF"/>
                        </a:clrFrom>
                        <a:clrTo>
                          <a:srgbClr val="FFFFFF">
                            <a:alpha val="0"/>
                          </a:srgbClr>
                        </a:clrTo>
                      </a:clrChange>
                      <a:extLst>
                        <a:ext uri="{28A0092B-C50C-407E-A947-70E740481C1C}"/>
                      </a:extLst>
                    </a:blip>
                    <a:srcRect/>
                    <a:stretch>
                      <a:fillRect/>
                    </a:stretch>
                  </pic:blipFill>
                  <pic:spPr bwMode="auto">
                    <a:xfrm>
                      <a:off x="0" y="0"/>
                      <a:ext cx="102870" cy="111760"/>
                    </a:xfrm>
                    <a:prstGeom prst="rect">
                      <a:avLst/>
                    </a:prstGeom>
                    <a:noFill/>
                  </pic:spPr>
                </pic:pic>
              </a:graphicData>
            </a:graphic>
          </wp:anchor>
        </w:drawing>
        <w:t>Corporate Governance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192" w:type="dxa"/>
        <w:tblCellMar>
          <w:top w:w="0" w:type="dxa"/>
          <w:left w:w="0" w:type="dxa"/>
          <w:bottom w:w="0" w:type="dxa"/>
          <w:right w:w="0" w:type="dxa"/>
        </w:tblCellMar>
      </w:tblPr>
      <w:tr>
        <w:trPr>
          <w:trHeight w:val="149"/>
        </w:trPr>
        <w:tc>
          <w:tcPr>
            <w:tcW w:w="5900" w:type="dxa"/>
            <w:vAlign w:val="bottom"/>
          </w:tcPr>
          <w:p>
            <w:pPr>
              <w:spacing w:after="0"/>
              <w:rPr>
                <w:sz w:val="13"/>
                <w:szCs w:val="13"/>
                <w:color w:val="auto"/>
              </w:rPr>
            </w:pPr>
          </w:p>
        </w:tc>
        <w:tc>
          <w:tcPr>
            <w:tcW w:w="4860" w:type="dxa"/>
            <w:vAlign w:val="bottom"/>
          </w:tcPr>
          <w:p>
            <w:pPr>
              <w:jc w:val="right"/>
              <w:spacing w:after="0"/>
              <w:rPr>
                <w:sz w:val="20"/>
                <w:szCs w:val="20"/>
                <w:color w:val="auto"/>
              </w:rPr>
            </w:pPr>
            <w:r>
              <w:rPr>
                <w:rFonts w:ascii="Arial" w:cs="Arial" w:eastAsia="Arial" w:hAnsi="Arial"/>
                <w:sz w:val="13"/>
                <w:szCs w:val="13"/>
                <w:b w:val="1"/>
                <w:bCs w:val="1"/>
                <w:color w:val="auto"/>
              </w:rPr>
              <w:t>Outstanding Stock</w:t>
            </w:r>
          </w:p>
        </w:tc>
      </w:tr>
      <w:tr>
        <w:trPr>
          <w:trHeight w:val="172"/>
        </w:trPr>
        <w:tc>
          <w:tcPr>
            <w:tcW w:w="5900" w:type="dxa"/>
            <w:vAlign w:val="bottom"/>
          </w:tcPr>
          <w:p>
            <w:pPr>
              <w:ind w:left="20"/>
              <w:spacing w:after="0"/>
              <w:rPr>
                <w:sz w:val="20"/>
                <w:szCs w:val="20"/>
                <w:color w:val="auto"/>
              </w:rPr>
            </w:pPr>
            <w:r>
              <w:rPr>
                <w:rFonts w:ascii="Arial" w:cs="Arial" w:eastAsia="Arial" w:hAnsi="Arial"/>
                <w:sz w:val="13"/>
                <w:szCs w:val="13"/>
                <w:b w:val="1"/>
                <w:bCs w:val="1"/>
                <w:color w:val="auto"/>
              </w:rPr>
              <w:t>Name</w:t>
            </w:r>
          </w:p>
        </w:tc>
        <w:tc>
          <w:tcPr>
            <w:tcW w:w="4860" w:type="dxa"/>
            <w:vAlign w:val="bottom"/>
          </w:tcPr>
          <w:p>
            <w:pPr>
              <w:jc w:val="right"/>
              <w:spacing w:after="0"/>
              <w:rPr>
                <w:sz w:val="20"/>
                <w:szCs w:val="20"/>
                <w:color w:val="auto"/>
              </w:rPr>
            </w:pPr>
            <w:r>
              <w:rPr>
                <w:rFonts w:ascii="Arial" w:cs="Arial" w:eastAsia="Arial" w:hAnsi="Arial"/>
                <w:sz w:val="13"/>
                <w:szCs w:val="13"/>
                <w:b w:val="1"/>
                <w:bCs w:val="1"/>
                <w:color w:val="auto"/>
              </w:rPr>
              <w:t>Options</w:t>
            </w:r>
          </w:p>
        </w:tc>
      </w:tr>
      <w:tr>
        <w:trPr>
          <w:trHeight w:val="22"/>
        </w:trPr>
        <w:tc>
          <w:tcPr>
            <w:tcW w:w="5900" w:type="dxa"/>
            <w:vAlign w:val="bottom"/>
            <w:tcBorders>
              <w:bottom w:val="single" w:sz="8" w:color="0C3471"/>
            </w:tcBorders>
          </w:tcPr>
          <w:p>
            <w:pPr>
              <w:spacing w:after="0" w:line="20" w:lineRule="exact"/>
              <w:rPr>
                <w:sz w:val="1"/>
                <w:szCs w:val="1"/>
                <w:color w:val="auto"/>
              </w:rPr>
            </w:pPr>
          </w:p>
        </w:tc>
        <w:tc>
          <w:tcPr>
            <w:tcW w:w="4860" w:type="dxa"/>
            <w:vAlign w:val="bottom"/>
            <w:tcBorders>
              <w:bottom w:val="single" w:sz="8" w:color="0C3471"/>
            </w:tcBorders>
          </w:tcPr>
          <w:p>
            <w:pPr>
              <w:spacing w:after="0" w:line="20" w:lineRule="exact"/>
              <w:rPr>
                <w:sz w:val="1"/>
                <w:szCs w:val="1"/>
                <w:color w:val="auto"/>
              </w:rPr>
            </w:pPr>
          </w:p>
        </w:tc>
      </w:tr>
      <w:tr>
        <w:trPr>
          <w:trHeight w:val="233"/>
        </w:trPr>
        <w:tc>
          <w:tcPr>
            <w:tcW w:w="5900" w:type="dxa"/>
            <w:vAlign w:val="bottom"/>
            <w:tcBorders>
              <w:bottom w:val="single" w:sz="8" w:color="BCBEC0"/>
            </w:tcBorders>
          </w:tcPr>
          <w:p>
            <w:pPr>
              <w:ind w:left="20"/>
              <w:spacing w:after="0"/>
              <w:rPr>
                <w:sz w:val="20"/>
                <w:szCs w:val="20"/>
                <w:color w:val="auto"/>
              </w:rPr>
            </w:pPr>
            <w:r>
              <w:rPr>
                <w:rFonts w:ascii="Arial" w:cs="Arial" w:eastAsia="Arial" w:hAnsi="Arial"/>
                <w:sz w:val="16"/>
                <w:szCs w:val="16"/>
                <w:b w:val="1"/>
                <w:bCs w:val="1"/>
                <w:color w:val="0C3471"/>
              </w:rPr>
              <w:t>Mona Abutaleb Stephenson</w:t>
            </w:r>
          </w:p>
        </w:tc>
        <w:tc>
          <w:tcPr>
            <w:tcW w:w="4860" w:type="dxa"/>
            <w:vAlign w:val="bottom"/>
            <w:tcBorders>
              <w:bottom w:val="single" w:sz="8" w:color="BCBEC0"/>
            </w:tcBorders>
          </w:tcPr>
          <w:p>
            <w:pPr>
              <w:jc w:val="right"/>
              <w:spacing w:after="0"/>
              <w:rPr>
                <w:sz w:val="20"/>
                <w:szCs w:val="20"/>
                <w:color w:val="auto"/>
              </w:rPr>
            </w:pPr>
            <w:r>
              <w:rPr>
                <w:rFonts w:ascii="Arial" w:cs="Arial" w:eastAsia="Arial" w:hAnsi="Arial"/>
                <w:sz w:val="16"/>
                <w:szCs w:val="16"/>
                <w:color w:val="auto"/>
              </w:rPr>
              <w:t>—</w:t>
            </w:r>
          </w:p>
        </w:tc>
      </w:tr>
      <w:tr>
        <w:trPr>
          <w:trHeight w:val="237"/>
        </w:trPr>
        <w:tc>
          <w:tcPr>
            <w:tcW w:w="5900" w:type="dxa"/>
            <w:vAlign w:val="bottom"/>
            <w:tcBorders>
              <w:bottom w:val="single" w:sz="8" w:color="BCBEC0"/>
            </w:tcBorders>
          </w:tcPr>
          <w:p>
            <w:pPr>
              <w:ind w:left="20"/>
              <w:spacing w:after="0"/>
              <w:rPr>
                <w:sz w:val="20"/>
                <w:szCs w:val="20"/>
                <w:color w:val="auto"/>
              </w:rPr>
            </w:pPr>
            <w:r>
              <w:rPr>
                <w:rFonts w:ascii="Arial" w:cs="Arial" w:eastAsia="Arial" w:hAnsi="Arial"/>
                <w:sz w:val="16"/>
                <w:szCs w:val="16"/>
                <w:b w:val="1"/>
                <w:bCs w:val="1"/>
                <w:color w:val="0C3471"/>
              </w:rPr>
              <w:t>Melissa Barra</w:t>
            </w:r>
          </w:p>
        </w:tc>
        <w:tc>
          <w:tcPr>
            <w:tcW w:w="4860" w:type="dxa"/>
            <w:vAlign w:val="bottom"/>
            <w:tcBorders>
              <w:bottom w:val="single" w:sz="8" w:color="BCBEC0"/>
            </w:tcBorders>
          </w:tcPr>
          <w:p>
            <w:pPr>
              <w:jc w:val="right"/>
              <w:spacing w:after="0"/>
              <w:rPr>
                <w:sz w:val="20"/>
                <w:szCs w:val="20"/>
                <w:color w:val="auto"/>
              </w:rPr>
            </w:pPr>
            <w:r>
              <w:rPr>
                <w:rFonts w:ascii="Arial" w:cs="Arial" w:eastAsia="Arial" w:hAnsi="Arial"/>
                <w:sz w:val="16"/>
                <w:szCs w:val="16"/>
                <w:color w:val="auto"/>
              </w:rPr>
              <w:t>—</w:t>
            </w:r>
          </w:p>
        </w:tc>
      </w:tr>
      <w:tr>
        <w:trPr>
          <w:trHeight w:val="236"/>
        </w:trPr>
        <w:tc>
          <w:tcPr>
            <w:tcW w:w="5900" w:type="dxa"/>
            <w:vAlign w:val="bottom"/>
            <w:tcBorders>
              <w:bottom w:val="single" w:sz="8" w:color="BCBEC0"/>
            </w:tcBorders>
          </w:tcPr>
          <w:p>
            <w:pPr>
              <w:ind w:left="20"/>
              <w:spacing w:after="0"/>
              <w:rPr>
                <w:sz w:val="20"/>
                <w:szCs w:val="20"/>
                <w:color w:val="auto"/>
              </w:rPr>
            </w:pPr>
            <w:r>
              <w:rPr>
                <w:rFonts w:ascii="Arial" w:cs="Arial" w:eastAsia="Arial" w:hAnsi="Arial"/>
                <w:sz w:val="16"/>
                <w:szCs w:val="16"/>
                <w:b w:val="1"/>
                <w:bCs w:val="1"/>
                <w:color w:val="0C3471"/>
              </w:rPr>
              <w:t>Tracey C. Doi</w:t>
            </w:r>
          </w:p>
        </w:tc>
        <w:tc>
          <w:tcPr>
            <w:tcW w:w="4860" w:type="dxa"/>
            <w:vAlign w:val="bottom"/>
            <w:tcBorders>
              <w:bottom w:val="single" w:sz="8" w:color="BCBEC0"/>
            </w:tcBorders>
          </w:tcPr>
          <w:p>
            <w:pPr>
              <w:jc w:val="right"/>
              <w:spacing w:after="0"/>
              <w:rPr>
                <w:sz w:val="20"/>
                <w:szCs w:val="20"/>
                <w:color w:val="auto"/>
              </w:rPr>
            </w:pPr>
            <w:r>
              <w:rPr>
                <w:rFonts w:ascii="Arial" w:cs="Arial" w:eastAsia="Arial" w:hAnsi="Arial"/>
                <w:sz w:val="16"/>
                <w:szCs w:val="16"/>
                <w:color w:val="auto"/>
              </w:rPr>
              <w:t>—</w:t>
            </w:r>
          </w:p>
        </w:tc>
      </w:tr>
      <w:tr>
        <w:trPr>
          <w:trHeight w:val="237"/>
        </w:trPr>
        <w:tc>
          <w:tcPr>
            <w:tcW w:w="5900" w:type="dxa"/>
            <w:vAlign w:val="bottom"/>
            <w:tcBorders>
              <w:bottom w:val="single" w:sz="8" w:color="BCBEC0"/>
            </w:tcBorders>
          </w:tcPr>
          <w:p>
            <w:pPr>
              <w:ind w:left="20"/>
              <w:spacing w:after="0"/>
              <w:rPr>
                <w:sz w:val="20"/>
                <w:szCs w:val="20"/>
                <w:color w:val="auto"/>
              </w:rPr>
            </w:pPr>
            <w:r>
              <w:rPr>
                <w:rFonts w:ascii="Arial" w:cs="Arial" w:eastAsia="Arial" w:hAnsi="Arial"/>
                <w:sz w:val="16"/>
                <w:szCs w:val="16"/>
                <w:b w:val="1"/>
                <w:bCs w:val="1"/>
                <w:color w:val="0C3471"/>
              </w:rPr>
              <w:t>T. Michael Glenn</w:t>
            </w:r>
          </w:p>
        </w:tc>
        <w:tc>
          <w:tcPr>
            <w:tcW w:w="4860" w:type="dxa"/>
            <w:vAlign w:val="bottom"/>
            <w:tcBorders>
              <w:bottom w:val="single" w:sz="8" w:color="BCBEC0"/>
            </w:tcBorders>
          </w:tcPr>
          <w:p>
            <w:pPr>
              <w:jc w:val="right"/>
              <w:spacing w:after="0"/>
              <w:rPr>
                <w:sz w:val="20"/>
                <w:szCs w:val="20"/>
                <w:color w:val="auto"/>
              </w:rPr>
            </w:pPr>
            <w:r>
              <w:rPr>
                <w:rFonts w:ascii="Arial" w:cs="Arial" w:eastAsia="Arial" w:hAnsi="Arial"/>
                <w:sz w:val="16"/>
                <w:szCs w:val="16"/>
                <w:color w:val="auto"/>
              </w:rPr>
              <w:t>5,244</w:t>
            </w:r>
          </w:p>
        </w:tc>
      </w:tr>
      <w:tr>
        <w:trPr>
          <w:trHeight w:val="237"/>
        </w:trPr>
        <w:tc>
          <w:tcPr>
            <w:tcW w:w="5900" w:type="dxa"/>
            <w:vAlign w:val="bottom"/>
            <w:tcBorders>
              <w:bottom w:val="single" w:sz="8" w:color="BCBEC0"/>
            </w:tcBorders>
          </w:tcPr>
          <w:p>
            <w:pPr>
              <w:ind w:left="20"/>
              <w:spacing w:after="0"/>
              <w:rPr>
                <w:sz w:val="20"/>
                <w:szCs w:val="20"/>
                <w:color w:val="auto"/>
              </w:rPr>
            </w:pPr>
            <w:r>
              <w:rPr>
                <w:rFonts w:ascii="Arial" w:cs="Arial" w:eastAsia="Arial" w:hAnsi="Arial"/>
                <w:sz w:val="16"/>
                <w:szCs w:val="16"/>
                <w:b w:val="1"/>
                <w:bCs w:val="1"/>
                <w:color w:val="0C3471"/>
              </w:rPr>
              <w:t>Theodore L. Harris</w:t>
            </w:r>
          </w:p>
        </w:tc>
        <w:tc>
          <w:tcPr>
            <w:tcW w:w="4860" w:type="dxa"/>
            <w:vAlign w:val="bottom"/>
            <w:tcBorders>
              <w:bottom w:val="single" w:sz="8" w:color="BCBEC0"/>
            </w:tcBorders>
          </w:tcPr>
          <w:p>
            <w:pPr>
              <w:jc w:val="right"/>
              <w:spacing w:after="0"/>
              <w:rPr>
                <w:sz w:val="20"/>
                <w:szCs w:val="20"/>
                <w:color w:val="auto"/>
              </w:rPr>
            </w:pPr>
            <w:r>
              <w:rPr>
                <w:rFonts w:ascii="Arial" w:cs="Arial" w:eastAsia="Arial" w:hAnsi="Arial"/>
                <w:sz w:val="16"/>
                <w:szCs w:val="16"/>
                <w:color w:val="auto"/>
              </w:rPr>
              <w:t>—</w:t>
            </w:r>
          </w:p>
        </w:tc>
      </w:tr>
      <w:tr>
        <w:trPr>
          <w:trHeight w:val="237"/>
        </w:trPr>
        <w:tc>
          <w:tcPr>
            <w:tcW w:w="5900" w:type="dxa"/>
            <w:vAlign w:val="bottom"/>
            <w:tcBorders>
              <w:bottom w:val="single" w:sz="8" w:color="BCBEC0"/>
            </w:tcBorders>
          </w:tcPr>
          <w:p>
            <w:pPr>
              <w:ind w:left="20"/>
              <w:spacing w:after="0"/>
              <w:rPr>
                <w:sz w:val="20"/>
                <w:szCs w:val="20"/>
                <w:color w:val="auto"/>
              </w:rPr>
            </w:pPr>
            <w:r>
              <w:rPr>
                <w:rFonts w:ascii="Arial" w:cs="Arial" w:eastAsia="Arial" w:hAnsi="Arial"/>
                <w:sz w:val="16"/>
                <w:szCs w:val="16"/>
                <w:b w:val="1"/>
                <w:bCs w:val="1"/>
                <w:color w:val="0C3471"/>
              </w:rPr>
              <w:t>David A. Jones</w:t>
            </w:r>
          </w:p>
        </w:tc>
        <w:tc>
          <w:tcPr>
            <w:tcW w:w="4860" w:type="dxa"/>
            <w:vAlign w:val="bottom"/>
            <w:tcBorders>
              <w:bottom w:val="single" w:sz="8" w:color="BCBEC0"/>
            </w:tcBorders>
          </w:tcPr>
          <w:p>
            <w:pPr>
              <w:jc w:val="right"/>
              <w:spacing w:after="0"/>
              <w:rPr>
                <w:sz w:val="20"/>
                <w:szCs w:val="20"/>
                <w:color w:val="auto"/>
              </w:rPr>
            </w:pPr>
            <w:r>
              <w:rPr>
                <w:rFonts w:ascii="Arial" w:cs="Arial" w:eastAsia="Arial" w:hAnsi="Arial"/>
                <w:sz w:val="16"/>
                <w:szCs w:val="16"/>
                <w:color w:val="auto"/>
              </w:rPr>
              <w:t>5,244</w:t>
            </w:r>
          </w:p>
        </w:tc>
      </w:tr>
      <w:tr>
        <w:trPr>
          <w:trHeight w:val="237"/>
        </w:trPr>
        <w:tc>
          <w:tcPr>
            <w:tcW w:w="5900" w:type="dxa"/>
            <w:vAlign w:val="bottom"/>
            <w:tcBorders>
              <w:bottom w:val="single" w:sz="8" w:color="BCBEC0"/>
            </w:tcBorders>
          </w:tcPr>
          <w:p>
            <w:pPr>
              <w:ind w:left="20"/>
              <w:spacing w:after="0"/>
              <w:rPr>
                <w:sz w:val="20"/>
                <w:szCs w:val="20"/>
                <w:color w:val="auto"/>
              </w:rPr>
            </w:pPr>
            <w:r>
              <w:rPr>
                <w:rFonts w:ascii="Arial" w:cs="Arial" w:eastAsia="Arial" w:hAnsi="Arial"/>
                <w:sz w:val="16"/>
                <w:szCs w:val="16"/>
                <w:b w:val="1"/>
                <w:bCs w:val="1"/>
                <w:color w:val="0C3471"/>
              </w:rPr>
              <w:t>Gregory E. Knight</w:t>
            </w:r>
          </w:p>
        </w:tc>
        <w:tc>
          <w:tcPr>
            <w:tcW w:w="4860" w:type="dxa"/>
            <w:vAlign w:val="bottom"/>
            <w:tcBorders>
              <w:bottom w:val="single" w:sz="8" w:color="BCBEC0"/>
            </w:tcBorders>
          </w:tcPr>
          <w:p>
            <w:pPr>
              <w:jc w:val="right"/>
              <w:spacing w:after="0"/>
              <w:rPr>
                <w:sz w:val="20"/>
                <w:szCs w:val="20"/>
                <w:color w:val="auto"/>
              </w:rPr>
            </w:pPr>
            <w:r>
              <w:rPr>
                <w:rFonts w:ascii="Arial" w:cs="Arial" w:eastAsia="Arial" w:hAnsi="Arial"/>
                <w:sz w:val="16"/>
                <w:szCs w:val="16"/>
                <w:color w:val="auto"/>
              </w:rPr>
              <w:t>—</w:t>
            </w:r>
          </w:p>
        </w:tc>
      </w:tr>
      <w:tr>
        <w:trPr>
          <w:trHeight w:val="236"/>
        </w:trPr>
        <w:tc>
          <w:tcPr>
            <w:tcW w:w="5900" w:type="dxa"/>
            <w:vAlign w:val="bottom"/>
            <w:tcBorders>
              <w:bottom w:val="single" w:sz="8" w:color="BCBEC0"/>
            </w:tcBorders>
          </w:tcPr>
          <w:p>
            <w:pPr>
              <w:ind w:left="20"/>
              <w:spacing w:after="0"/>
              <w:rPr>
                <w:sz w:val="20"/>
                <w:szCs w:val="20"/>
                <w:color w:val="auto"/>
              </w:rPr>
            </w:pPr>
            <w:r>
              <w:rPr>
                <w:rFonts w:ascii="Arial" w:cs="Arial" w:eastAsia="Arial" w:hAnsi="Arial"/>
                <w:sz w:val="16"/>
                <w:szCs w:val="16"/>
                <w:b w:val="1"/>
                <w:bCs w:val="1"/>
                <w:color w:val="0C3471"/>
              </w:rPr>
              <w:t>Michael T. Speetzen</w:t>
            </w:r>
          </w:p>
        </w:tc>
        <w:tc>
          <w:tcPr>
            <w:tcW w:w="4860" w:type="dxa"/>
            <w:vAlign w:val="bottom"/>
            <w:tcBorders>
              <w:bottom w:val="single" w:sz="8" w:color="BCBEC0"/>
            </w:tcBorders>
          </w:tcPr>
          <w:p>
            <w:pPr>
              <w:jc w:val="right"/>
              <w:spacing w:after="0"/>
              <w:rPr>
                <w:sz w:val="20"/>
                <w:szCs w:val="20"/>
                <w:color w:val="auto"/>
              </w:rPr>
            </w:pPr>
            <w:r>
              <w:rPr>
                <w:rFonts w:ascii="Arial" w:cs="Arial" w:eastAsia="Arial" w:hAnsi="Arial"/>
                <w:sz w:val="16"/>
                <w:szCs w:val="16"/>
                <w:color w:val="auto"/>
              </w:rPr>
              <w:t>—</w:t>
            </w:r>
          </w:p>
        </w:tc>
      </w:tr>
      <w:tr>
        <w:trPr>
          <w:trHeight w:val="237"/>
        </w:trPr>
        <w:tc>
          <w:tcPr>
            <w:tcW w:w="5900" w:type="dxa"/>
            <w:vAlign w:val="bottom"/>
            <w:tcBorders>
              <w:bottom w:val="single" w:sz="8" w:color="0C3471"/>
            </w:tcBorders>
          </w:tcPr>
          <w:p>
            <w:pPr>
              <w:ind w:left="20"/>
              <w:spacing w:after="0"/>
              <w:rPr>
                <w:sz w:val="20"/>
                <w:szCs w:val="20"/>
                <w:color w:val="auto"/>
              </w:rPr>
            </w:pPr>
            <w:r>
              <w:rPr>
                <w:rFonts w:ascii="Arial" w:cs="Arial" w:eastAsia="Arial" w:hAnsi="Arial"/>
                <w:sz w:val="16"/>
                <w:szCs w:val="16"/>
                <w:b w:val="1"/>
                <w:bCs w:val="1"/>
                <w:color w:val="0C3471"/>
              </w:rPr>
              <w:t>Billie I. Williamson</w:t>
            </w:r>
          </w:p>
        </w:tc>
        <w:tc>
          <w:tcPr>
            <w:tcW w:w="4860" w:type="dxa"/>
            <w:vAlign w:val="bottom"/>
            <w:tcBorders>
              <w:bottom w:val="single" w:sz="8" w:color="0C3471"/>
            </w:tcBorders>
          </w:tcPr>
          <w:p>
            <w:pPr>
              <w:jc w:val="right"/>
              <w:spacing w:after="0"/>
              <w:rPr>
                <w:sz w:val="20"/>
                <w:szCs w:val="20"/>
                <w:color w:val="auto"/>
              </w:rPr>
            </w:pPr>
            <w:r>
              <w:rPr>
                <w:rFonts w:ascii="Arial" w:cs="Arial" w:eastAsia="Arial" w:hAnsi="Arial"/>
                <w:sz w:val="16"/>
                <w:szCs w:val="16"/>
                <w:color w:val="auto"/>
              </w:rPr>
              <w:t>—</w:t>
            </w:r>
          </w:p>
        </w:tc>
      </w:tr>
    </w:tbl>
    <w:p>
      <w:pPr>
        <w:spacing w:after="0" w:line="193" w:lineRule="exact"/>
        <w:rPr>
          <w:sz w:val="20"/>
          <w:szCs w:val="20"/>
          <w:color w:val="auto"/>
        </w:rPr>
      </w:pPr>
    </w:p>
    <w:p>
      <w:pPr>
        <w:ind w:left="192" w:hanging="192"/>
        <w:spacing w:after="0" w:line="264" w:lineRule="auto"/>
        <w:tabs>
          <w:tab w:leader="none" w:pos="206" w:val="left"/>
        </w:tabs>
        <w:numPr>
          <w:ilvl w:val="0"/>
          <w:numId w:val="59"/>
        </w:numPr>
        <w:rPr>
          <w:rFonts w:ascii="Arial" w:cs="Arial" w:eastAsia="Arial" w:hAnsi="Arial"/>
          <w:sz w:val="19"/>
          <w:szCs w:val="19"/>
          <w:color w:val="auto"/>
          <w:vertAlign w:val="superscript"/>
        </w:rPr>
      </w:pPr>
      <w:r>
        <w:rPr>
          <w:rFonts w:ascii="Arial" w:cs="Arial" w:eastAsia="Arial" w:hAnsi="Arial"/>
          <w:sz w:val="14"/>
          <w:szCs w:val="14"/>
          <w:color w:val="auto"/>
        </w:rPr>
        <w:t>The amounts in column (g) for 2025 include: (a) amounts representing at least the aggregate incremental cost of the products and services acquired by all directors through Pentair’s Products and Services Program for Directors; and (b) tax equalization payments on any U.K. taxes paid on account of our company’s payment of, or reimbursement for, (i) lodging expenses incidental to Board and Board committee meetings, (ii) fees and expenses in connection with assistance in the preparation of U.K. tax returns, and (iii) any U.K. tax equalization payment. The directors also occasionally receive personal use of event tickets when such tickets are not being used for business purposes for which we have no aggregate incremental cost.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592" w:hanging="574"/>
        <w:spacing w:after="0"/>
        <w:tabs>
          <w:tab w:leader="none" w:pos="592" w:val="left"/>
        </w:tabs>
        <w:numPr>
          <w:ilvl w:val="0"/>
          <w:numId w:val="60"/>
        </w:numPr>
        <w:rPr>
          <w:rFonts w:ascii="Arial" w:cs="Arial" w:eastAsia="Arial" w:hAnsi="Arial"/>
          <w:sz w:val="16"/>
          <w:szCs w:val="16"/>
          <w:b w:val="1"/>
          <w:bCs w:val="1"/>
          <w:color w:val="auto"/>
        </w:rPr>
      </w:pPr>
      <w:r>
        <w:rPr>
          <w:rFonts w:ascii="Arial" w:cs="Arial" w:eastAsia="Arial" w:hAnsi="Arial"/>
          <w:sz w:val="16"/>
          <w:szCs w:val="16"/>
          <w:color w:val="auto"/>
        </w:rPr>
        <w:t xml:space="preserve">Pentair </w:t>
      </w:r>
      <w:r>
        <w:rPr>
          <w:rFonts w:ascii="Arial" w:cs="Arial" w:eastAsia="Arial" w:hAnsi="Arial"/>
          <w:sz w:val="16"/>
          <w:szCs w:val="16"/>
          <w:b w:val="1"/>
          <w:bCs w:val="1"/>
          <w:color w:val="0C3471"/>
        </w:rPr>
        <w:t>|</w:t>
      </w:r>
      <w:r>
        <w:rPr>
          <w:rFonts w:ascii="Arial" w:cs="Arial" w:eastAsia="Arial" w:hAnsi="Arial"/>
          <w:sz w:val="16"/>
          <w:szCs w:val="16"/>
          <w:color w:val="auto"/>
        </w:rPr>
        <w:t xml:space="preserve"> </w:t>
      </w:r>
      <w:r>
        <w:rPr>
          <w:rFonts w:ascii="Arial" w:cs="Arial" w:eastAsia="Arial" w:hAnsi="Arial"/>
          <w:sz w:val="16"/>
          <w:szCs w:val="16"/>
          <w:b w:val="1"/>
          <w:bCs w:val="1"/>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205105</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341" w:right="359" w:bottom="1440" w:gutter="0" w:footer="0" w:header="0"/>
        </w:sectPr>
      </w:pPr>
    </w:p>
    <w:bookmarkStart w:id="32" w:name="page33"/>
    <w:bookmarkEnd w:id="32"/>
    <w:p>
      <w:pPr>
        <w:spacing w:after="0" w:line="18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860425</wp:posOffset>
            </wp:positionV>
            <wp:extent cx="7132320" cy="608647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32320" cy="6086475"/>
                    </a:xfrm>
                    <a:prstGeom prst="rect">
                      <a:avLst/>
                    </a:prstGeom>
                    <a:noFill/>
                  </pic:spPr>
                </pic:pic>
              </a:graphicData>
            </a:graphic>
          </wp:anchor>
        </w:drawing>
      </w:r>
    </w:p>
    <w:p>
      <w:pPr>
        <w:ind w:left="360"/>
        <w:spacing w:after="0"/>
        <w:rPr>
          <w:sz w:val="20"/>
          <w:szCs w:val="20"/>
          <w:color w:val="auto"/>
        </w:rPr>
      </w:pPr>
      <w:r>
        <w:rPr>
          <w:rFonts w:ascii="Arial" w:cs="Arial" w:eastAsia="Arial" w:hAnsi="Arial"/>
          <w:sz w:val="25"/>
          <w:szCs w:val="25"/>
          <w:b w:val="1"/>
          <w:bCs w:val="1"/>
          <w:color w:val="auto"/>
        </w:rPr>
        <w:t>PROPOSAL 2</w:t>
      </w:r>
    </w:p>
    <w:p>
      <w:pPr>
        <w:spacing w:after="0" w:line="86" w:lineRule="exact"/>
        <w:rPr>
          <w:sz w:val="20"/>
          <w:szCs w:val="20"/>
          <w:color w:val="auto"/>
        </w:rPr>
      </w:pPr>
    </w:p>
    <w:p>
      <w:pPr>
        <w:ind w:left="360" w:right="2100"/>
        <w:spacing w:after="0" w:line="281" w:lineRule="auto"/>
        <w:rPr>
          <w:sz w:val="20"/>
          <w:szCs w:val="20"/>
          <w:color w:val="auto"/>
        </w:rPr>
      </w:pPr>
      <w:r>
        <w:rPr>
          <w:rFonts w:ascii="Arial" w:cs="Arial" w:eastAsia="Arial" w:hAnsi="Arial"/>
          <w:sz w:val="38"/>
          <w:szCs w:val="38"/>
          <w:color w:val="0C3471"/>
        </w:rPr>
        <w:t>Approve, by Nonbinding, Advisory Vote, the Compensation of the Named Executive Officers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560"/>
        <w:spacing w:after="0" w:line="273" w:lineRule="auto"/>
        <w:rPr>
          <w:sz w:val="20"/>
          <w:szCs w:val="20"/>
          <w:color w:val="auto"/>
        </w:rPr>
      </w:pPr>
      <w:r>
        <w:rPr>
          <w:rFonts w:ascii="Arial" w:cs="Arial" w:eastAsia="Arial" w:hAnsi="Arial"/>
          <w:sz w:val="13"/>
          <w:szCs w:val="13"/>
          <w:color w:val="auto"/>
        </w:rPr>
        <w:t xml:space="preserve">The Board recommends a vote </w:t>
      </w:r>
      <w:r>
        <w:rPr>
          <w:rFonts w:ascii="Arial" w:cs="Arial" w:eastAsia="Arial" w:hAnsi="Arial"/>
          <w:sz w:val="13"/>
          <w:szCs w:val="13"/>
          <w:b w:val="1"/>
          <w:bCs w:val="1"/>
          <w:color w:val="0C3471"/>
        </w:rPr>
        <w:t>FOR</w:t>
      </w:r>
      <w:r>
        <w:rPr>
          <w:rFonts w:ascii="Arial" w:cs="Arial" w:eastAsia="Arial" w:hAnsi="Arial"/>
          <w:sz w:val="13"/>
          <w:szCs w:val="13"/>
          <w:color w:val="auto"/>
        </w:rPr>
        <w:t xml:space="preserve"> approval of the compensation of the Named Executive Officers</w:t>
      </w:r>
    </w:p>
    <w:p>
      <w:pPr>
        <w:spacing w:after="0" w:line="57" w:lineRule="exact"/>
        <w:rPr>
          <w:sz w:val="20"/>
          <w:szCs w:val="20"/>
          <w:color w:val="auto"/>
        </w:rPr>
      </w:pPr>
    </w:p>
    <w:p>
      <w:pPr>
        <w:ind w:right="460"/>
        <w:spacing w:after="0" w:line="273" w:lineRule="auto"/>
        <w:rPr>
          <w:sz w:val="20"/>
          <w:szCs w:val="20"/>
          <w:color w:val="auto"/>
        </w:rPr>
      </w:pPr>
      <w:r>
        <w:rPr>
          <w:rFonts w:ascii="Arial" w:cs="Arial" w:eastAsia="Arial" w:hAnsi="Arial"/>
          <w:sz w:val="13"/>
          <w:szCs w:val="13"/>
          <w:color w:val="auto"/>
        </w:rPr>
        <w:t xml:space="preserve">See discussion beginning on </w:t>
      </w:r>
      <w:r>
        <w:rPr>
          <w:rFonts w:ascii="Arial" w:cs="Arial" w:eastAsia="Arial" w:hAnsi="Arial"/>
          <w:sz w:val="13"/>
          <w:szCs w:val="13"/>
          <w:b w:val="1"/>
          <w:bCs w:val="1"/>
          <w:color w:val="auto"/>
        </w:rPr>
        <w:t>page 33</w:t>
      </w:r>
      <w:r>
        <w:rPr>
          <w:rFonts w:ascii="Arial" w:cs="Arial" w:eastAsia="Arial" w:hAnsi="Arial"/>
          <w:sz w:val="13"/>
          <w:szCs w:val="13"/>
          <w:color w:val="auto"/>
        </w:rPr>
        <w:t xml:space="preserve"> for further information about the compensation of the Named Executive Officers</w:t>
      </w:r>
    </w:p>
    <w:p>
      <w:pPr>
        <w:spacing w:after="0" w:line="1046" w:lineRule="exact"/>
        <w:rPr>
          <w:sz w:val="20"/>
          <w:szCs w:val="20"/>
          <w:color w:val="auto"/>
        </w:rPr>
      </w:pPr>
    </w:p>
    <w:p>
      <w:pPr>
        <w:sectPr>
          <w:pgSz w:w="11900" w:h="16838" w:orient="portrait"/>
          <w:cols w:equalWidth="0" w:num="2">
            <w:col w:w="7280" w:space="720"/>
            <w:col w:w="3240"/>
          </w:cols>
          <w:pgMar w:left="320" w:top="1440" w:right="339" w:bottom="1440" w:gutter="0" w:footer="0" w:header="0"/>
        </w:sectPr>
      </w:pPr>
    </w:p>
    <w:p>
      <w:pPr>
        <w:ind w:left="360" w:right="440"/>
        <w:spacing w:after="0" w:line="292" w:lineRule="auto"/>
        <w:rPr>
          <w:sz w:val="20"/>
          <w:szCs w:val="20"/>
          <w:color w:val="auto"/>
        </w:rPr>
      </w:pPr>
      <w:r>
        <w:rPr>
          <w:rFonts w:ascii="Arial" w:cs="Arial" w:eastAsia="Arial" w:hAnsi="Arial"/>
          <w:sz w:val="16"/>
          <w:szCs w:val="16"/>
          <w:color w:val="auto"/>
        </w:rPr>
        <w:t>In accordance with Section 14A of the Securities Exchange Act of 1934, the Board is asking the shareholders to approve, by nonbinding, advisory vote, the compensation of the Named Executive Officers disclosed in the sections below titled “Compensation Discussion and Analysis” and “Executive Compensation Tables.” We currently hold these votes annually.</w:t>
      </w:r>
    </w:p>
    <w:p>
      <w:pPr>
        <w:spacing w:after="0" w:line="71" w:lineRule="exact"/>
        <w:rPr>
          <w:sz w:val="20"/>
          <w:szCs w:val="20"/>
          <w:color w:val="auto"/>
        </w:rPr>
      </w:pPr>
    </w:p>
    <w:p>
      <w:pPr>
        <w:ind w:left="360" w:right="480"/>
        <w:spacing w:after="0" w:line="279" w:lineRule="auto"/>
        <w:rPr>
          <w:sz w:val="20"/>
          <w:szCs w:val="20"/>
          <w:color w:val="auto"/>
        </w:rPr>
      </w:pPr>
      <w:r>
        <w:rPr>
          <w:rFonts w:ascii="Arial" w:cs="Arial" w:eastAsia="Arial" w:hAnsi="Arial"/>
          <w:sz w:val="16"/>
          <w:szCs w:val="16"/>
          <w:color w:val="auto"/>
        </w:rPr>
        <w:t>Executive compensation is an important matter to the Board and the Compensation Committee and to our shareholders. We have designed our executive compensation program to align executive and shareholder interests by rewarding the achievement of specific annual, long-term, and strategic goals that create long-term shareholder value. We believe that our executive compensation program provides competitive compensation that motivates and rewards executives for achieving financial and strategic objectives, provides rewards commensurate with performance to incentivize the Named Executive Officers to perform at their highest levels, encourages growth and innovation, attracts and retains the Named Executive Officers and other key executives, and aligns our executive compensation with shareholders’ interests through the use of equity-based incentive awards.</w:t>
      </w:r>
    </w:p>
    <w:p>
      <w:pPr>
        <w:spacing w:after="0" w:line="82" w:lineRule="exact"/>
        <w:rPr>
          <w:sz w:val="20"/>
          <w:szCs w:val="20"/>
          <w:color w:val="auto"/>
        </w:rPr>
      </w:pPr>
    </w:p>
    <w:p>
      <w:pPr>
        <w:ind w:left="360" w:right="540"/>
        <w:spacing w:after="0" w:line="289" w:lineRule="auto"/>
        <w:rPr>
          <w:sz w:val="20"/>
          <w:szCs w:val="20"/>
          <w:color w:val="auto"/>
        </w:rPr>
      </w:pPr>
      <w:r>
        <w:rPr>
          <w:rFonts w:ascii="Arial" w:cs="Arial" w:eastAsia="Arial" w:hAnsi="Arial"/>
          <w:sz w:val="16"/>
          <w:szCs w:val="16"/>
          <w:color w:val="auto"/>
        </w:rPr>
        <w:t>The Compensation Committee has overseen the development and implementation of our executive compensation program in line with these compensation objectives. The Compensation Committee continuously reviews, evaluates and updates our executive compensation program to ensure that we provide competitive compensation that motivates the Named Executive Officers to perform at their highest levels while increasing long-term value to our shareholders.</w:t>
      </w:r>
    </w:p>
    <w:p>
      <w:pPr>
        <w:spacing w:after="0" w:line="59" w:lineRule="exact"/>
        <w:rPr>
          <w:sz w:val="20"/>
          <w:szCs w:val="20"/>
          <w:color w:val="auto"/>
        </w:rPr>
      </w:pPr>
    </w:p>
    <w:p>
      <w:pPr>
        <w:ind w:left="360" w:right="620"/>
        <w:spacing w:after="0" w:line="321" w:lineRule="auto"/>
        <w:rPr>
          <w:sz w:val="20"/>
          <w:szCs w:val="20"/>
          <w:color w:val="auto"/>
        </w:rPr>
      </w:pPr>
      <w:r>
        <w:rPr>
          <w:rFonts w:ascii="Arial" w:cs="Arial" w:eastAsia="Arial" w:hAnsi="Arial"/>
          <w:sz w:val="16"/>
          <w:szCs w:val="16"/>
          <w:color w:val="auto"/>
        </w:rPr>
        <w:t>As described in detail under “Compensation Discussion and Analysis — Shareholder Outreach,” we continued our shareholder outreach on this and other matters in 2025.</w:t>
      </w:r>
    </w:p>
    <w:p>
      <w:pPr>
        <w:spacing w:after="0" w:line="48" w:lineRule="exact"/>
        <w:rPr>
          <w:sz w:val="20"/>
          <w:szCs w:val="20"/>
          <w:color w:val="auto"/>
        </w:rPr>
      </w:pPr>
    </w:p>
    <w:p>
      <w:pPr>
        <w:ind w:left="360" w:right="580"/>
        <w:spacing w:after="0" w:line="283" w:lineRule="auto"/>
        <w:rPr>
          <w:sz w:val="20"/>
          <w:szCs w:val="20"/>
          <w:color w:val="auto"/>
        </w:rPr>
      </w:pPr>
      <w:r>
        <w:rPr>
          <w:rFonts w:ascii="Arial" w:cs="Arial" w:eastAsia="Arial" w:hAnsi="Arial"/>
          <w:sz w:val="16"/>
          <w:szCs w:val="16"/>
          <w:color w:val="auto"/>
        </w:rPr>
        <w:t>These and other actions demonstrate our continued commitment to align executive compensation with shareholders’ interests while providing competitive compensation to attract, motivate and retain the Named Executive Officers and other key executives. We will continue to review and adjust our executive compensation program with these goals in mind to ensure the long-term success of our company and generate increased long-term value to our shareholders.</w:t>
      </w:r>
    </w:p>
    <w:p>
      <w:pPr>
        <w:spacing w:after="0" w:line="77" w:lineRule="exact"/>
        <w:rPr>
          <w:sz w:val="20"/>
          <w:szCs w:val="20"/>
          <w:color w:val="auto"/>
        </w:rPr>
      </w:pPr>
    </w:p>
    <w:p>
      <w:pPr>
        <w:jc w:val="both"/>
        <w:ind w:left="360" w:right="400"/>
        <w:spacing w:after="0" w:line="292" w:lineRule="auto"/>
        <w:rPr>
          <w:sz w:val="20"/>
          <w:szCs w:val="20"/>
          <w:color w:val="auto"/>
        </w:rPr>
      </w:pPr>
      <w:r>
        <w:rPr>
          <w:rFonts w:ascii="Arial" w:cs="Arial" w:eastAsia="Arial" w:hAnsi="Arial"/>
          <w:sz w:val="16"/>
          <w:szCs w:val="16"/>
          <w:color w:val="auto"/>
        </w:rPr>
        <w:t>This nonbinding, advisory vote gives you an opportunity to express your views about our executive compensation program. As we further align our executive compensation program with the interests of our shareholders while continuing to retain key talented executives who drive our company’s success, we ask that you approve on an advisory basis the compensation of the Named Executive Officers.</w:t>
      </w:r>
    </w:p>
    <w:p>
      <w:pPr>
        <w:spacing w:after="0" w:line="7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resolution in respect of this Proposal 2 is an ordinary resolution. The text of the resolution with respect to Proposal 2 is as follows:</w:t>
      </w:r>
    </w:p>
    <w:p>
      <w:pPr>
        <w:spacing w:after="0" w:line="127" w:lineRule="exact"/>
        <w:rPr>
          <w:sz w:val="20"/>
          <w:szCs w:val="20"/>
          <w:color w:val="auto"/>
        </w:rPr>
      </w:pPr>
    </w:p>
    <w:p>
      <w:pPr>
        <w:ind w:left="360" w:right="380"/>
        <w:spacing w:after="0" w:line="29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IT IS RESOLVED</w:t>
      </w:r>
      <w:r>
        <w:rPr>
          <w:rFonts w:ascii="Arial" w:cs="Arial" w:eastAsia="Arial" w:hAnsi="Arial"/>
          <w:sz w:val="16"/>
          <w:szCs w:val="16"/>
          <w:color w:val="auto"/>
        </w:rPr>
        <w:t>, that, on a nonbinding, advisory basis, the compensation of Pentair plc’s Named Executive Officers as disclosed in the Compensation Discussion and Analysis, the accompanying tables and the related disclosures contained in Pentair plc’s Proxy Statement is hereby approved.”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53149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32320" cy="531495"/>
                    </a:xfrm>
                    <a:prstGeom prst="rect">
                      <a:avLst/>
                    </a:prstGeom>
                    <a:noFill/>
                  </pic:spPr>
                </pic:pic>
              </a:graphicData>
            </a:graphic>
          </wp:anchor>
        </w:drawing>
      </w:r>
    </w:p>
    <w:p>
      <w:pPr>
        <w:spacing w:after="0" w:line="374" w:lineRule="exact"/>
        <w:rPr>
          <w:sz w:val="20"/>
          <w:szCs w:val="20"/>
          <w:color w:val="auto"/>
        </w:rPr>
      </w:pPr>
    </w:p>
    <w:p>
      <w:pPr>
        <w:ind w:left="360" w:right="1480"/>
        <w:spacing w:after="0" w:line="299" w:lineRule="auto"/>
        <w:rPr>
          <w:sz w:val="20"/>
          <w:szCs w:val="20"/>
          <w:color w:val="auto"/>
        </w:rPr>
      </w:pPr>
      <w:r>
        <w:rPr>
          <w:rFonts w:ascii="Arial" w:cs="Arial" w:eastAsia="Arial" w:hAnsi="Arial"/>
          <w:sz w:val="22"/>
          <w:szCs w:val="22"/>
          <w:color w:val="FFFFFF"/>
        </w:rPr>
        <w:t xml:space="preserve">Each of the Board and the Compensation Committee recommends a vote </w:t>
      </w:r>
      <w:r>
        <w:rPr>
          <w:rFonts w:ascii="Arial" w:cs="Arial" w:eastAsia="Arial" w:hAnsi="Arial"/>
          <w:sz w:val="22"/>
          <w:szCs w:val="22"/>
          <w:b w:val="1"/>
          <w:bCs w:val="1"/>
          <w:color w:val="FFFFFF"/>
        </w:rPr>
        <w:t>FOR</w:t>
      </w:r>
      <w:r>
        <w:rPr>
          <w:rFonts w:ascii="Arial" w:cs="Arial" w:eastAsia="Arial" w:hAnsi="Arial"/>
          <w:sz w:val="22"/>
          <w:szCs w:val="22"/>
          <w:color w:val="FFFFFF"/>
        </w:rPr>
        <w:t xml:space="preserve"> the approval of the compensation of the Named Executive Officers.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10780" w:type="dxa"/>
            <w:vAlign w:val="bottom"/>
          </w:tcPr>
          <w:p>
            <w:pPr>
              <w:ind w:left="8260"/>
              <w:spacing w:after="0"/>
              <w:rPr>
                <w:sz w:val="20"/>
                <w:szCs w:val="20"/>
                <w:color w:val="auto"/>
              </w:rPr>
            </w:pPr>
            <w:r>
              <w:rPr>
                <w:rFonts w:ascii="Arial" w:cs="Arial" w:eastAsia="Arial" w:hAnsi="Arial"/>
                <w:sz w:val="16"/>
                <w:szCs w:val="16"/>
                <w:b w:val="1"/>
                <w:bCs w:val="1"/>
                <w:color w:val="auto"/>
              </w:rPr>
              <w:t xml:space="preserve">2026 Proxy Statement </w:t>
            </w:r>
            <w:r>
              <w:rPr>
                <w:rFonts w:ascii="Arial" w:cs="Arial" w:eastAsia="Arial" w:hAnsi="Arial"/>
                <w:sz w:val="16"/>
                <w:szCs w:val="16"/>
                <w:b w:val="1"/>
                <w:bCs w:val="1"/>
                <w:color w:val="0C3471"/>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Pentair</w:t>
            </w:r>
          </w:p>
        </w:tc>
        <w:tc>
          <w:tcPr>
            <w:tcW w:w="460" w:type="dxa"/>
            <w:vAlign w:val="bottom"/>
          </w:tcPr>
          <w:p>
            <w:pPr>
              <w:jc w:val="right"/>
              <w:spacing w:after="0"/>
              <w:rPr>
                <w:sz w:val="20"/>
                <w:szCs w:val="20"/>
                <w:color w:val="auto"/>
              </w:rPr>
            </w:pPr>
            <w:r>
              <w:rPr>
                <w:rFonts w:ascii="Arial" w:cs="Arial" w:eastAsia="Arial" w:hAnsi="Arial"/>
                <w:sz w:val="16"/>
                <w:szCs w:val="16"/>
                <w:b w:val="1"/>
                <w:bCs w:val="1"/>
                <w:color w:val="auto"/>
              </w:rPr>
              <w:t>31</w:t>
            </w:r>
          </w:p>
        </w:tc>
      </w:tr>
      <w:tr>
        <w:trPr>
          <w:trHeight w:val="325"/>
        </w:trPr>
        <w:tc>
          <w:tcPr>
            <w:tcW w:w="107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33" w:name="page34"/>
    <w:bookmarkEnd w:id="33"/>
    <w:p>
      <w:pPr>
        <w:spacing w:after="0" w:line="7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216535</wp:posOffset>
            </wp:positionH>
            <wp:positionV relativeFrom="page">
              <wp:posOffset>877570</wp:posOffset>
            </wp:positionV>
            <wp:extent cx="445770" cy="47180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clrChange>
                        <a:clrFrom>
                          <a:srgbClr val="FFFFFF"/>
                        </a:clrFrom>
                        <a:clrTo>
                          <a:srgbClr val="FFFFFF">
                            <a:alpha val="0"/>
                          </a:srgbClr>
                        </a:clrTo>
                      </a:clrChange>
                      <a:extLst>
                        <a:ext uri="{28A0092B-C50C-407E-A947-70E740481C1C}"/>
                      </a:extLst>
                    </a:blip>
                    <a:srcRect/>
                    <a:stretch>
                      <a:fillRect/>
                    </a:stretch>
                  </pic:blipFill>
                  <pic:spPr bwMode="auto">
                    <a:xfrm>
                      <a:off x="0" y="0"/>
                      <a:ext cx="445770" cy="471805"/>
                    </a:xfrm>
                    <a:prstGeom prst="rect">
                      <a:avLst/>
                    </a:prstGeom>
                    <a:noFill/>
                  </pic:spPr>
                </pic:pic>
              </a:graphicData>
            </a:graphic>
          </wp:anchor>
        </w:drawing>
      </w:r>
    </w:p>
    <w:p>
      <w:pPr>
        <w:ind w:left="1080"/>
        <w:spacing w:after="0"/>
        <w:rPr>
          <w:sz w:val="20"/>
          <w:szCs w:val="20"/>
          <w:color w:val="auto"/>
        </w:rPr>
      </w:pPr>
      <w:r>
        <w:rPr>
          <w:rFonts w:ascii="Arial" w:cs="Arial" w:eastAsia="Arial" w:hAnsi="Arial"/>
          <w:sz w:val="43"/>
          <w:szCs w:val="43"/>
          <w:b w:val="1"/>
          <w:bCs w:val="1"/>
          <w:color w:val="0C3471"/>
        </w:rPr>
        <w:t>Compensation Committee Report</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line="292" w:lineRule="auto"/>
        <w:rPr>
          <w:sz w:val="20"/>
          <w:szCs w:val="20"/>
          <w:color w:val="auto"/>
        </w:rPr>
      </w:pPr>
      <w:r>
        <w:rPr>
          <w:rFonts w:ascii="Arial" w:cs="Arial" w:eastAsia="Arial" w:hAnsi="Arial"/>
          <w:sz w:val="16"/>
          <w:szCs w:val="16"/>
          <w:color w:val="auto"/>
        </w:rPr>
        <w:t>The Compensation Committee has reviewed and discussed the following Compensation Discussion and Analysis with management and, based on such review and discussions, the Committee has recommended to the Board that the Compensation Discussion and Analysis be included in this Proxy Statement and incorporated by reference into our Annual Report on Form 10-K for the year ended December 31, 2025.</w:t>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color w:val="auto"/>
        </w:rPr>
        <w:t>THE COMPENSATION COMMITTEE</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color w:val="0C3471"/>
        </w:rPr>
        <w:t xml:space="preserve">T. Michael Glenn, </w:t>
      </w:r>
      <w:r>
        <w:rPr>
          <w:rFonts w:ascii="Arial" w:cs="Arial" w:eastAsia="Arial" w:hAnsi="Arial"/>
          <w:sz w:val="16"/>
          <w:szCs w:val="16"/>
          <w:color w:val="000000"/>
        </w:rPr>
        <w:t>Chair</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b w:val="1"/>
          <w:bCs w:val="1"/>
          <w:color w:val="0C3471"/>
        </w:rPr>
        <w:t>Theodore L. Harris</w:t>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b w:val="1"/>
          <w:bCs w:val="1"/>
          <w:color w:val="0C3471"/>
        </w:rPr>
        <w:t>David A. Jones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b w:val="1"/>
          <w:bCs w:val="1"/>
          <w:color w:val="0C3471"/>
        </w:rPr>
        <w:t>Billie I. Williamson</w:t>
      </w:r>
    </w:p>
    <w:p>
      <w:pPr>
        <w:spacing w:after="0" w:line="200" w:lineRule="exact"/>
        <w:rPr>
          <w:sz w:val="20"/>
          <w:szCs w:val="20"/>
          <w:color w:val="auto"/>
        </w:rPr>
      </w:pPr>
    </w:p>
    <w:p>
      <w:pPr>
        <w:spacing w:after="0" w:line="370" w:lineRule="exact"/>
        <w:rPr>
          <w:sz w:val="20"/>
          <w:szCs w:val="20"/>
          <w:color w:val="auto"/>
        </w:rPr>
      </w:pPr>
    </w:p>
    <w:p>
      <w:pPr>
        <w:ind w:left="600" w:hanging="574"/>
        <w:spacing w:after="0"/>
        <w:tabs>
          <w:tab w:leader="none" w:pos="600" w:val="left"/>
        </w:tabs>
        <w:numPr>
          <w:ilvl w:val="0"/>
          <w:numId w:val="61"/>
        </w:numPr>
        <w:rPr>
          <w:rFonts w:ascii="Arial" w:cs="Arial" w:eastAsia="Arial" w:hAnsi="Arial"/>
          <w:sz w:val="16"/>
          <w:szCs w:val="16"/>
          <w:b w:val="1"/>
          <w:bCs w:val="1"/>
          <w:color w:val="auto"/>
        </w:rPr>
      </w:pPr>
      <w:r>
        <w:rPr>
          <w:rFonts w:ascii="Arial" w:cs="Arial" w:eastAsia="Arial" w:hAnsi="Arial"/>
          <w:sz w:val="16"/>
          <w:szCs w:val="16"/>
          <w:color w:val="auto"/>
        </w:rPr>
        <w:t xml:space="preserve">Pentair </w:t>
      </w:r>
      <w:r>
        <w:rPr>
          <w:rFonts w:ascii="Arial" w:cs="Arial" w:eastAsia="Arial" w:hAnsi="Arial"/>
          <w:sz w:val="16"/>
          <w:szCs w:val="16"/>
          <w:b w:val="1"/>
          <w:bCs w:val="1"/>
          <w:color w:val="0C3471"/>
        </w:rPr>
        <w:t>|</w:t>
      </w:r>
      <w:r>
        <w:rPr>
          <w:rFonts w:ascii="Arial" w:cs="Arial" w:eastAsia="Arial" w:hAnsi="Arial"/>
          <w:sz w:val="16"/>
          <w:szCs w:val="16"/>
          <w:color w:val="auto"/>
        </w:rPr>
        <w:t xml:space="preserve"> </w:t>
      </w:r>
      <w:r>
        <w:rPr>
          <w:rFonts w:ascii="Arial" w:cs="Arial" w:eastAsia="Arial" w:hAnsi="Arial"/>
          <w:sz w:val="16"/>
          <w:szCs w:val="16"/>
          <w:b w:val="1"/>
          <w:bCs w:val="1"/>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205105</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34" w:name="page35"/>
    <w:bookmarkEnd w:id="34"/>
    <w:p>
      <w:pPr>
        <w:spacing w:after="0" w:line="7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216535</wp:posOffset>
            </wp:positionH>
            <wp:positionV relativeFrom="page">
              <wp:posOffset>877570</wp:posOffset>
            </wp:positionV>
            <wp:extent cx="445770" cy="47180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clrChange>
                        <a:clrFrom>
                          <a:srgbClr val="FFFFFF"/>
                        </a:clrFrom>
                        <a:clrTo>
                          <a:srgbClr val="FFFFFF">
                            <a:alpha val="0"/>
                          </a:srgbClr>
                        </a:clrTo>
                      </a:clrChange>
                      <a:extLst>
                        <a:ext uri="{28A0092B-C50C-407E-A947-70E740481C1C}"/>
                      </a:extLst>
                    </a:blip>
                    <a:srcRect/>
                    <a:stretch>
                      <a:fillRect/>
                    </a:stretch>
                  </pic:blipFill>
                  <pic:spPr bwMode="auto">
                    <a:xfrm>
                      <a:off x="0" y="0"/>
                      <a:ext cx="445770" cy="471805"/>
                    </a:xfrm>
                    <a:prstGeom prst="rect">
                      <a:avLst/>
                    </a:prstGeom>
                    <a:noFill/>
                  </pic:spPr>
                </pic:pic>
              </a:graphicData>
            </a:graphic>
          </wp:anchor>
        </w:drawing>
      </w:r>
    </w:p>
    <w:p>
      <w:pPr>
        <w:ind w:left="1080"/>
        <w:spacing w:after="0"/>
        <w:rPr>
          <w:sz w:val="20"/>
          <w:szCs w:val="20"/>
          <w:color w:val="auto"/>
        </w:rPr>
      </w:pPr>
      <w:r>
        <w:rPr>
          <w:rFonts w:ascii="Arial" w:cs="Arial" w:eastAsia="Arial" w:hAnsi="Arial"/>
          <w:sz w:val="43"/>
          <w:szCs w:val="43"/>
          <w:b w:val="1"/>
          <w:bCs w:val="1"/>
          <w:color w:val="0C3471"/>
        </w:rPr>
        <w:t>Compensation Discussion and Analysis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32"/>
          <w:szCs w:val="32"/>
          <w:color w:val="0C3471"/>
        </w:rPr>
        <w:t>Named Executive Officers</w:t>
      </w:r>
    </w:p>
    <w:p>
      <w:pPr>
        <w:spacing w:after="0" w:line="132" w:lineRule="exact"/>
        <w:rPr>
          <w:sz w:val="20"/>
          <w:szCs w:val="20"/>
          <w:color w:val="auto"/>
        </w:rPr>
      </w:pPr>
    </w:p>
    <w:p>
      <w:pPr>
        <w:ind w:right="220"/>
        <w:spacing w:after="0" w:line="321" w:lineRule="auto"/>
        <w:rPr>
          <w:sz w:val="20"/>
          <w:szCs w:val="20"/>
          <w:color w:val="auto"/>
        </w:rPr>
      </w:pPr>
      <w:r>
        <w:rPr>
          <w:rFonts w:ascii="Arial" w:cs="Arial" w:eastAsia="Arial" w:hAnsi="Arial"/>
          <w:sz w:val="16"/>
          <w:szCs w:val="16"/>
          <w:color w:val="auto"/>
        </w:rPr>
        <w:t>The Compensation Discussion and Analysis describes the compensation programs in regard to the following named executive officers (“Named Executive Officers”) for 2025:</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20" w:type="dxa"/>
            <w:vAlign w:val="bottom"/>
            <w:vMerge w:val="restart"/>
            <w:shd w:val="clear" w:color="auto" w:fill="CED6E3"/>
          </w:tcPr>
          <w:p>
            <w:pPr>
              <w:ind w:left="140"/>
              <w:spacing w:after="0"/>
              <w:rPr>
                <w:sz w:val="20"/>
                <w:szCs w:val="20"/>
                <w:color w:val="auto"/>
              </w:rPr>
            </w:pPr>
            <w:r>
              <w:rPr>
                <w:rFonts w:ascii="Arial" w:cs="Arial" w:eastAsia="Arial" w:hAnsi="Arial"/>
                <w:sz w:val="18"/>
                <w:szCs w:val="18"/>
                <w:b w:val="1"/>
                <w:bCs w:val="1"/>
                <w:color w:val="0C3471"/>
              </w:rPr>
              <w:t>JOHN L.</w:t>
            </w:r>
          </w:p>
        </w:tc>
        <w:tc>
          <w:tcPr>
            <w:tcW w:w="20" w:type="dxa"/>
            <w:vAlign w:val="bottom"/>
            <w:shd w:val="clear" w:color="auto" w:fill="CED6E3"/>
          </w:tcPr>
          <w:p>
            <w:pPr>
              <w:spacing w:after="0"/>
              <w:rPr>
                <w:sz w:val="18"/>
                <w:szCs w:val="18"/>
                <w:color w:val="auto"/>
              </w:rPr>
            </w:pPr>
          </w:p>
        </w:tc>
        <w:tc>
          <w:tcPr>
            <w:tcW w:w="2220" w:type="dxa"/>
            <w:vAlign w:val="bottom"/>
            <w:vMerge w:val="restart"/>
            <w:shd w:val="clear" w:color="auto" w:fill="CED6E3"/>
          </w:tcPr>
          <w:p>
            <w:pPr>
              <w:ind w:left="120"/>
              <w:spacing w:after="0"/>
              <w:rPr>
                <w:sz w:val="20"/>
                <w:szCs w:val="20"/>
                <w:color w:val="auto"/>
              </w:rPr>
            </w:pPr>
            <w:r>
              <w:rPr>
                <w:rFonts w:ascii="Arial" w:cs="Arial" w:eastAsia="Arial" w:hAnsi="Arial"/>
                <w:sz w:val="18"/>
                <w:szCs w:val="18"/>
                <w:b w:val="1"/>
                <w:bCs w:val="1"/>
                <w:color w:val="0C3471"/>
              </w:rPr>
              <w:t>ROBERT P.</w:t>
            </w:r>
          </w:p>
        </w:tc>
        <w:tc>
          <w:tcPr>
            <w:tcW w:w="20" w:type="dxa"/>
            <w:vAlign w:val="bottom"/>
            <w:shd w:val="clear" w:color="auto" w:fill="CED6E3"/>
          </w:tcPr>
          <w:p>
            <w:pPr>
              <w:spacing w:after="0"/>
              <w:rPr>
                <w:sz w:val="18"/>
                <w:szCs w:val="18"/>
                <w:color w:val="auto"/>
              </w:rPr>
            </w:pPr>
          </w:p>
        </w:tc>
        <w:tc>
          <w:tcPr>
            <w:tcW w:w="2220" w:type="dxa"/>
            <w:vAlign w:val="bottom"/>
            <w:vMerge w:val="restart"/>
            <w:shd w:val="clear" w:color="auto" w:fill="CED6E3"/>
          </w:tcPr>
          <w:p>
            <w:pPr>
              <w:ind w:left="140"/>
              <w:spacing w:after="0"/>
              <w:rPr>
                <w:sz w:val="20"/>
                <w:szCs w:val="20"/>
                <w:color w:val="auto"/>
              </w:rPr>
            </w:pPr>
            <w:r>
              <w:rPr>
                <w:rFonts w:ascii="Arial" w:cs="Arial" w:eastAsia="Arial" w:hAnsi="Arial"/>
                <w:sz w:val="18"/>
                <w:szCs w:val="18"/>
                <w:b w:val="1"/>
                <w:bCs w:val="1"/>
                <w:color w:val="0C3471"/>
              </w:rPr>
              <w:t>JEROME O.</w:t>
            </w:r>
          </w:p>
        </w:tc>
        <w:tc>
          <w:tcPr>
            <w:tcW w:w="20" w:type="dxa"/>
            <w:vAlign w:val="bottom"/>
            <w:shd w:val="clear" w:color="auto" w:fill="CED6E3"/>
          </w:tcPr>
          <w:p>
            <w:pPr>
              <w:spacing w:after="0"/>
              <w:rPr>
                <w:sz w:val="18"/>
                <w:szCs w:val="18"/>
                <w:color w:val="auto"/>
              </w:rPr>
            </w:pPr>
          </w:p>
        </w:tc>
        <w:tc>
          <w:tcPr>
            <w:tcW w:w="2220" w:type="dxa"/>
            <w:vAlign w:val="bottom"/>
            <w:vMerge w:val="restart"/>
            <w:shd w:val="clear" w:color="auto" w:fill="CED6E3"/>
          </w:tcPr>
          <w:p>
            <w:pPr>
              <w:ind w:left="140"/>
              <w:spacing w:after="0"/>
              <w:rPr>
                <w:sz w:val="20"/>
                <w:szCs w:val="20"/>
                <w:color w:val="auto"/>
              </w:rPr>
            </w:pPr>
            <w:r>
              <w:rPr>
                <w:rFonts w:ascii="Arial" w:cs="Arial" w:eastAsia="Arial" w:hAnsi="Arial"/>
                <w:sz w:val="18"/>
                <w:szCs w:val="18"/>
                <w:b w:val="1"/>
                <w:bCs w:val="1"/>
                <w:color w:val="0C3471"/>
              </w:rPr>
              <w:t>DE’MON L.</w:t>
            </w:r>
          </w:p>
        </w:tc>
        <w:tc>
          <w:tcPr>
            <w:tcW w:w="20" w:type="dxa"/>
            <w:vAlign w:val="bottom"/>
            <w:shd w:val="clear" w:color="auto" w:fill="CED6E3"/>
          </w:tcPr>
          <w:p>
            <w:pPr>
              <w:spacing w:after="0"/>
              <w:rPr>
                <w:sz w:val="18"/>
                <w:szCs w:val="18"/>
                <w:color w:val="auto"/>
              </w:rPr>
            </w:pPr>
          </w:p>
        </w:tc>
        <w:tc>
          <w:tcPr>
            <w:tcW w:w="2220" w:type="dxa"/>
            <w:vAlign w:val="bottom"/>
            <w:vMerge w:val="restart"/>
            <w:shd w:val="clear" w:color="auto" w:fill="CED6E3"/>
          </w:tcPr>
          <w:p>
            <w:pPr>
              <w:ind w:left="140"/>
              <w:spacing w:after="0"/>
              <w:rPr>
                <w:sz w:val="20"/>
                <w:szCs w:val="20"/>
                <w:color w:val="auto"/>
              </w:rPr>
            </w:pPr>
            <w:r>
              <w:rPr>
                <w:rFonts w:ascii="Arial" w:cs="Arial" w:eastAsia="Arial" w:hAnsi="Arial"/>
                <w:sz w:val="18"/>
                <w:szCs w:val="18"/>
                <w:b w:val="1"/>
                <w:bCs w:val="1"/>
                <w:color w:val="0C3471"/>
              </w:rPr>
              <w:t>ADRIAN C.</w:t>
            </w:r>
          </w:p>
        </w:tc>
        <w:tc>
          <w:tcPr>
            <w:tcW w:w="0" w:type="dxa"/>
            <w:vAlign w:val="bottom"/>
          </w:tcPr>
          <w:p>
            <w:pPr>
              <w:spacing w:after="0"/>
              <w:rPr>
                <w:sz w:val="1"/>
                <w:szCs w:val="1"/>
                <w:color w:val="auto"/>
              </w:rPr>
            </w:pPr>
          </w:p>
        </w:tc>
      </w:tr>
      <w:tr>
        <w:trPr>
          <w:trHeight w:val="175"/>
        </w:trPr>
        <w:tc>
          <w:tcPr>
            <w:tcW w:w="2220" w:type="dxa"/>
            <w:vAlign w:val="bottom"/>
            <w:vMerge w:val="continue"/>
            <w:shd w:val="clear" w:color="auto" w:fill="CED6E3"/>
          </w:tcPr>
          <w:p>
            <w:pPr>
              <w:spacing w:after="0"/>
              <w:rPr>
                <w:sz w:val="15"/>
                <w:szCs w:val="15"/>
                <w:color w:val="auto"/>
              </w:rPr>
            </w:pPr>
          </w:p>
        </w:tc>
        <w:tc>
          <w:tcPr>
            <w:tcW w:w="20" w:type="dxa"/>
            <w:vAlign w:val="bottom"/>
            <w:shd w:val="clear" w:color="auto" w:fill="0C3471"/>
          </w:tcPr>
          <w:p>
            <w:pPr>
              <w:spacing w:after="0"/>
              <w:rPr>
                <w:sz w:val="15"/>
                <w:szCs w:val="15"/>
                <w:color w:val="auto"/>
              </w:rPr>
            </w:pPr>
          </w:p>
        </w:tc>
        <w:tc>
          <w:tcPr>
            <w:tcW w:w="2220" w:type="dxa"/>
            <w:vAlign w:val="bottom"/>
            <w:vMerge w:val="continue"/>
            <w:shd w:val="clear" w:color="auto" w:fill="CED6E3"/>
          </w:tcPr>
          <w:p>
            <w:pPr>
              <w:spacing w:after="0"/>
              <w:rPr>
                <w:sz w:val="15"/>
                <w:szCs w:val="15"/>
                <w:color w:val="auto"/>
              </w:rPr>
            </w:pPr>
          </w:p>
        </w:tc>
        <w:tc>
          <w:tcPr>
            <w:tcW w:w="20" w:type="dxa"/>
            <w:vAlign w:val="bottom"/>
            <w:shd w:val="clear" w:color="auto" w:fill="0C3471"/>
          </w:tcPr>
          <w:p>
            <w:pPr>
              <w:spacing w:after="0"/>
              <w:rPr>
                <w:sz w:val="15"/>
                <w:szCs w:val="15"/>
                <w:color w:val="auto"/>
              </w:rPr>
            </w:pPr>
          </w:p>
        </w:tc>
        <w:tc>
          <w:tcPr>
            <w:tcW w:w="2220" w:type="dxa"/>
            <w:vAlign w:val="bottom"/>
            <w:vMerge w:val="continue"/>
            <w:shd w:val="clear" w:color="auto" w:fill="CED6E3"/>
          </w:tcPr>
          <w:p>
            <w:pPr>
              <w:spacing w:after="0"/>
              <w:rPr>
                <w:sz w:val="15"/>
                <w:szCs w:val="15"/>
                <w:color w:val="auto"/>
              </w:rPr>
            </w:pPr>
          </w:p>
        </w:tc>
        <w:tc>
          <w:tcPr>
            <w:tcW w:w="20" w:type="dxa"/>
            <w:vAlign w:val="bottom"/>
            <w:shd w:val="clear" w:color="auto" w:fill="0C3471"/>
          </w:tcPr>
          <w:p>
            <w:pPr>
              <w:spacing w:after="0"/>
              <w:rPr>
                <w:sz w:val="15"/>
                <w:szCs w:val="15"/>
                <w:color w:val="auto"/>
              </w:rPr>
            </w:pPr>
          </w:p>
        </w:tc>
        <w:tc>
          <w:tcPr>
            <w:tcW w:w="2220" w:type="dxa"/>
            <w:vAlign w:val="bottom"/>
            <w:vMerge w:val="continue"/>
            <w:shd w:val="clear" w:color="auto" w:fill="CED6E3"/>
          </w:tcPr>
          <w:p>
            <w:pPr>
              <w:spacing w:after="0"/>
              <w:rPr>
                <w:sz w:val="15"/>
                <w:szCs w:val="15"/>
                <w:color w:val="auto"/>
              </w:rPr>
            </w:pPr>
          </w:p>
        </w:tc>
        <w:tc>
          <w:tcPr>
            <w:tcW w:w="20" w:type="dxa"/>
            <w:vAlign w:val="bottom"/>
            <w:shd w:val="clear" w:color="auto" w:fill="0C3471"/>
          </w:tcPr>
          <w:p>
            <w:pPr>
              <w:spacing w:after="0"/>
              <w:rPr>
                <w:sz w:val="15"/>
                <w:szCs w:val="15"/>
                <w:color w:val="auto"/>
              </w:rPr>
            </w:pPr>
          </w:p>
        </w:tc>
        <w:tc>
          <w:tcPr>
            <w:tcW w:w="2220" w:type="dxa"/>
            <w:vAlign w:val="bottom"/>
            <w:vMerge w:val="continue"/>
            <w:shd w:val="clear" w:color="auto" w:fill="CED6E3"/>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220" w:type="dxa"/>
            <w:vAlign w:val="bottom"/>
            <w:shd w:val="clear" w:color="auto" w:fill="CED6E3"/>
          </w:tcPr>
          <w:p>
            <w:pPr>
              <w:ind w:left="140"/>
              <w:spacing w:after="0"/>
              <w:rPr>
                <w:sz w:val="20"/>
                <w:szCs w:val="20"/>
                <w:color w:val="auto"/>
              </w:rPr>
            </w:pPr>
            <w:r>
              <w:rPr>
                <w:rFonts w:ascii="Arial" w:cs="Arial" w:eastAsia="Arial" w:hAnsi="Arial"/>
                <w:sz w:val="18"/>
                <w:szCs w:val="18"/>
                <w:b w:val="1"/>
                <w:bCs w:val="1"/>
                <w:color w:val="0C3471"/>
              </w:rPr>
              <w:t>STAUCH</w:t>
            </w:r>
          </w:p>
        </w:tc>
        <w:tc>
          <w:tcPr>
            <w:tcW w:w="20" w:type="dxa"/>
            <w:vAlign w:val="bottom"/>
            <w:shd w:val="clear" w:color="auto" w:fill="0C3471"/>
          </w:tcPr>
          <w:p>
            <w:pPr>
              <w:spacing w:after="0"/>
              <w:rPr>
                <w:sz w:val="21"/>
                <w:szCs w:val="21"/>
                <w:color w:val="auto"/>
              </w:rPr>
            </w:pPr>
          </w:p>
        </w:tc>
        <w:tc>
          <w:tcPr>
            <w:tcW w:w="2220" w:type="dxa"/>
            <w:vAlign w:val="bottom"/>
            <w:shd w:val="clear" w:color="auto" w:fill="CED6E3"/>
          </w:tcPr>
          <w:p>
            <w:pPr>
              <w:ind w:left="120"/>
              <w:spacing w:after="0"/>
              <w:rPr>
                <w:sz w:val="20"/>
                <w:szCs w:val="20"/>
                <w:color w:val="auto"/>
              </w:rPr>
            </w:pPr>
            <w:r>
              <w:rPr>
                <w:rFonts w:ascii="Arial" w:cs="Arial" w:eastAsia="Arial" w:hAnsi="Arial"/>
                <w:sz w:val="18"/>
                <w:szCs w:val="18"/>
                <w:b w:val="1"/>
                <w:bCs w:val="1"/>
                <w:color w:val="0C3471"/>
              </w:rPr>
              <w:t>FISHMAN</w:t>
            </w:r>
          </w:p>
        </w:tc>
        <w:tc>
          <w:tcPr>
            <w:tcW w:w="20" w:type="dxa"/>
            <w:vAlign w:val="bottom"/>
            <w:shd w:val="clear" w:color="auto" w:fill="0C3471"/>
          </w:tcPr>
          <w:p>
            <w:pPr>
              <w:spacing w:after="0"/>
              <w:rPr>
                <w:sz w:val="21"/>
                <w:szCs w:val="21"/>
                <w:color w:val="auto"/>
              </w:rPr>
            </w:pPr>
          </w:p>
        </w:tc>
        <w:tc>
          <w:tcPr>
            <w:tcW w:w="2220" w:type="dxa"/>
            <w:vAlign w:val="bottom"/>
            <w:shd w:val="clear" w:color="auto" w:fill="CED6E3"/>
          </w:tcPr>
          <w:p>
            <w:pPr>
              <w:ind w:left="140"/>
              <w:spacing w:after="0"/>
              <w:rPr>
                <w:sz w:val="20"/>
                <w:szCs w:val="20"/>
                <w:color w:val="auto"/>
              </w:rPr>
            </w:pPr>
            <w:r>
              <w:rPr>
                <w:rFonts w:ascii="Arial" w:cs="Arial" w:eastAsia="Arial" w:hAnsi="Arial"/>
                <w:sz w:val="18"/>
                <w:szCs w:val="18"/>
                <w:b w:val="1"/>
                <w:bCs w:val="1"/>
                <w:color w:val="0C3471"/>
              </w:rPr>
              <w:t>PEDRETTI</w:t>
            </w:r>
          </w:p>
        </w:tc>
        <w:tc>
          <w:tcPr>
            <w:tcW w:w="20" w:type="dxa"/>
            <w:vAlign w:val="bottom"/>
            <w:shd w:val="clear" w:color="auto" w:fill="0C3471"/>
          </w:tcPr>
          <w:p>
            <w:pPr>
              <w:spacing w:after="0"/>
              <w:rPr>
                <w:sz w:val="21"/>
                <w:szCs w:val="21"/>
                <w:color w:val="auto"/>
              </w:rPr>
            </w:pPr>
          </w:p>
        </w:tc>
        <w:tc>
          <w:tcPr>
            <w:tcW w:w="2220" w:type="dxa"/>
            <w:vAlign w:val="bottom"/>
            <w:shd w:val="clear" w:color="auto" w:fill="CED6E3"/>
          </w:tcPr>
          <w:p>
            <w:pPr>
              <w:ind w:left="140"/>
              <w:spacing w:after="0"/>
              <w:rPr>
                <w:sz w:val="20"/>
                <w:szCs w:val="20"/>
                <w:color w:val="auto"/>
              </w:rPr>
            </w:pPr>
            <w:r>
              <w:rPr>
                <w:rFonts w:ascii="Arial" w:cs="Arial" w:eastAsia="Arial" w:hAnsi="Arial"/>
                <w:sz w:val="18"/>
                <w:szCs w:val="18"/>
                <w:b w:val="1"/>
                <w:bCs w:val="1"/>
                <w:color w:val="0C3471"/>
              </w:rPr>
              <w:t>WIGGINS</w:t>
            </w:r>
          </w:p>
        </w:tc>
        <w:tc>
          <w:tcPr>
            <w:tcW w:w="20" w:type="dxa"/>
            <w:vAlign w:val="bottom"/>
            <w:shd w:val="clear" w:color="auto" w:fill="0C3471"/>
          </w:tcPr>
          <w:p>
            <w:pPr>
              <w:spacing w:after="0"/>
              <w:rPr>
                <w:sz w:val="21"/>
                <w:szCs w:val="21"/>
                <w:color w:val="auto"/>
              </w:rPr>
            </w:pPr>
          </w:p>
        </w:tc>
        <w:tc>
          <w:tcPr>
            <w:tcW w:w="2220" w:type="dxa"/>
            <w:vAlign w:val="bottom"/>
            <w:shd w:val="clear" w:color="auto" w:fill="CED6E3"/>
          </w:tcPr>
          <w:p>
            <w:pPr>
              <w:ind w:left="140"/>
              <w:spacing w:after="0"/>
              <w:rPr>
                <w:sz w:val="20"/>
                <w:szCs w:val="20"/>
                <w:color w:val="auto"/>
              </w:rPr>
            </w:pPr>
            <w:r>
              <w:rPr>
                <w:rFonts w:ascii="Arial" w:cs="Arial" w:eastAsia="Arial" w:hAnsi="Arial"/>
                <w:sz w:val="18"/>
                <w:szCs w:val="18"/>
                <w:b w:val="1"/>
                <w:bCs w:val="1"/>
                <w:color w:val="0C3471"/>
              </w:rPr>
              <w:t>CHIU</w:t>
            </w:r>
          </w:p>
        </w:tc>
        <w:tc>
          <w:tcPr>
            <w:tcW w:w="0" w:type="dxa"/>
            <w:vAlign w:val="bottom"/>
          </w:tcPr>
          <w:p>
            <w:pPr>
              <w:spacing w:after="0"/>
              <w:rPr>
                <w:sz w:val="1"/>
                <w:szCs w:val="1"/>
                <w:color w:val="auto"/>
              </w:rPr>
            </w:pPr>
          </w:p>
        </w:tc>
      </w:tr>
      <w:tr>
        <w:trPr>
          <w:trHeight w:val="377"/>
        </w:trPr>
        <w:tc>
          <w:tcPr>
            <w:tcW w:w="2220" w:type="dxa"/>
            <w:vAlign w:val="bottom"/>
            <w:shd w:val="clear" w:color="auto" w:fill="CED6E3"/>
          </w:tcPr>
          <w:p>
            <w:pPr>
              <w:ind w:left="140"/>
              <w:spacing w:after="0"/>
              <w:rPr>
                <w:sz w:val="20"/>
                <w:szCs w:val="20"/>
                <w:color w:val="auto"/>
              </w:rPr>
            </w:pPr>
            <w:r>
              <w:rPr>
                <w:rFonts w:ascii="Arial" w:cs="Arial" w:eastAsia="Arial" w:hAnsi="Arial"/>
                <w:sz w:val="16"/>
                <w:szCs w:val="16"/>
                <w:color w:val="auto"/>
              </w:rPr>
              <w:t>President and Chief</w:t>
            </w:r>
          </w:p>
        </w:tc>
        <w:tc>
          <w:tcPr>
            <w:tcW w:w="20" w:type="dxa"/>
            <w:vAlign w:val="bottom"/>
            <w:shd w:val="clear" w:color="auto" w:fill="0C3471"/>
          </w:tcPr>
          <w:p>
            <w:pPr>
              <w:spacing w:after="0"/>
              <w:rPr>
                <w:sz w:val="24"/>
                <w:szCs w:val="24"/>
                <w:color w:val="auto"/>
              </w:rPr>
            </w:pPr>
          </w:p>
        </w:tc>
        <w:tc>
          <w:tcPr>
            <w:tcW w:w="2220" w:type="dxa"/>
            <w:vAlign w:val="bottom"/>
            <w:shd w:val="clear" w:color="auto" w:fill="CED6E3"/>
          </w:tcPr>
          <w:p>
            <w:pPr>
              <w:ind w:left="120"/>
              <w:spacing w:after="0"/>
              <w:rPr>
                <w:sz w:val="20"/>
                <w:szCs w:val="20"/>
                <w:color w:val="auto"/>
              </w:rPr>
            </w:pPr>
            <w:r>
              <w:rPr>
                <w:rFonts w:ascii="Arial" w:cs="Arial" w:eastAsia="Arial" w:hAnsi="Arial"/>
                <w:sz w:val="16"/>
                <w:szCs w:val="16"/>
                <w:color w:val="auto"/>
              </w:rPr>
              <w:t>Former Executive</w:t>
            </w:r>
          </w:p>
        </w:tc>
        <w:tc>
          <w:tcPr>
            <w:tcW w:w="20" w:type="dxa"/>
            <w:vAlign w:val="bottom"/>
            <w:shd w:val="clear" w:color="auto" w:fill="0C3471"/>
          </w:tcPr>
          <w:p>
            <w:pPr>
              <w:spacing w:after="0"/>
              <w:rPr>
                <w:sz w:val="24"/>
                <w:szCs w:val="24"/>
                <w:color w:val="auto"/>
              </w:rPr>
            </w:pPr>
          </w:p>
        </w:tc>
        <w:tc>
          <w:tcPr>
            <w:tcW w:w="2220" w:type="dxa"/>
            <w:vAlign w:val="bottom"/>
            <w:shd w:val="clear" w:color="auto" w:fill="CED6E3"/>
          </w:tcPr>
          <w:p>
            <w:pPr>
              <w:ind w:left="140"/>
              <w:spacing w:after="0"/>
              <w:rPr>
                <w:sz w:val="20"/>
                <w:szCs w:val="20"/>
                <w:color w:val="auto"/>
              </w:rPr>
            </w:pPr>
            <w:r>
              <w:rPr>
                <w:rFonts w:ascii="Arial" w:cs="Arial" w:eastAsia="Arial" w:hAnsi="Arial"/>
                <w:sz w:val="16"/>
                <w:szCs w:val="16"/>
                <w:color w:val="auto"/>
              </w:rPr>
              <w:t>Executive Vice</w:t>
            </w:r>
          </w:p>
        </w:tc>
        <w:tc>
          <w:tcPr>
            <w:tcW w:w="20" w:type="dxa"/>
            <w:vAlign w:val="bottom"/>
            <w:shd w:val="clear" w:color="auto" w:fill="0C3471"/>
          </w:tcPr>
          <w:p>
            <w:pPr>
              <w:spacing w:after="0"/>
              <w:rPr>
                <w:sz w:val="24"/>
                <w:szCs w:val="24"/>
                <w:color w:val="auto"/>
              </w:rPr>
            </w:pPr>
          </w:p>
        </w:tc>
        <w:tc>
          <w:tcPr>
            <w:tcW w:w="2220" w:type="dxa"/>
            <w:vAlign w:val="bottom"/>
            <w:shd w:val="clear" w:color="auto" w:fill="CED6E3"/>
          </w:tcPr>
          <w:p>
            <w:pPr>
              <w:ind w:left="140"/>
              <w:spacing w:after="0"/>
              <w:rPr>
                <w:sz w:val="20"/>
                <w:szCs w:val="20"/>
                <w:color w:val="auto"/>
              </w:rPr>
            </w:pPr>
            <w:r>
              <w:rPr>
                <w:rFonts w:ascii="Arial" w:cs="Arial" w:eastAsia="Arial" w:hAnsi="Arial"/>
                <w:sz w:val="16"/>
                <w:szCs w:val="16"/>
                <w:color w:val="auto"/>
              </w:rPr>
              <w:t>Executive Vice</w:t>
            </w:r>
          </w:p>
        </w:tc>
        <w:tc>
          <w:tcPr>
            <w:tcW w:w="20" w:type="dxa"/>
            <w:vAlign w:val="bottom"/>
            <w:shd w:val="clear" w:color="auto" w:fill="0C3471"/>
          </w:tcPr>
          <w:p>
            <w:pPr>
              <w:spacing w:after="0"/>
              <w:rPr>
                <w:sz w:val="24"/>
                <w:szCs w:val="24"/>
                <w:color w:val="auto"/>
              </w:rPr>
            </w:pPr>
          </w:p>
        </w:tc>
        <w:tc>
          <w:tcPr>
            <w:tcW w:w="2220" w:type="dxa"/>
            <w:vAlign w:val="bottom"/>
            <w:shd w:val="clear" w:color="auto" w:fill="CED6E3"/>
          </w:tcPr>
          <w:p>
            <w:pPr>
              <w:ind w:left="140"/>
              <w:spacing w:after="0"/>
              <w:rPr>
                <w:sz w:val="20"/>
                <w:szCs w:val="20"/>
                <w:color w:val="auto"/>
              </w:rPr>
            </w:pPr>
            <w:r>
              <w:rPr>
                <w:rFonts w:ascii="Arial" w:cs="Arial" w:eastAsia="Arial" w:hAnsi="Arial"/>
                <w:sz w:val="16"/>
                <w:szCs w:val="16"/>
                <w:color w:val="auto"/>
              </w:rPr>
              <w:t>Executive Vice</w:t>
            </w:r>
          </w:p>
        </w:tc>
        <w:tc>
          <w:tcPr>
            <w:tcW w:w="0" w:type="dxa"/>
            <w:vAlign w:val="bottom"/>
          </w:tcPr>
          <w:p>
            <w:pPr>
              <w:spacing w:after="0"/>
              <w:rPr>
                <w:sz w:val="1"/>
                <w:szCs w:val="1"/>
                <w:color w:val="auto"/>
              </w:rPr>
            </w:pPr>
          </w:p>
        </w:tc>
      </w:tr>
      <w:tr>
        <w:trPr>
          <w:trHeight w:val="215"/>
        </w:trPr>
        <w:tc>
          <w:tcPr>
            <w:tcW w:w="2220" w:type="dxa"/>
            <w:vAlign w:val="bottom"/>
            <w:shd w:val="clear" w:color="auto" w:fill="CED6E3"/>
          </w:tcPr>
          <w:p>
            <w:pPr>
              <w:ind w:left="140"/>
              <w:spacing w:after="0"/>
              <w:rPr>
                <w:sz w:val="20"/>
                <w:szCs w:val="20"/>
                <w:color w:val="auto"/>
              </w:rPr>
            </w:pPr>
            <w:r>
              <w:rPr>
                <w:rFonts w:ascii="Arial" w:cs="Arial" w:eastAsia="Arial" w:hAnsi="Arial"/>
                <w:sz w:val="16"/>
                <w:szCs w:val="16"/>
                <w:color w:val="auto"/>
              </w:rPr>
              <w:t>Executive Officer</w:t>
            </w:r>
          </w:p>
        </w:tc>
        <w:tc>
          <w:tcPr>
            <w:tcW w:w="20" w:type="dxa"/>
            <w:vAlign w:val="bottom"/>
            <w:shd w:val="clear" w:color="auto" w:fill="0C3471"/>
          </w:tcPr>
          <w:p>
            <w:pPr>
              <w:spacing w:after="0"/>
              <w:rPr>
                <w:sz w:val="18"/>
                <w:szCs w:val="18"/>
                <w:color w:val="auto"/>
              </w:rPr>
            </w:pPr>
          </w:p>
        </w:tc>
        <w:tc>
          <w:tcPr>
            <w:tcW w:w="2220" w:type="dxa"/>
            <w:vAlign w:val="bottom"/>
            <w:shd w:val="clear" w:color="auto" w:fill="CED6E3"/>
          </w:tcPr>
          <w:p>
            <w:pPr>
              <w:ind w:left="120"/>
              <w:spacing w:after="0"/>
              <w:rPr>
                <w:sz w:val="20"/>
                <w:szCs w:val="20"/>
                <w:color w:val="auto"/>
              </w:rPr>
            </w:pPr>
            <w:r>
              <w:rPr>
                <w:rFonts w:ascii="Arial" w:cs="Arial" w:eastAsia="Arial" w:hAnsi="Arial"/>
                <w:sz w:val="16"/>
                <w:szCs w:val="16"/>
                <w:color w:val="auto"/>
              </w:rPr>
              <w:t>Vice President,</w:t>
            </w:r>
          </w:p>
        </w:tc>
        <w:tc>
          <w:tcPr>
            <w:tcW w:w="20" w:type="dxa"/>
            <w:vAlign w:val="bottom"/>
            <w:shd w:val="clear" w:color="auto" w:fill="0C3471"/>
          </w:tcPr>
          <w:p>
            <w:pPr>
              <w:spacing w:after="0"/>
              <w:rPr>
                <w:sz w:val="18"/>
                <w:szCs w:val="18"/>
                <w:color w:val="auto"/>
              </w:rPr>
            </w:pPr>
          </w:p>
        </w:tc>
        <w:tc>
          <w:tcPr>
            <w:tcW w:w="2220" w:type="dxa"/>
            <w:vAlign w:val="bottom"/>
            <w:shd w:val="clear" w:color="auto" w:fill="CED6E3"/>
          </w:tcPr>
          <w:p>
            <w:pPr>
              <w:ind w:left="140"/>
              <w:spacing w:after="0"/>
              <w:rPr>
                <w:sz w:val="20"/>
                <w:szCs w:val="20"/>
                <w:color w:val="auto"/>
              </w:rPr>
            </w:pPr>
            <w:r>
              <w:rPr>
                <w:rFonts w:ascii="Arial" w:cs="Arial" w:eastAsia="Arial" w:hAnsi="Arial"/>
                <w:sz w:val="16"/>
                <w:szCs w:val="16"/>
                <w:color w:val="auto"/>
              </w:rPr>
              <w:t>President and Chief</w:t>
            </w:r>
          </w:p>
        </w:tc>
        <w:tc>
          <w:tcPr>
            <w:tcW w:w="20" w:type="dxa"/>
            <w:vAlign w:val="bottom"/>
            <w:shd w:val="clear" w:color="auto" w:fill="0C3471"/>
          </w:tcPr>
          <w:p>
            <w:pPr>
              <w:spacing w:after="0"/>
              <w:rPr>
                <w:sz w:val="18"/>
                <w:szCs w:val="18"/>
                <w:color w:val="auto"/>
              </w:rPr>
            </w:pPr>
          </w:p>
        </w:tc>
        <w:tc>
          <w:tcPr>
            <w:tcW w:w="2220" w:type="dxa"/>
            <w:vAlign w:val="bottom"/>
            <w:shd w:val="clear" w:color="auto" w:fill="CED6E3"/>
          </w:tcPr>
          <w:p>
            <w:pPr>
              <w:ind w:left="140"/>
              <w:spacing w:after="0"/>
              <w:rPr>
                <w:sz w:val="20"/>
                <w:szCs w:val="20"/>
                <w:color w:val="auto"/>
              </w:rPr>
            </w:pPr>
            <w:r>
              <w:rPr>
                <w:rFonts w:ascii="Arial" w:cs="Arial" w:eastAsia="Arial" w:hAnsi="Arial"/>
                <w:sz w:val="16"/>
                <w:szCs w:val="16"/>
                <w:color w:val="auto"/>
              </w:rPr>
              <w:t>President and</w:t>
            </w:r>
          </w:p>
        </w:tc>
        <w:tc>
          <w:tcPr>
            <w:tcW w:w="20" w:type="dxa"/>
            <w:vAlign w:val="bottom"/>
            <w:shd w:val="clear" w:color="auto" w:fill="0C3471"/>
          </w:tcPr>
          <w:p>
            <w:pPr>
              <w:spacing w:after="0"/>
              <w:rPr>
                <w:sz w:val="18"/>
                <w:szCs w:val="18"/>
                <w:color w:val="auto"/>
              </w:rPr>
            </w:pPr>
          </w:p>
        </w:tc>
        <w:tc>
          <w:tcPr>
            <w:tcW w:w="2220" w:type="dxa"/>
            <w:vAlign w:val="bottom"/>
            <w:shd w:val="clear" w:color="auto" w:fill="CED6E3"/>
          </w:tcPr>
          <w:p>
            <w:pPr>
              <w:ind w:left="140"/>
              <w:spacing w:after="0"/>
              <w:rPr>
                <w:sz w:val="20"/>
                <w:szCs w:val="20"/>
                <w:color w:val="auto"/>
              </w:rPr>
            </w:pPr>
            <w:r>
              <w:rPr>
                <w:rFonts w:ascii="Arial" w:cs="Arial" w:eastAsia="Arial" w:hAnsi="Arial"/>
                <w:sz w:val="16"/>
                <w:szCs w:val="16"/>
                <w:color w:val="auto"/>
              </w:rPr>
              <w:t>President and</w:t>
            </w:r>
          </w:p>
        </w:tc>
        <w:tc>
          <w:tcPr>
            <w:tcW w:w="0" w:type="dxa"/>
            <w:vAlign w:val="bottom"/>
          </w:tcPr>
          <w:p>
            <w:pPr>
              <w:spacing w:after="0"/>
              <w:rPr>
                <w:sz w:val="1"/>
                <w:szCs w:val="1"/>
                <w:color w:val="auto"/>
              </w:rPr>
            </w:pPr>
          </w:p>
        </w:tc>
      </w:tr>
      <w:tr>
        <w:trPr>
          <w:trHeight w:val="204"/>
        </w:trPr>
        <w:tc>
          <w:tcPr>
            <w:tcW w:w="2220" w:type="dxa"/>
            <w:vAlign w:val="bottom"/>
            <w:shd w:val="clear" w:color="auto" w:fill="CED6E3"/>
          </w:tcPr>
          <w:p>
            <w:pPr>
              <w:spacing w:after="0"/>
              <w:rPr>
                <w:sz w:val="17"/>
                <w:szCs w:val="17"/>
                <w:color w:val="auto"/>
              </w:rPr>
            </w:pPr>
          </w:p>
        </w:tc>
        <w:tc>
          <w:tcPr>
            <w:tcW w:w="20" w:type="dxa"/>
            <w:vAlign w:val="bottom"/>
            <w:shd w:val="clear" w:color="auto" w:fill="0C3471"/>
          </w:tcPr>
          <w:p>
            <w:pPr>
              <w:spacing w:after="0"/>
              <w:rPr>
                <w:sz w:val="17"/>
                <w:szCs w:val="17"/>
                <w:color w:val="auto"/>
              </w:rPr>
            </w:pPr>
          </w:p>
        </w:tc>
        <w:tc>
          <w:tcPr>
            <w:tcW w:w="2220" w:type="dxa"/>
            <w:vAlign w:val="bottom"/>
            <w:shd w:val="clear" w:color="auto" w:fill="CED6E3"/>
          </w:tcPr>
          <w:p>
            <w:pPr>
              <w:ind w:left="120"/>
              <w:spacing w:after="0"/>
              <w:rPr>
                <w:sz w:val="20"/>
                <w:szCs w:val="20"/>
                <w:color w:val="auto"/>
              </w:rPr>
            </w:pPr>
            <w:r>
              <w:rPr>
                <w:rFonts w:ascii="Arial" w:cs="Arial" w:eastAsia="Arial" w:hAnsi="Arial"/>
                <w:sz w:val="16"/>
                <w:szCs w:val="16"/>
                <w:color w:val="auto"/>
              </w:rPr>
              <w:t>Chief Financial</w:t>
            </w:r>
          </w:p>
        </w:tc>
        <w:tc>
          <w:tcPr>
            <w:tcW w:w="20" w:type="dxa"/>
            <w:vAlign w:val="bottom"/>
            <w:shd w:val="clear" w:color="auto" w:fill="0C3471"/>
          </w:tcPr>
          <w:p>
            <w:pPr>
              <w:spacing w:after="0"/>
              <w:rPr>
                <w:sz w:val="17"/>
                <w:szCs w:val="17"/>
                <w:color w:val="auto"/>
              </w:rPr>
            </w:pPr>
          </w:p>
        </w:tc>
        <w:tc>
          <w:tcPr>
            <w:tcW w:w="2220" w:type="dxa"/>
            <w:vAlign w:val="bottom"/>
            <w:shd w:val="clear" w:color="auto" w:fill="CED6E3"/>
          </w:tcPr>
          <w:p>
            <w:pPr>
              <w:ind w:left="140"/>
              <w:spacing w:after="0"/>
              <w:rPr>
                <w:sz w:val="20"/>
                <w:szCs w:val="20"/>
                <w:color w:val="auto"/>
              </w:rPr>
            </w:pPr>
            <w:r>
              <w:rPr>
                <w:rFonts w:ascii="Arial" w:cs="Arial" w:eastAsia="Arial" w:hAnsi="Arial"/>
                <w:sz w:val="16"/>
                <w:szCs w:val="16"/>
                <w:color w:val="auto"/>
              </w:rPr>
              <w:t>Executive Officer,</w:t>
            </w:r>
          </w:p>
        </w:tc>
        <w:tc>
          <w:tcPr>
            <w:tcW w:w="20" w:type="dxa"/>
            <w:vAlign w:val="bottom"/>
            <w:shd w:val="clear" w:color="auto" w:fill="0C3471"/>
          </w:tcPr>
          <w:p>
            <w:pPr>
              <w:spacing w:after="0"/>
              <w:rPr>
                <w:sz w:val="17"/>
                <w:szCs w:val="17"/>
                <w:color w:val="auto"/>
              </w:rPr>
            </w:pPr>
          </w:p>
        </w:tc>
        <w:tc>
          <w:tcPr>
            <w:tcW w:w="2220" w:type="dxa"/>
            <w:vAlign w:val="bottom"/>
            <w:shd w:val="clear" w:color="auto" w:fill="CED6E3"/>
          </w:tcPr>
          <w:p>
            <w:pPr>
              <w:ind w:left="140"/>
              <w:spacing w:after="0"/>
              <w:rPr>
                <w:sz w:val="20"/>
                <w:szCs w:val="20"/>
                <w:color w:val="auto"/>
              </w:rPr>
            </w:pPr>
            <w:r>
              <w:rPr>
                <w:rFonts w:ascii="Arial" w:cs="Arial" w:eastAsia="Arial" w:hAnsi="Arial"/>
                <w:sz w:val="16"/>
                <w:szCs w:val="16"/>
                <w:color w:val="auto"/>
              </w:rPr>
              <w:t>President, Flow**</w:t>
            </w:r>
          </w:p>
        </w:tc>
        <w:tc>
          <w:tcPr>
            <w:tcW w:w="20" w:type="dxa"/>
            <w:vAlign w:val="bottom"/>
            <w:shd w:val="clear" w:color="auto" w:fill="0C3471"/>
          </w:tcPr>
          <w:p>
            <w:pPr>
              <w:spacing w:after="0"/>
              <w:rPr>
                <w:sz w:val="17"/>
                <w:szCs w:val="17"/>
                <w:color w:val="auto"/>
              </w:rPr>
            </w:pPr>
          </w:p>
        </w:tc>
        <w:tc>
          <w:tcPr>
            <w:tcW w:w="2220" w:type="dxa"/>
            <w:vAlign w:val="bottom"/>
            <w:shd w:val="clear" w:color="auto" w:fill="CED6E3"/>
          </w:tcPr>
          <w:p>
            <w:pPr>
              <w:ind w:left="140"/>
              <w:spacing w:after="0"/>
              <w:rPr>
                <w:sz w:val="20"/>
                <w:szCs w:val="20"/>
                <w:color w:val="auto"/>
              </w:rPr>
            </w:pPr>
            <w:r>
              <w:rPr>
                <w:rFonts w:ascii="Arial" w:cs="Arial" w:eastAsia="Arial" w:hAnsi="Arial"/>
                <w:sz w:val="16"/>
                <w:szCs w:val="16"/>
                <w:color w:val="auto"/>
              </w:rPr>
              <w:t>President, Water</w:t>
            </w:r>
          </w:p>
        </w:tc>
        <w:tc>
          <w:tcPr>
            <w:tcW w:w="0" w:type="dxa"/>
            <w:vAlign w:val="bottom"/>
          </w:tcPr>
          <w:p>
            <w:pPr>
              <w:spacing w:after="0"/>
              <w:rPr>
                <w:sz w:val="1"/>
                <w:szCs w:val="1"/>
                <w:color w:val="auto"/>
              </w:rPr>
            </w:pPr>
          </w:p>
        </w:tc>
      </w:tr>
      <w:tr>
        <w:trPr>
          <w:trHeight w:val="237"/>
        </w:trPr>
        <w:tc>
          <w:tcPr>
            <w:tcW w:w="2220" w:type="dxa"/>
            <w:vAlign w:val="bottom"/>
            <w:tcBorders>
              <w:bottom w:val="single" w:sz="8" w:color="CED6E3"/>
            </w:tcBorders>
            <w:shd w:val="clear" w:color="auto" w:fill="CED6E3"/>
          </w:tcPr>
          <w:p>
            <w:pPr>
              <w:spacing w:after="0"/>
              <w:rPr>
                <w:sz w:val="20"/>
                <w:szCs w:val="20"/>
                <w:color w:val="auto"/>
              </w:rPr>
            </w:pPr>
          </w:p>
        </w:tc>
        <w:tc>
          <w:tcPr>
            <w:tcW w:w="20" w:type="dxa"/>
            <w:vAlign w:val="bottom"/>
            <w:tcBorders>
              <w:bottom w:val="single" w:sz="8" w:color="0C3471"/>
            </w:tcBorders>
            <w:shd w:val="clear" w:color="auto" w:fill="0C3471"/>
          </w:tcPr>
          <w:p>
            <w:pPr>
              <w:spacing w:after="0"/>
              <w:rPr>
                <w:sz w:val="20"/>
                <w:szCs w:val="20"/>
                <w:color w:val="auto"/>
              </w:rPr>
            </w:pPr>
          </w:p>
        </w:tc>
        <w:tc>
          <w:tcPr>
            <w:tcW w:w="2220" w:type="dxa"/>
            <w:vAlign w:val="bottom"/>
            <w:tcBorders>
              <w:bottom w:val="single" w:sz="8" w:color="CED6E3"/>
            </w:tcBorders>
            <w:shd w:val="clear" w:color="auto" w:fill="CED6E3"/>
          </w:tcPr>
          <w:p>
            <w:pPr>
              <w:ind w:left="120"/>
              <w:spacing w:after="0"/>
              <w:rPr>
                <w:sz w:val="20"/>
                <w:szCs w:val="20"/>
                <w:color w:val="auto"/>
              </w:rPr>
            </w:pPr>
            <w:r>
              <w:rPr>
                <w:rFonts w:ascii="Arial" w:cs="Arial" w:eastAsia="Arial" w:hAnsi="Arial"/>
                <w:sz w:val="16"/>
                <w:szCs w:val="16"/>
                <w:color w:val="auto"/>
              </w:rPr>
              <w:t>Officer*</w:t>
            </w:r>
          </w:p>
        </w:tc>
        <w:tc>
          <w:tcPr>
            <w:tcW w:w="20" w:type="dxa"/>
            <w:vAlign w:val="bottom"/>
            <w:tcBorders>
              <w:bottom w:val="single" w:sz="8" w:color="0C3471"/>
            </w:tcBorders>
            <w:shd w:val="clear" w:color="auto" w:fill="0C3471"/>
          </w:tcPr>
          <w:p>
            <w:pPr>
              <w:spacing w:after="0"/>
              <w:rPr>
                <w:sz w:val="20"/>
                <w:szCs w:val="20"/>
                <w:color w:val="auto"/>
              </w:rPr>
            </w:pPr>
          </w:p>
        </w:tc>
        <w:tc>
          <w:tcPr>
            <w:tcW w:w="2220" w:type="dxa"/>
            <w:vAlign w:val="bottom"/>
            <w:tcBorders>
              <w:bottom w:val="single" w:sz="8" w:color="CED6E3"/>
            </w:tcBorders>
            <w:shd w:val="clear" w:color="auto" w:fill="CED6E3"/>
          </w:tcPr>
          <w:p>
            <w:pPr>
              <w:ind w:left="140"/>
              <w:spacing w:after="0"/>
              <w:rPr>
                <w:sz w:val="20"/>
                <w:szCs w:val="20"/>
                <w:color w:val="auto"/>
              </w:rPr>
            </w:pPr>
            <w:r>
              <w:rPr>
                <w:rFonts w:ascii="Arial" w:cs="Arial" w:eastAsia="Arial" w:hAnsi="Arial"/>
                <w:sz w:val="16"/>
                <w:szCs w:val="16"/>
                <w:color w:val="auto"/>
              </w:rPr>
              <w:t>Pool</w:t>
            </w:r>
          </w:p>
        </w:tc>
        <w:tc>
          <w:tcPr>
            <w:tcW w:w="20" w:type="dxa"/>
            <w:vAlign w:val="bottom"/>
            <w:tcBorders>
              <w:bottom w:val="single" w:sz="8" w:color="0C3471"/>
            </w:tcBorders>
            <w:shd w:val="clear" w:color="auto" w:fill="0C3471"/>
          </w:tcPr>
          <w:p>
            <w:pPr>
              <w:spacing w:after="0"/>
              <w:rPr>
                <w:sz w:val="20"/>
                <w:szCs w:val="20"/>
                <w:color w:val="auto"/>
              </w:rPr>
            </w:pPr>
          </w:p>
        </w:tc>
        <w:tc>
          <w:tcPr>
            <w:tcW w:w="2220" w:type="dxa"/>
            <w:vAlign w:val="bottom"/>
            <w:tcBorders>
              <w:bottom w:val="single" w:sz="8" w:color="CED6E3"/>
            </w:tcBorders>
            <w:shd w:val="clear" w:color="auto" w:fill="CED6E3"/>
          </w:tcPr>
          <w:p>
            <w:pPr>
              <w:spacing w:after="0"/>
              <w:rPr>
                <w:sz w:val="20"/>
                <w:szCs w:val="20"/>
                <w:color w:val="auto"/>
              </w:rPr>
            </w:pPr>
          </w:p>
        </w:tc>
        <w:tc>
          <w:tcPr>
            <w:tcW w:w="20" w:type="dxa"/>
            <w:vAlign w:val="bottom"/>
            <w:tcBorders>
              <w:bottom w:val="single" w:sz="8" w:color="0C3471"/>
            </w:tcBorders>
            <w:shd w:val="clear" w:color="auto" w:fill="0C3471"/>
          </w:tcPr>
          <w:p>
            <w:pPr>
              <w:spacing w:after="0"/>
              <w:rPr>
                <w:sz w:val="20"/>
                <w:szCs w:val="20"/>
                <w:color w:val="auto"/>
              </w:rPr>
            </w:pPr>
          </w:p>
        </w:tc>
        <w:tc>
          <w:tcPr>
            <w:tcW w:w="2220" w:type="dxa"/>
            <w:vAlign w:val="bottom"/>
            <w:tcBorders>
              <w:bottom w:val="single" w:sz="8" w:color="CED6E3"/>
            </w:tcBorders>
            <w:shd w:val="clear" w:color="auto" w:fill="CED6E3"/>
          </w:tcPr>
          <w:p>
            <w:pPr>
              <w:ind w:left="140"/>
              <w:spacing w:after="0"/>
              <w:rPr>
                <w:sz w:val="20"/>
                <w:szCs w:val="20"/>
                <w:color w:val="auto"/>
              </w:rPr>
            </w:pPr>
            <w:r>
              <w:rPr>
                <w:rFonts w:ascii="Arial" w:cs="Arial" w:eastAsia="Arial" w:hAnsi="Arial"/>
                <w:sz w:val="16"/>
                <w:szCs w:val="16"/>
                <w:color w:val="auto"/>
              </w:rPr>
              <w:t>Solutions***</w:t>
            </w:r>
          </w:p>
        </w:tc>
        <w:tc>
          <w:tcPr>
            <w:tcW w:w="0" w:type="dxa"/>
            <w:vAlign w:val="bottom"/>
          </w:tcPr>
          <w:p>
            <w:pPr>
              <w:spacing w:after="0"/>
              <w:rPr>
                <w:sz w:val="1"/>
                <w:szCs w:val="1"/>
                <w:color w:val="auto"/>
              </w:rPr>
            </w:pPr>
          </w:p>
        </w:tc>
      </w:tr>
      <w:tr>
        <w:trPr>
          <w:trHeight w:val="216"/>
        </w:trPr>
        <w:tc>
          <w:tcPr>
            <w:tcW w:w="2220" w:type="dxa"/>
            <w:vAlign w:val="bottom"/>
            <w:shd w:val="clear" w:color="auto" w:fill="CED6E3"/>
          </w:tcPr>
          <w:p>
            <w:pPr>
              <w:spacing w:after="0"/>
              <w:rPr>
                <w:sz w:val="18"/>
                <w:szCs w:val="18"/>
                <w:color w:val="auto"/>
              </w:rPr>
            </w:pPr>
          </w:p>
        </w:tc>
        <w:tc>
          <w:tcPr>
            <w:tcW w:w="20" w:type="dxa"/>
            <w:vAlign w:val="bottom"/>
            <w:shd w:val="clear" w:color="auto" w:fill="CED6E3"/>
          </w:tcPr>
          <w:p>
            <w:pPr>
              <w:spacing w:after="0"/>
              <w:rPr>
                <w:sz w:val="18"/>
                <w:szCs w:val="18"/>
                <w:color w:val="auto"/>
              </w:rPr>
            </w:pPr>
          </w:p>
        </w:tc>
        <w:tc>
          <w:tcPr>
            <w:tcW w:w="2220" w:type="dxa"/>
            <w:vAlign w:val="bottom"/>
            <w:shd w:val="clear" w:color="auto" w:fill="CED6E3"/>
          </w:tcPr>
          <w:p>
            <w:pPr>
              <w:spacing w:after="0"/>
              <w:rPr>
                <w:sz w:val="18"/>
                <w:szCs w:val="18"/>
                <w:color w:val="auto"/>
              </w:rPr>
            </w:pPr>
          </w:p>
        </w:tc>
        <w:tc>
          <w:tcPr>
            <w:tcW w:w="20" w:type="dxa"/>
            <w:vAlign w:val="bottom"/>
            <w:shd w:val="clear" w:color="auto" w:fill="CED6E3"/>
          </w:tcPr>
          <w:p>
            <w:pPr>
              <w:spacing w:after="0"/>
              <w:rPr>
                <w:sz w:val="18"/>
                <w:szCs w:val="18"/>
                <w:color w:val="auto"/>
              </w:rPr>
            </w:pPr>
          </w:p>
        </w:tc>
        <w:tc>
          <w:tcPr>
            <w:tcW w:w="2220" w:type="dxa"/>
            <w:vAlign w:val="bottom"/>
            <w:shd w:val="clear" w:color="auto" w:fill="CED6E3"/>
          </w:tcPr>
          <w:p>
            <w:pPr>
              <w:spacing w:after="0"/>
              <w:rPr>
                <w:sz w:val="18"/>
                <w:szCs w:val="18"/>
                <w:color w:val="auto"/>
              </w:rPr>
            </w:pPr>
          </w:p>
        </w:tc>
        <w:tc>
          <w:tcPr>
            <w:tcW w:w="20" w:type="dxa"/>
            <w:vAlign w:val="bottom"/>
            <w:shd w:val="clear" w:color="auto" w:fill="CED6E3"/>
          </w:tcPr>
          <w:p>
            <w:pPr>
              <w:spacing w:after="0"/>
              <w:rPr>
                <w:sz w:val="18"/>
                <w:szCs w:val="18"/>
                <w:color w:val="auto"/>
              </w:rPr>
            </w:pPr>
          </w:p>
        </w:tc>
        <w:tc>
          <w:tcPr>
            <w:tcW w:w="2220" w:type="dxa"/>
            <w:vAlign w:val="bottom"/>
            <w:shd w:val="clear" w:color="auto" w:fill="CED6E3"/>
          </w:tcPr>
          <w:p>
            <w:pPr>
              <w:spacing w:after="0"/>
              <w:rPr>
                <w:sz w:val="18"/>
                <w:szCs w:val="18"/>
                <w:color w:val="auto"/>
              </w:rPr>
            </w:pPr>
          </w:p>
        </w:tc>
        <w:tc>
          <w:tcPr>
            <w:tcW w:w="20" w:type="dxa"/>
            <w:vAlign w:val="bottom"/>
            <w:shd w:val="clear" w:color="auto" w:fill="CED6E3"/>
          </w:tcPr>
          <w:p>
            <w:pPr>
              <w:spacing w:after="0"/>
              <w:rPr>
                <w:sz w:val="18"/>
                <w:szCs w:val="18"/>
                <w:color w:val="auto"/>
              </w:rPr>
            </w:pPr>
          </w:p>
        </w:tc>
        <w:tc>
          <w:tcPr>
            <w:tcW w:w="2220" w:type="dxa"/>
            <w:vAlign w:val="bottom"/>
            <w:shd w:val="clear" w:color="auto" w:fill="CED6E3"/>
          </w:tcPr>
          <w:p>
            <w:pPr>
              <w:spacing w:after="0"/>
              <w:rPr>
                <w:sz w:val="18"/>
                <w:szCs w:val="18"/>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ind w:right="3260" w:firstLine="8"/>
        <w:spacing w:after="0" w:line="392" w:lineRule="auto"/>
        <w:tabs>
          <w:tab w:leader="none" w:pos="216" w:val="left"/>
        </w:tabs>
        <w:numPr>
          <w:ilvl w:val="0"/>
          <w:numId w:val="62"/>
        </w:numPr>
        <w:rPr>
          <w:rFonts w:ascii="Arial" w:cs="Arial" w:eastAsia="Arial" w:hAnsi="Arial"/>
          <w:sz w:val="14"/>
          <w:szCs w:val="14"/>
          <w:color w:val="auto"/>
        </w:rPr>
      </w:pPr>
      <w:r>
        <w:rPr>
          <w:rFonts w:ascii="Arial" w:cs="Arial" w:eastAsia="Arial" w:hAnsi="Arial"/>
          <w:sz w:val="14"/>
          <w:szCs w:val="14"/>
          <w:color w:val="auto"/>
        </w:rPr>
        <w:t>Effective March 1, 2026, Mr. Fishman elected to resign from the role of Executive Vice President, Chief Financial Officer. ** Effective March 1, 2026, Mr. Wiggins’ title changed to Executive Vice President and President, Flow and Water Solutions.</w:t>
      </w:r>
    </w:p>
    <w:p>
      <w:pPr>
        <w:spacing w:after="0"/>
        <w:rPr>
          <w:rFonts w:ascii="Arial" w:cs="Arial" w:eastAsia="Arial" w:hAnsi="Arial"/>
          <w:sz w:val="14"/>
          <w:szCs w:val="14"/>
          <w:color w:val="auto"/>
        </w:rPr>
      </w:pPr>
      <w:r>
        <w:rPr>
          <w:rFonts w:ascii="Arial" w:cs="Arial" w:eastAsia="Arial" w:hAnsi="Arial"/>
          <w:sz w:val="14"/>
          <w:szCs w:val="14"/>
          <w:color w:val="auto"/>
        </w:rPr>
        <w:t>***  Effective March 1, 2026, Mr. Chiu’s title changed to Executive Vice President and Chief Strategy, Innovation and Digital Officer.</w:t>
      </w:r>
    </w:p>
    <w:p>
      <w:pPr>
        <w:spacing w:after="0" w:line="333" w:lineRule="exact"/>
        <w:rPr>
          <w:sz w:val="20"/>
          <w:szCs w:val="20"/>
          <w:color w:val="auto"/>
        </w:rPr>
      </w:pPr>
    </w:p>
    <w:p>
      <w:pPr>
        <w:spacing w:after="0"/>
        <w:rPr>
          <w:sz w:val="20"/>
          <w:szCs w:val="20"/>
          <w:color w:val="auto"/>
        </w:rPr>
      </w:pPr>
      <w:r>
        <w:rPr>
          <w:rFonts w:ascii="Arial" w:cs="Arial" w:eastAsia="Arial" w:hAnsi="Arial"/>
          <w:sz w:val="32"/>
          <w:szCs w:val="32"/>
          <w:color w:val="0C3471"/>
        </w:rPr>
        <w:t>Executive Summary</w:t>
      </w:r>
    </w:p>
    <w:p>
      <w:pPr>
        <w:spacing w:after="0" w:line="357" w:lineRule="exact"/>
        <w:rPr>
          <w:sz w:val="20"/>
          <w:szCs w:val="20"/>
          <w:color w:val="auto"/>
        </w:rPr>
      </w:pPr>
    </w:p>
    <w:p>
      <w:pPr>
        <w:ind w:left="20"/>
        <w:spacing w:after="0"/>
        <w:rPr>
          <w:sz w:val="20"/>
          <w:szCs w:val="20"/>
          <w:color w:val="auto"/>
        </w:rPr>
      </w:pPr>
      <w:r>
        <w:rPr>
          <w:rFonts w:ascii="Arial" w:cs="Arial" w:eastAsia="Arial" w:hAnsi="Arial"/>
          <w:sz w:val="29"/>
          <w:szCs w:val="29"/>
          <w:color w:val="64A70B"/>
        </w:rPr>
        <w:t>2025 Highlights and Business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99" w:lineRule="exact"/>
        <w:rPr>
          <w:sz w:val="20"/>
          <w:szCs w:val="20"/>
          <w:color w:val="auto"/>
        </w:rPr>
      </w:pPr>
    </w:p>
    <w:p>
      <w:pPr>
        <w:ind w:right="180"/>
        <w:spacing w:after="0" w:line="246" w:lineRule="auto"/>
        <w:rPr>
          <w:sz w:val="20"/>
          <w:szCs w:val="20"/>
          <w:color w:val="auto"/>
        </w:rPr>
      </w:pPr>
      <w:r>
        <w:rPr>
          <w:rFonts w:ascii="Arial" w:cs="Arial" w:eastAsia="Arial" w:hAnsi="Arial"/>
          <w:sz w:val="16"/>
          <w:szCs w:val="16"/>
          <w:color w:val="auto"/>
        </w:rPr>
        <w:t>In 2025, we achieved record</w:t>
      </w:r>
      <w:r>
        <w:rPr>
          <w:rFonts w:ascii="Arial" w:cs="Arial" w:eastAsia="Arial" w:hAnsi="Arial"/>
          <w:sz w:val="21"/>
          <w:szCs w:val="21"/>
          <w:color w:val="auto"/>
          <w:vertAlign w:val="superscript"/>
        </w:rPr>
        <w:t>1</w:t>
      </w:r>
      <w:r>
        <w:rPr>
          <w:rFonts w:ascii="Arial" w:cs="Arial" w:eastAsia="Arial" w:hAnsi="Arial"/>
          <w:sz w:val="16"/>
          <w:szCs w:val="16"/>
          <w:color w:val="auto"/>
        </w:rPr>
        <w:t xml:space="preserve"> annual sales, adjusted operating income, adjusted return on sales and adjusted earnings per share. Our adjusted return on sales expanded to a record</w:t>
      </w:r>
      <w:r>
        <w:rPr>
          <w:rFonts w:ascii="Arial" w:cs="Arial" w:eastAsia="Arial" w:hAnsi="Arial"/>
          <w:sz w:val="21"/>
          <w:szCs w:val="21"/>
          <w:color w:val="auto"/>
          <w:vertAlign w:val="superscript"/>
        </w:rPr>
        <w:t>1</w:t>
      </w:r>
      <w:r>
        <w:rPr>
          <w:rFonts w:ascii="Arial" w:cs="Arial" w:eastAsia="Arial" w:hAnsi="Arial"/>
          <w:sz w:val="16"/>
          <w:szCs w:val="16"/>
          <w:color w:val="auto"/>
        </w:rPr>
        <w:t xml:space="preserve"> 25.2%, including a record</w:t>
      </w:r>
      <w:r>
        <w:rPr>
          <w:rFonts w:ascii="Arial" w:cs="Arial" w:eastAsia="Arial" w:hAnsi="Arial"/>
          <w:sz w:val="21"/>
          <w:szCs w:val="21"/>
          <w:color w:val="auto"/>
          <w:vertAlign w:val="superscript"/>
        </w:rPr>
        <w:t>1</w:t>
      </w:r>
      <w:r>
        <w:rPr>
          <w:rFonts w:ascii="Arial" w:cs="Arial" w:eastAsia="Arial" w:hAnsi="Arial"/>
          <w:sz w:val="16"/>
          <w:szCs w:val="16"/>
          <w:color w:val="auto"/>
        </w:rPr>
        <w:t xml:space="preserve"> annual return on sales across each of our Flow, Water Solutions, and Pool segments. Our financial results reflected the tangible impact of our Transformation initiatives and 80/20 approach, which have enabled us to streamline operations, invest in differentiated products, and deliver consistent margin expansion. Further, we reported record</w:t>
      </w:r>
      <w:r>
        <w:rPr>
          <w:rFonts w:ascii="Arial" w:cs="Arial" w:eastAsia="Arial" w:hAnsi="Arial"/>
          <w:sz w:val="21"/>
          <w:szCs w:val="21"/>
          <w:color w:val="auto"/>
          <w:vertAlign w:val="superscript"/>
        </w:rPr>
        <w:t>1</w:t>
      </w:r>
      <w:r>
        <w:rPr>
          <w:rFonts w:ascii="Arial" w:cs="Arial" w:eastAsia="Arial" w:hAnsi="Arial"/>
          <w:sz w:val="16"/>
          <w:szCs w:val="16"/>
          <w:color w:val="auto"/>
        </w:rPr>
        <w:t xml:space="preserve"> free cash flow of $748 million in 2025. Additionally, during 2025, we launched several notable new product innovations including the Xcentric Impeller in our Flow business, PFAS Everpure filtration in our Water Solutions business, the award-winning Manitowoc Ice NEO, and IntelliVibe lights and IntelliChlor Plus in our Pool business. The sale of our commercial services business and the acquisition of Hydra-Stop in 2025 furthered our strategy to focus on higher-growth, higher-margin businesses, which we believe positions us well to lead in the water industry in 2026.</w:t>
      </w:r>
    </w:p>
    <w:p>
      <w:pPr>
        <w:spacing w:after="0" w:line="87" w:lineRule="exact"/>
        <w:rPr>
          <w:sz w:val="20"/>
          <w:szCs w:val="20"/>
          <w:color w:val="auto"/>
        </w:rPr>
      </w:pPr>
    </w:p>
    <w:p>
      <w:pPr>
        <w:ind w:left="160" w:hanging="152"/>
        <w:spacing w:after="0"/>
        <w:tabs>
          <w:tab w:leader="none" w:pos="160" w:val="left"/>
        </w:tabs>
        <w:numPr>
          <w:ilvl w:val="0"/>
          <w:numId w:val="63"/>
        </w:numPr>
        <w:rPr>
          <w:rFonts w:ascii="Arial" w:cs="Arial" w:eastAsia="Arial" w:hAnsi="Arial"/>
          <w:sz w:val="19"/>
          <w:szCs w:val="19"/>
          <w:color w:val="auto"/>
          <w:vertAlign w:val="superscript"/>
        </w:rPr>
      </w:pPr>
      <w:r>
        <w:rPr>
          <w:rFonts w:ascii="Arial" w:cs="Arial" w:eastAsia="Arial" w:hAnsi="Arial"/>
          <w:sz w:val="14"/>
          <w:szCs w:val="14"/>
          <w:color w:val="auto"/>
        </w:rPr>
        <w:t>Record results refer to results of our continuing operations for the period post the nVent separation from Pentair in 2018.</w:t>
      </w:r>
    </w:p>
    <w:p>
      <w:pPr>
        <w:spacing w:after="0" w:line="313" w:lineRule="exact"/>
        <w:rPr>
          <w:sz w:val="20"/>
          <w:szCs w:val="20"/>
          <w:color w:val="auto"/>
        </w:rPr>
      </w:pPr>
    </w:p>
    <w:p>
      <w:pPr>
        <w:ind w:left="20"/>
        <w:spacing w:after="0"/>
        <w:rPr>
          <w:sz w:val="20"/>
          <w:szCs w:val="20"/>
          <w:color w:val="auto"/>
        </w:rPr>
      </w:pPr>
      <w:r>
        <w:rPr>
          <w:rFonts w:ascii="Arial" w:cs="Arial" w:eastAsia="Arial" w:hAnsi="Arial"/>
          <w:sz w:val="29"/>
          <w:szCs w:val="29"/>
          <w:color w:val="64A70B"/>
        </w:rPr>
        <w:t>Summary of 2025 Financial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Arial" w:cs="Arial" w:eastAsia="Arial" w:hAnsi="Arial"/>
          <w:sz w:val="16"/>
          <w:szCs w:val="16"/>
          <w:color w:val="auto"/>
        </w:rPr>
        <w:t>In 2025, as compared to 2024, we increased our adjusted earnings per share from continuing operations by 13.6% to $4.92. Our sales during 2025 were</w:t>
      </w:r>
    </w:p>
    <w:p>
      <w:pPr>
        <w:spacing w:after="0" w:line="32" w:lineRule="exact"/>
        <w:rPr>
          <w:sz w:val="20"/>
          <w:szCs w:val="20"/>
          <w:color w:val="auto"/>
        </w:rPr>
      </w:pPr>
    </w:p>
    <w:p>
      <w:pPr>
        <w:jc w:val="both"/>
        <w:ind w:right="120"/>
        <w:spacing w:after="0" w:line="292" w:lineRule="auto"/>
        <w:rPr>
          <w:sz w:val="20"/>
          <w:szCs w:val="20"/>
          <w:color w:val="auto"/>
        </w:rPr>
      </w:pPr>
      <w:r>
        <w:rPr>
          <w:rFonts w:ascii="Arial" w:cs="Arial" w:eastAsia="Arial" w:hAnsi="Arial"/>
          <w:sz w:val="16"/>
          <w:szCs w:val="16"/>
          <w:color w:val="auto"/>
        </w:rPr>
        <w:t>$4,176.0 million, up 2.3% compared to sales from the prior year. Our adjusted operating income in 2025 grew 9.8% from 2024, to $1,053.5 million for 2025. Our free cash flow from continuing operations was $748.4 million for 2025, an increase of 8.0% from 2024. In addition, we repurchased 2.3 million ordinary shares and increased the cash dividend for the 49th consecutive year, returning a total of $389.3 million to our shareholders during 2025.</w:t>
      </w:r>
    </w:p>
    <w:p>
      <w:pPr>
        <w:spacing w:after="0" w:line="62" w:lineRule="exact"/>
        <w:rPr>
          <w:sz w:val="20"/>
          <w:szCs w:val="20"/>
          <w:color w:val="auto"/>
        </w:rPr>
      </w:pPr>
    </w:p>
    <w:p>
      <w:pPr>
        <w:ind w:left="220" w:hanging="212"/>
        <w:spacing w:after="0"/>
        <w:tabs>
          <w:tab w:leader="none" w:pos="220" w:val="left"/>
        </w:tabs>
        <w:numPr>
          <w:ilvl w:val="0"/>
          <w:numId w:val="64"/>
        </w:numPr>
        <w:rPr>
          <w:rFonts w:ascii="Arial" w:cs="Arial" w:eastAsia="Arial" w:hAnsi="Arial"/>
          <w:sz w:val="14"/>
          <w:szCs w:val="14"/>
          <w:color w:val="auto"/>
        </w:rPr>
      </w:pPr>
      <w:r>
        <w:rPr>
          <w:rFonts w:ascii="Arial" w:cs="Arial" w:eastAsia="Arial" w:hAnsi="Arial"/>
          <w:sz w:val="14"/>
          <w:szCs w:val="14"/>
          <w:color w:val="auto"/>
        </w:rPr>
        <w:t>Please see Appendix A for reconciliation of GAAP to non-GAAP financial measures included in this section.</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10780" w:type="dxa"/>
            <w:vAlign w:val="bottom"/>
          </w:tcPr>
          <w:p>
            <w:pPr>
              <w:ind w:left="8260"/>
              <w:spacing w:after="0"/>
              <w:rPr>
                <w:sz w:val="20"/>
                <w:szCs w:val="20"/>
                <w:color w:val="auto"/>
              </w:rPr>
            </w:pPr>
            <w:r>
              <w:rPr>
                <w:rFonts w:ascii="Arial" w:cs="Arial" w:eastAsia="Arial" w:hAnsi="Arial"/>
                <w:sz w:val="16"/>
                <w:szCs w:val="16"/>
                <w:b w:val="1"/>
                <w:bCs w:val="1"/>
                <w:color w:val="auto"/>
              </w:rPr>
              <w:t xml:space="preserve">2026 Proxy Statement </w:t>
            </w:r>
            <w:r>
              <w:rPr>
                <w:rFonts w:ascii="Arial" w:cs="Arial" w:eastAsia="Arial" w:hAnsi="Arial"/>
                <w:sz w:val="16"/>
                <w:szCs w:val="16"/>
                <w:b w:val="1"/>
                <w:bCs w:val="1"/>
                <w:color w:val="0C3471"/>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Pentair</w:t>
            </w:r>
          </w:p>
        </w:tc>
        <w:tc>
          <w:tcPr>
            <w:tcW w:w="460" w:type="dxa"/>
            <w:vAlign w:val="bottom"/>
          </w:tcPr>
          <w:p>
            <w:pPr>
              <w:jc w:val="right"/>
              <w:spacing w:after="0"/>
              <w:rPr>
                <w:sz w:val="20"/>
                <w:szCs w:val="20"/>
                <w:color w:val="auto"/>
              </w:rPr>
            </w:pPr>
            <w:r>
              <w:rPr>
                <w:rFonts w:ascii="Arial" w:cs="Arial" w:eastAsia="Arial" w:hAnsi="Arial"/>
                <w:sz w:val="16"/>
                <w:szCs w:val="16"/>
                <w:b w:val="1"/>
                <w:bCs w:val="1"/>
                <w:color w:val="auto"/>
              </w:rPr>
              <w:t>33</w:t>
            </w:r>
          </w:p>
        </w:tc>
      </w:tr>
      <w:tr>
        <w:trPr>
          <w:trHeight w:val="311"/>
        </w:trPr>
        <w:tc>
          <w:tcPr>
            <w:tcW w:w="107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5" w:name="page36"/>
    <w:bookmarkEnd w:id="35"/>
    <w:p>
      <w:pPr>
        <w:ind w:left="36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216535</wp:posOffset>
            </wp:positionH>
            <wp:positionV relativeFrom="page">
              <wp:posOffset>106045</wp:posOffset>
            </wp:positionV>
            <wp:extent cx="102870" cy="11176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clrChange>
                        <a:clrFrom>
                          <a:srgbClr val="FFFFFF"/>
                        </a:clrFrom>
                        <a:clrTo>
                          <a:srgbClr val="FFFFFF">
                            <a:alpha val="0"/>
                          </a:srgbClr>
                        </a:clrTo>
                      </a:clrChange>
                      <a:extLst>
                        <a:ext uri="{28A0092B-C50C-407E-A947-70E740481C1C}"/>
                      </a:extLst>
                    </a:blip>
                    <a:srcRect/>
                    <a:stretch>
                      <a:fillRect/>
                    </a:stretch>
                  </pic:blipFill>
                  <pic:spPr bwMode="auto">
                    <a:xfrm>
                      <a:off x="0" y="0"/>
                      <a:ext cx="102870" cy="111760"/>
                    </a:xfrm>
                    <a:prstGeom prst="rect">
                      <a:avLst/>
                    </a:prstGeom>
                    <a:noFill/>
                  </pic:spPr>
                </pic:pic>
              </a:graphicData>
            </a:graphic>
          </wp:anchor>
        </w:drawing>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732155</wp:posOffset>
            </wp:positionV>
            <wp:extent cx="7003415"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003415" cy="8890"/>
                    </a:xfrm>
                    <a:prstGeom prst="rect">
                      <a:avLst/>
                    </a:prstGeom>
                    <a:noFill/>
                  </pic:spPr>
                </pic:pic>
              </a:graphicData>
            </a:graphic>
          </wp:anchor>
        </w:drawing>
      </w:r>
    </w:p>
    <w:p>
      <w:pPr>
        <w:sectPr>
          <w:pgSz w:w="11900" w:h="16838" w:orient="portrait"/>
          <w:cols w:equalWidth="0" w:num="1">
            <w:col w:w="10139"/>
          </w:cols>
          <w:pgMar w:left="320" w:top="17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tabs>
          <w:tab w:leader="none" w:pos="5600" w:val="left"/>
        </w:tabs>
        <w:rPr>
          <w:sz w:val="20"/>
          <w:szCs w:val="20"/>
          <w:color w:val="auto"/>
        </w:rPr>
      </w:pPr>
      <w:r>
        <w:rPr>
          <w:rFonts w:ascii="Arial" w:cs="Arial" w:eastAsia="Arial" w:hAnsi="Arial"/>
          <w:sz w:val="22"/>
          <w:szCs w:val="22"/>
          <w:b w:val="1"/>
          <w:bCs w:val="1"/>
          <w:color w:val="auto"/>
        </w:rPr>
        <w:t>Adjusted EPS</w:t>
      </w:r>
      <w:r>
        <w:rPr>
          <w:sz w:val="20"/>
          <w:szCs w:val="20"/>
          <w:color w:val="auto"/>
        </w:rPr>
        <w:tab/>
      </w:r>
      <w:r>
        <w:rPr>
          <w:rFonts w:ascii="Arial" w:cs="Arial" w:eastAsia="Arial" w:hAnsi="Arial"/>
          <w:sz w:val="16"/>
          <w:szCs w:val="16"/>
          <w:b w:val="1"/>
          <w:bCs w:val="1"/>
          <w:color w:val="auto"/>
        </w:rPr>
        <w: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-4445</wp:posOffset>
            </wp:positionV>
            <wp:extent cx="2134235" cy="147447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2134235" cy="1474470"/>
                    </a:xfrm>
                    <a:prstGeom prst="rect">
                      <a:avLst/>
                    </a:prstGeom>
                    <a:noFill/>
                  </pic:spPr>
                </pic:pic>
              </a:graphicData>
            </a:graphic>
          </wp:anchor>
        </w:drawing>
      </w:r>
    </w:p>
    <w:p>
      <w:pPr>
        <w:spacing w:after="0" w:line="79" w:lineRule="exact"/>
        <w:rPr>
          <w:sz w:val="20"/>
          <w:szCs w:val="20"/>
          <w:color w:val="auto"/>
        </w:rPr>
      </w:pPr>
    </w:p>
    <w:p>
      <w:pPr>
        <w:ind w:right="3160"/>
        <w:spacing w:after="0" w:line="283" w:lineRule="auto"/>
        <w:rPr>
          <w:sz w:val="20"/>
          <w:szCs w:val="20"/>
          <w:color w:val="auto"/>
        </w:rPr>
      </w:pPr>
      <w:r>
        <w:rPr>
          <w:rFonts w:ascii="Arial" w:cs="Arial" w:eastAsia="Arial" w:hAnsi="Arial"/>
          <w:sz w:val="16"/>
          <w:szCs w:val="16"/>
          <w:color w:val="auto"/>
        </w:rPr>
        <w:t>Earnings per diluted share from continuing operations (“EPS”) were $3.93 in 2025, compared to $3.74 in 2024. On an adjusted basis, EPS increased 13.6% to $4.92 in 2025, compared to $4.33 in 2024. Adjusted EPS is a key metric in our performance share unit awards, detailed on page 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932180</wp:posOffset>
            </wp:positionV>
            <wp:extent cx="700341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00341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439"/>
        <w:spacing w:after="0"/>
        <w:rPr>
          <w:sz w:val="20"/>
          <w:szCs w:val="20"/>
          <w:color w:val="auto"/>
        </w:rPr>
      </w:pPr>
      <w:r>
        <w:rPr>
          <w:rFonts w:ascii="Arial" w:cs="Arial" w:eastAsia="Arial" w:hAnsi="Arial"/>
          <w:sz w:val="16"/>
          <w:szCs w:val="16"/>
          <w:b w:val="1"/>
          <w:bCs w:val="1"/>
          <w:color w:val="83C166"/>
        </w:rPr>
        <w:t>p</w:t>
      </w:r>
    </w:p>
    <w:p>
      <w:pPr>
        <w:spacing w:after="0" w:line="3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10.2%</w:t>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3-Year</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5"/>
          <w:szCs w:val="15"/>
          <w:color w:val="auto"/>
        </w:rPr>
        <w:t>CAGR</w:t>
      </w:r>
    </w:p>
    <w:p>
      <w:pPr>
        <w:spacing w:after="0" w:line="15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13.6%</w:t>
      </w:r>
    </w:p>
    <w:p>
      <w:pPr>
        <w:spacing w:after="0" w:line="35" w:lineRule="exact"/>
        <w:rPr>
          <w:sz w:val="20"/>
          <w:szCs w:val="20"/>
          <w:color w:val="auto"/>
        </w:rPr>
      </w:pPr>
    </w:p>
    <w:p>
      <w:pPr>
        <w:ind w:left="20"/>
        <w:spacing w:after="0"/>
        <w:rPr>
          <w:sz w:val="20"/>
          <w:szCs w:val="20"/>
          <w:color w:val="auto"/>
        </w:rPr>
      </w:pPr>
      <w:r>
        <w:rPr>
          <w:rFonts w:ascii="Arial" w:cs="Arial" w:eastAsia="Arial" w:hAnsi="Arial"/>
          <w:sz w:val="15"/>
          <w:szCs w:val="15"/>
          <w:color w:val="auto"/>
        </w:rPr>
        <w:t>1 Year</w:t>
      </w:r>
    </w:p>
    <w:p>
      <w:pPr>
        <w:spacing w:after="0" w:line="200" w:lineRule="exact"/>
        <w:rPr>
          <w:sz w:val="20"/>
          <w:szCs w:val="20"/>
          <w:color w:val="auto"/>
        </w:rPr>
      </w:pPr>
    </w:p>
    <w:p>
      <w:pPr>
        <w:sectPr>
          <w:pgSz w:w="11900" w:h="16838" w:orient="portrait"/>
          <w:cols w:equalWidth="0" w:num="2">
            <w:col w:w="8500" w:space="720"/>
            <w:col w:w="919"/>
          </w:cols>
          <w:pgMar w:left="320" w:top="179"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tabs>
          <w:tab w:leader="none" w:pos="5600" w:val="left"/>
        </w:tabs>
        <w:rPr>
          <w:sz w:val="20"/>
          <w:szCs w:val="20"/>
          <w:color w:val="auto"/>
        </w:rPr>
      </w:pPr>
      <w:r>
        <w:rPr>
          <w:rFonts w:ascii="Arial" w:cs="Arial" w:eastAsia="Arial" w:hAnsi="Arial"/>
          <w:sz w:val="22"/>
          <w:szCs w:val="22"/>
          <w:b w:val="1"/>
          <w:bCs w:val="1"/>
          <w:color w:val="auto"/>
        </w:rPr>
        <w:t>Adjusted Operating Income</w:t>
      </w:r>
      <w:r>
        <w:rPr>
          <w:sz w:val="20"/>
          <w:szCs w:val="20"/>
          <w:color w:val="auto"/>
        </w:rPr>
        <w:tab/>
      </w:r>
      <w:r>
        <w:rPr>
          <w:rFonts w:ascii="Arial" w:cs="Arial" w:eastAsia="Arial" w:hAnsi="Arial"/>
          <w:sz w:val="16"/>
          <w:szCs w:val="16"/>
          <w:b w:val="1"/>
          <w:bCs w:val="1"/>
          <w:color w:val="auto"/>
        </w:rPr>
        <w:t>$US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3175</wp:posOffset>
            </wp:positionV>
            <wp:extent cx="2134235" cy="164592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2134235" cy="1645920"/>
                    </a:xfrm>
                    <a:prstGeom prst="rect">
                      <a:avLst/>
                    </a:prstGeom>
                    <a:noFill/>
                  </pic:spPr>
                </pic:pic>
              </a:graphicData>
            </a:graphic>
          </wp:anchor>
        </w:drawing>
      </w:r>
    </w:p>
    <w:p>
      <w:pPr>
        <w:spacing w:after="0" w:line="79" w:lineRule="exact"/>
        <w:rPr>
          <w:sz w:val="20"/>
          <w:szCs w:val="20"/>
          <w:color w:val="auto"/>
        </w:rPr>
      </w:pPr>
    </w:p>
    <w:p>
      <w:pPr>
        <w:ind w:right="3160"/>
        <w:spacing w:after="0" w:line="282" w:lineRule="auto"/>
        <w:rPr>
          <w:sz w:val="20"/>
          <w:szCs w:val="20"/>
          <w:color w:val="auto"/>
        </w:rPr>
      </w:pPr>
      <w:r>
        <w:rPr>
          <w:rFonts w:ascii="Arial" w:cs="Arial" w:eastAsia="Arial" w:hAnsi="Arial"/>
          <w:sz w:val="16"/>
          <w:szCs w:val="16"/>
          <w:color w:val="auto"/>
        </w:rPr>
        <w:t>Operating income in 2025 was $858 million, compared to $804 million in 2024. On an adjusted basis, our adjusted operating income increased 9.8% over the prior year to $1,054 million in 2025 from $959 million in 2024. Adjusted operating income as a percent of sales increased to 25.2% in 2025 from 23.5% in 2024. Adjusted operating income is a key metric in our Management Incentive Plan (the “MIP”), detailed on page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831215</wp:posOffset>
            </wp:positionV>
            <wp:extent cx="700341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00341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439"/>
        <w:spacing w:after="0"/>
        <w:rPr>
          <w:sz w:val="20"/>
          <w:szCs w:val="20"/>
          <w:color w:val="auto"/>
        </w:rPr>
      </w:pPr>
      <w:r>
        <w:rPr>
          <w:rFonts w:ascii="Arial" w:cs="Arial" w:eastAsia="Arial" w:hAnsi="Arial"/>
          <w:sz w:val="16"/>
          <w:szCs w:val="16"/>
          <w:b w:val="1"/>
          <w:bCs w:val="1"/>
          <w:color w:val="83C166"/>
        </w:rPr>
        <w:t>p</w:t>
      </w:r>
    </w:p>
    <w:p>
      <w:pPr>
        <w:spacing w:after="0" w:line="3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11.1%</w:t>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3-Year</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5"/>
          <w:szCs w:val="15"/>
          <w:color w:val="auto"/>
        </w:rPr>
        <w:t>CAGR</w:t>
      </w:r>
    </w:p>
    <w:p>
      <w:pPr>
        <w:spacing w:after="0" w:line="138"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9.8%</w:t>
      </w:r>
    </w:p>
    <w:p>
      <w:pPr>
        <w:spacing w:after="0" w:line="39" w:lineRule="exact"/>
        <w:rPr>
          <w:sz w:val="20"/>
          <w:szCs w:val="20"/>
          <w:color w:val="auto"/>
        </w:rPr>
      </w:pPr>
    </w:p>
    <w:p>
      <w:pPr>
        <w:ind w:left="20"/>
        <w:spacing w:after="0"/>
        <w:rPr>
          <w:sz w:val="20"/>
          <w:szCs w:val="20"/>
          <w:color w:val="auto"/>
        </w:rPr>
      </w:pPr>
      <w:r>
        <w:rPr>
          <w:rFonts w:ascii="Arial" w:cs="Arial" w:eastAsia="Arial" w:hAnsi="Arial"/>
          <w:sz w:val="15"/>
          <w:szCs w:val="15"/>
          <w:color w:val="auto"/>
        </w:rPr>
        <w:t>1 Year</w:t>
      </w:r>
    </w:p>
    <w:p>
      <w:pPr>
        <w:spacing w:after="0" w:line="200" w:lineRule="exact"/>
        <w:rPr>
          <w:sz w:val="20"/>
          <w:szCs w:val="20"/>
          <w:color w:val="auto"/>
        </w:rPr>
      </w:pPr>
    </w:p>
    <w:p>
      <w:pPr>
        <w:sectPr>
          <w:pgSz w:w="11900" w:h="16838" w:orient="portrait"/>
          <w:cols w:equalWidth="0" w:num="2">
            <w:col w:w="8500" w:space="720"/>
            <w:col w:w="919"/>
          </w:cols>
          <w:pgMar w:left="320" w:top="179"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tabs>
          <w:tab w:leader="none" w:pos="5600" w:val="left"/>
        </w:tabs>
        <w:rPr>
          <w:sz w:val="20"/>
          <w:szCs w:val="20"/>
          <w:color w:val="auto"/>
        </w:rPr>
      </w:pPr>
      <w:r>
        <w:rPr>
          <w:rFonts w:ascii="Arial" w:cs="Arial" w:eastAsia="Arial" w:hAnsi="Arial"/>
          <w:sz w:val="22"/>
          <w:szCs w:val="22"/>
          <w:b w:val="1"/>
          <w:bCs w:val="1"/>
          <w:color w:val="auto"/>
        </w:rPr>
        <w:t>Free Cash Flow</w:t>
      </w:r>
      <w:r>
        <w:rPr>
          <w:sz w:val="20"/>
          <w:szCs w:val="20"/>
          <w:color w:val="auto"/>
        </w:rPr>
        <w:tab/>
      </w:r>
      <w:r>
        <w:rPr>
          <w:rFonts w:ascii="Arial" w:cs="Arial" w:eastAsia="Arial" w:hAnsi="Arial"/>
          <w:sz w:val="16"/>
          <w:szCs w:val="16"/>
          <w:b w:val="1"/>
          <w:bCs w:val="1"/>
          <w:color w:val="auto"/>
        </w:rPr>
        <w:t>$US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3175</wp:posOffset>
            </wp:positionV>
            <wp:extent cx="2134235" cy="147447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2134235" cy="1474470"/>
                    </a:xfrm>
                    <a:prstGeom prst="rect">
                      <a:avLst/>
                    </a:prstGeom>
                    <a:noFill/>
                  </pic:spPr>
                </pic:pic>
              </a:graphicData>
            </a:graphic>
          </wp:anchor>
        </w:drawing>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color w:val="auto"/>
        </w:rPr>
        <w:t>Net cash provided by operating activities of continuing operations was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$815 million in 2025, compared to $767 million in 2024. Free cash flow</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from continuing operations was $748 million in 2025, compared to</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$693 million in 2024. In 2025, we repurchased 2.3 million ordinary shares</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and increased the cash dividend paid to our shareholders for the 49th</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consecutive year, returning a total of $389 million to our shareholders.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Free cash flow is a key metric in our MIP, detailed on page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560705</wp:posOffset>
            </wp:positionV>
            <wp:extent cx="7003415"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00341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439"/>
        <w:spacing w:after="0"/>
        <w:rPr>
          <w:sz w:val="20"/>
          <w:szCs w:val="20"/>
          <w:color w:val="auto"/>
        </w:rPr>
      </w:pPr>
      <w:r>
        <w:rPr>
          <w:rFonts w:ascii="Arial" w:cs="Arial" w:eastAsia="Arial" w:hAnsi="Arial"/>
          <w:sz w:val="16"/>
          <w:szCs w:val="16"/>
          <w:b w:val="1"/>
          <w:bCs w:val="1"/>
          <w:color w:val="83C166"/>
        </w:rPr>
        <w:t>p</w:t>
      </w:r>
    </w:p>
    <w:p>
      <w:pPr>
        <w:spacing w:after="0" w:line="35"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38.3%</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color w:val="auto"/>
        </w:rPr>
        <w:t>3-Year</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5"/>
          <w:szCs w:val="15"/>
          <w:color w:val="auto"/>
        </w:rPr>
        <w:t>CAGR</w:t>
      </w:r>
    </w:p>
    <w:p>
      <w:pPr>
        <w:spacing w:after="0" w:line="139"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8.0%</w:t>
      </w:r>
    </w:p>
    <w:p>
      <w:pPr>
        <w:spacing w:after="0" w:line="39" w:lineRule="exact"/>
        <w:rPr>
          <w:sz w:val="20"/>
          <w:szCs w:val="20"/>
          <w:color w:val="auto"/>
        </w:rPr>
      </w:pPr>
    </w:p>
    <w:p>
      <w:pPr>
        <w:ind w:left="20"/>
        <w:spacing w:after="0"/>
        <w:rPr>
          <w:sz w:val="20"/>
          <w:szCs w:val="20"/>
          <w:color w:val="auto"/>
        </w:rPr>
      </w:pPr>
      <w:r>
        <w:rPr>
          <w:rFonts w:ascii="Arial" w:cs="Arial" w:eastAsia="Arial" w:hAnsi="Arial"/>
          <w:sz w:val="15"/>
          <w:szCs w:val="15"/>
          <w:color w:val="auto"/>
        </w:rPr>
        <w:t>1 Year</w:t>
      </w:r>
    </w:p>
    <w:p>
      <w:pPr>
        <w:spacing w:after="0" w:line="200" w:lineRule="exact"/>
        <w:rPr>
          <w:sz w:val="20"/>
          <w:szCs w:val="20"/>
          <w:color w:val="auto"/>
        </w:rPr>
      </w:pPr>
    </w:p>
    <w:p>
      <w:pPr>
        <w:sectPr>
          <w:pgSz w:w="11900" w:h="16838" w:orient="portrait"/>
          <w:cols w:equalWidth="0" w:num="2">
            <w:col w:w="8500" w:space="720"/>
            <w:col w:w="919"/>
          </w:cols>
          <w:pgMar w:left="320" w:top="179" w:right="1440" w:bottom="1440" w:gutter="0" w:footer="0" w:header="0"/>
          <w:type w:val="continuous"/>
        </w:sectPr>
      </w:pPr>
    </w:p>
    <w:p>
      <w:pPr>
        <w:spacing w:after="0" w:line="200" w:lineRule="exact"/>
        <w:rPr>
          <w:sz w:val="20"/>
          <w:szCs w:val="20"/>
          <w:color w:val="auto"/>
        </w:rPr>
      </w:pPr>
    </w:p>
    <w:p>
      <w:pPr>
        <w:spacing w:after="0" w:line="389" w:lineRule="exact"/>
        <w:rPr>
          <w:sz w:val="20"/>
          <w:szCs w:val="20"/>
          <w:color w:val="auto"/>
        </w:rPr>
      </w:pPr>
    </w:p>
    <w:p>
      <w:pPr>
        <w:spacing w:after="0"/>
        <w:tabs>
          <w:tab w:leader="none" w:pos="5600" w:val="left"/>
        </w:tabs>
        <w:rPr>
          <w:sz w:val="20"/>
          <w:szCs w:val="20"/>
          <w:color w:val="auto"/>
        </w:rPr>
      </w:pPr>
      <w:r>
        <w:rPr>
          <w:rFonts w:ascii="Arial" w:cs="Arial" w:eastAsia="Arial" w:hAnsi="Arial"/>
          <w:sz w:val="22"/>
          <w:szCs w:val="22"/>
          <w:b w:val="1"/>
          <w:bCs w:val="1"/>
          <w:color w:val="auto"/>
        </w:rPr>
        <w:t>Sales</w:t>
      </w:r>
      <w:r>
        <w:rPr>
          <w:sz w:val="20"/>
          <w:szCs w:val="20"/>
          <w:color w:val="auto"/>
        </w:rPr>
        <w:tab/>
      </w:r>
      <w:r>
        <w:rPr>
          <w:rFonts w:ascii="Arial" w:cs="Arial" w:eastAsia="Arial" w:hAnsi="Arial"/>
          <w:sz w:val="16"/>
          <w:szCs w:val="16"/>
          <w:b w:val="1"/>
          <w:bCs w:val="1"/>
          <w:color w:val="auto"/>
        </w:rPr>
        <w:t>$US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13970</wp:posOffset>
            </wp:positionV>
            <wp:extent cx="2134235" cy="147447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2134235" cy="1474470"/>
                    </a:xfrm>
                    <a:prstGeom prst="rect">
                      <a:avLst/>
                    </a:prstGeom>
                    <a:noFill/>
                  </pic:spPr>
                </pic:pic>
              </a:graphicData>
            </a:graphic>
          </wp:anchor>
        </w:drawing>
      </w:r>
    </w:p>
    <w:p>
      <w:pPr>
        <w:spacing w:after="0" w:line="109" w:lineRule="exact"/>
        <w:rPr>
          <w:sz w:val="20"/>
          <w:szCs w:val="20"/>
          <w:color w:val="auto"/>
        </w:rPr>
      </w:pPr>
    </w:p>
    <w:p>
      <w:pPr>
        <w:jc w:val="both"/>
        <w:ind w:right="3000"/>
        <w:spacing w:after="0" w:line="292" w:lineRule="auto"/>
        <w:rPr>
          <w:sz w:val="20"/>
          <w:szCs w:val="20"/>
          <w:color w:val="auto"/>
        </w:rPr>
      </w:pPr>
      <w:r>
        <w:rPr>
          <w:rFonts w:ascii="Arial" w:cs="Arial" w:eastAsia="Arial" w:hAnsi="Arial"/>
          <w:sz w:val="16"/>
          <w:szCs w:val="16"/>
          <w:color w:val="auto"/>
        </w:rPr>
        <w:t>Our sales during 2025 were $4,176 million, an increase of 2.3% compared to $4,083 million in 2024. Revenue, which is the same as sales, is a key metric in our MIP, detailed on page 42.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439"/>
        <w:spacing w:after="0"/>
        <w:rPr>
          <w:sz w:val="20"/>
          <w:szCs w:val="20"/>
          <w:color w:val="auto"/>
        </w:rPr>
      </w:pPr>
      <w:r>
        <w:rPr>
          <w:rFonts w:ascii="Arial" w:cs="Arial" w:eastAsia="Arial" w:hAnsi="Arial"/>
          <w:sz w:val="16"/>
          <w:szCs w:val="16"/>
          <w:b w:val="1"/>
          <w:bCs w:val="1"/>
          <w:color w:val="83C166"/>
        </w:rPr>
        <w:t>p</w:t>
      </w:r>
    </w:p>
    <w:p>
      <w:pPr>
        <w:spacing w:after="0" w:line="39"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0.4%</w:t>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3-Year</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5"/>
          <w:szCs w:val="15"/>
          <w:color w:val="auto"/>
        </w:rPr>
        <w:t>CAGR</w:t>
      </w:r>
    </w:p>
    <w:p>
      <w:pPr>
        <w:spacing w:after="0" w:line="152"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2.3%</w:t>
      </w:r>
    </w:p>
    <w:p>
      <w:pPr>
        <w:spacing w:after="0" w:line="35" w:lineRule="exact"/>
        <w:rPr>
          <w:sz w:val="20"/>
          <w:szCs w:val="20"/>
          <w:color w:val="auto"/>
        </w:rPr>
      </w:pPr>
    </w:p>
    <w:p>
      <w:pPr>
        <w:ind w:left="20"/>
        <w:spacing w:after="0"/>
        <w:rPr>
          <w:sz w:val="20"/>
          <w:szCs w:val="20"/>
          <w:color w:val="auto"/>
        </w:rPr>
      </w:pPr>
      <w:r>
        <w:rPr>
          <w:rFonts w:ascii="Arial" w:cs="Arial" w:eastAsia="Arial" w:hAnsi="Arial"/>
          <w:sz w:val="15"/>
          <w:szCs w:val="15"/>
          <w:color w:val="auto"/>
        </w:rPr>
        <w:t>1 Year</w:t>
      </w:r>
    </w:p>
    <w:p>
      <w:pPr>
        <w:spacing w:after="0" w:line="200" w:lineRule="exact"/>
        <w:rPr>
          <w:sz w:val="20"/>
          <w:szCs w:val="20"/>
          <w:color w:val="auto"/>
        </w:rPr>
      </w:pPr>
    </w:p>
    <w:p>
      <w:pPr>
        <w:sectPr>
          <w:pgSz w:w="11900" w:h="16838" w:orient="portrait"/>
          <w:cols w:equalWidth="0" w:num="2">
            <w:col w:w="8500" w:space="720"/>
            <w:col w:w="919"/>
          </w:cols>
          <w:pgMar w:left="320" w:top="179"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600" w:hanging="574"/>
        <w:spacing w:after="0"/>
        <w:tabs>
          <w:tab w:leader="none" w:pos="600" w:val="left"/>
        </w:tabs>
        <w:numPr>
          <w:ilvl w:val="0"/>
          <w:numId w:val="65"/>
        </w:numPr>
        <w:rPr>
          <w:rFonts w:ascii="Arial" w:cs="Arial" w:eastAsia="Arial" w:hAnsi="Arial"/>
          <w:sz w:val="16"/>
          <w:szCs w:val="16"/>
          <w:b w:val="1"/>
          <w:bCs w:val="1"/>
          <w:color w:val="auto"/>
        </w:rPr>
      </w:pPr>
      <w:r>
        <w:rPr>
          <w:rFonts w:ascii="Arial" w:cs="Arial" w:eastAsia="Arial" w:hAnsi="Arial"/>
          <w:sz w:val="16"/>
          <w:szCs w:val="16"/>
          <w:color w:val="auto"/>
        </w:rPr>
        <w:t xml:space="preserve">Pentair </w:t>
      </w:r>
      <w:r>
        <w:rPr>
          <w:rFonts w:ascii="Arial" w:cs="Arial" w:eastAsia="Arial" w:hAnsi="Arial"/>
          <w:sz w:val="16"/>
          <w:szCs w:val="16"/>
          <w:b w:val="1"/>
          <w:bCs w:val="1"/>
          <w:color w:val="0C3471"/>
        </w:rPr>
        <w:t>|</w:t>
      </w:r>
      <w:r>
        <w:rPr>
          <w:rFonts w:ascii="Arial" w:cs="Arial" w:eastAsia="Arial" w:hAnsi="Arial"/>
          <w:sz w:val="16"/>
          <w:szCs w:val="16"/>
          <w:color w:val="auto"/>
        </w:rPr>
        <w:t xml:space="preserve"> </w:t>
      </w:r>
      <w:r>
        <w:rPr>
          <w:rFonts w:ascii="Arial" w:cs="Arial" w:eastAsia="Arial" w:hAnsi="Arial"/>
          <w:sz w:val="16"/>
          <w:szCs w:val="16"/>
          <w:b w:val="1"/>
          <w:bCs w:val="1"/>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213995</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79" w:right="1440" w:bottom="1440" w:gutter="0" w:footer="0" w:header="0"/>
          <w:type w:val="continuous"/>
        </w:sectPr>
      </w:pPr>
    </w:p>
    <w:bookmarkStart w:id="36" w:name="page37"/>
    <w:bookmarkEnd w:id="36"/>
    <w:p>
      <w:pPr>
        <w:ind w:left="8140"/>
        <w:spacing w:after="0"/>
        <w:rPr>
          <w:sz w:val="20"/>
          <w:szCs w:val="20"/>
          <w:color w:val="auto"/>
        </w:rPr>
      </w:pPr>
      <w:r>
        <w:rPr>
          <w:rFonts w:ascii="Arial" w:cs="Arial" w:eastAsia="Arial" w:hAnsi="Arial"/>
          <w:sz w:val="16"/>
          <w:szCs w:val="16"/>
          <w:b w:val="1"/>
          <w:bCs w:val="1"/>
          <w:color w:val="auto"/>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4659630</wp:posOffset>
            </wp:positionH>
            <wp:positionV relativeFrom="paragraph">
              <wp:posOffset>-107315</wp:posOffset>
            </wp:positionV>
            <wp:extent cx="102870" cy="11112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02870" cy="111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20"/>
        <w:spacing w:after="0"/>
        <w:rPr>
          <w:sz w:val="20"/>
          <w:szCs w:val="20"/>
          <w:color w:val="auto"/>
        </w:rPr>
      </w:pPr>
      <w:r>
        <w:rPr>
          <w:rFonts w:ascii="Arial" w:cs="Arial" w:eastAsia="Arial" w:hAnsi="Arial"/>
          <w:sz w:val="29"/>
          <w:szCs w:val="29"/>
          <w:color w:val="64A70B"/>
        </w:rPr>
        <w:t>2025 Compensation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Elements of Executive Compensation</w:t>
      </w:r>
    </w:p>
    <w:p>
      <w:pPr>
        <w:spacing w:after="0" w:line="141"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We provide three elements of direct compensation: base salary, annual incentives and long-term incentives, which are described below. In addition, we provide limited perquisites, and standard retirement and health and welfare benefits. The Compensation Committee reviews total compensation for executive officers and the relative levels of each of these forms of compensation against the Compensation Committee’s goals to attract, retain and incentivize talented executives and to align the interests of these executives with those of our long-term shareholders.</w:t>
      </w:r>
    </w:p>
    <w:p>
      <w:pPr>
        <w:sectPr>
          <w:pgSz w:w="11900" w:h="16838" w:orient="portrait"/>
          <w:cols w:equalWidth="0" w:num="1">
            <w:col w:w="11240"/>
          </w:cols>
          <w:pgMar w:left="320" w:top="179" w:right="339" w:bottom="1440" w:gutter="0" w:footer="0" w:header="0"/>
        </w:sectPr>
      </w:pPr>
    </w:p>
    <w:p>
      <w:pPr>
        <w:spacing w:after="0" w:line="13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Element</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Base Salary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Annual</w:t>
      </w:r>
    </w:p>
    <w:p>
      <w:pPr>
        <w:spacing w:after="0" w:line="3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Incentives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Long-Term</w:t>
      </w:r>
    </w:p>
    <w:p>
      <w:pPr>
        <w:spacing w:after="0" w:line="3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Incentives</w:t>
      </w:r>
    </w:p>
    <w:p>
      <w:pPr>
        <w:spacing w:after="0" w:line="20" w:lineRule="exact"/>
        <w:rPr>
          <w:sz w:val="20"/>
          <w:szCs w:val="20"/>
          <w:color w:val="auto"/>
        </w:rPr>
      </w:pPr>
      <w:r>
        <w:rPr>
          <w:sz w:val="20"/>
          <w:szCs w:val="20"/>
          <w:color w:val="auto"/>
        </w:rPr>
        <w:br w:type="column"/>
      </w:r>
    </w:p>
    <w:p>
      <w:pPr>
        <w:spacing w:after="0" w:line="116" w:lineRule="exact"/>
        <w:rPr>
          <w:sz w:val="20"/>
          <w:szCs w:val="20"/>
          <w:color w:val="auto"/>
        </w:rPr>
      </w:pPr>
    </w:p>
    <w:p>
      <w:pPr>
        <w:ind w:left="4"/>
        <w:spacing w:after="0"/>
        <w:rPr>
          <w:sz w:val="20"/>
          <w:szCs w:val="20"/>
          <w:color w:val="auto"/>
        </w:rPr>
      </w:pP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-1922145</wp:posOffset>
            </wp:positionH>
            <wp:positionV relativeFrom="paragraph">
              <wp:posOffset>32385</wp:posOffset>
            </wp:positionV>
            <wp:extent cx="713232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6" w:lineRule="exact"/>
        <w:rPr>
          <w:sz w:val="20"/>
          <w:szCs w:val="20"/>
          <w:color w:val="auto"/>
        </w:rPr>
      </w:pPr>
    </w:p>
    <w:p>
      <w:pPr>
        <w:ind w:left="144" w:hanging="144"/>
        <w:spacing w:after="0"/>
        <w:tabs>
          <w:tab w:leader="none" w:pos="144" w:val="left"/>
        </w:tabs>
        <w:numPr>
          <w:ilvl w:val="0"/>
          <w:numId w:val="66"/>
        </w:numPr>
        <w:rPr>
          <w:rFonts w:ascii="Arial" w:cs="Arial" w:eastAsia="Arial" w:hAnsi="Arial"/>
          <w:sz w:val="13"/>
          <w:szCs w:val="13"/>
          <w:color w:val="64A70B"/>
        </w:rPr>
      </w:pPr>
      <w:r>
        <w:rPr>
          <w:rFonts w:ascii="Arial" w:cs="Arial" w:eastAsia="Arial" w:hAnsi="Arial"/>
          <w:sz w:val="16"/>
          <w:szCs w:val="16"/>
          <w:color w:val="auto"/>
        </w:rPr>
        <w:t>Determined based on numerous factors such as:</w:t>
      </w:r>
    </w:p>
    <w:p>
      <w:pPr>
        <w:spacing w:after="0" w:line="100" w:lineRule="exact"/>
        <w:rPr>
          <w:sz w:val="20"/>
          <w:szCs w:val="20"/>
          <w:color w:val="auto"/>
        </w:rPr>
      </w:pPr>
    </w:p>
    <w:p>
      <w:pPr>
        <w:ind w:left="384" w:right="280" w:hanging="189"/>
        <w:spacing w:after="0" w:line="321" w:lineRule="auto"/>
        <w:tabs>
          <w:tab w:leader="none" w:pos="378" w:val="left"/>
        </w:tabs>
        <w:numPr>
          <w:ilvl w:val="0"/>
          <w:numId w:val="67"/>
        </w:numPr>
        <w:rPr>
          <w:rFonts w:ascii="Wingdings" w:cs="Wingdings" w:eastAsia="Wingdings" w:hAnsi="Wingdings"/>
          <w:sz w:val="16"/>
          <w:szCs w:val="16"/>
          <w:b w:val="1"/>
          <w:bCs w:val="1"/>
          <w:color w:val="BCBEC0"/>
        </w:rPr>
      </w:pPr>
      <w:r>
        <w:rPr>
          <w:rFonts w:ascii="Arial" w:cs="Arial" w:eastAsia="Arial" w:hAnsi="Arial"/>
          <w:sz w:val="16"/>
          <w:szCs w:val="16"/>
          <w:color w:val="auto"/>
        </w:rPr>
        <w:t>competitive conditions for the Named Executive Officer’s position within the Comparator Group and in the broader employment market,</w:t>
      </w:r>
    </w:p>
    <w:p>
      <w:pPr>
        <w:spacing w:after="0" w:line="7" w:lineRule="exact"/>
        <w:rPr>
          <w:rFonts w:ascii="Wingdings" w:cs="Wingdings" w:eastAsia="Wingdings" w:hAnsi="Wingdings"/>
          <w:sz w:val="16"/>
          <w:szCs w:val="16"/>
          <w:b w:val="1"/>
          <w:bCs w:val="1"/>
          <w:color w:val="BCBEC0"/>
        </w:rPr>
      </w:pPr>
    </w:p>
    <w:p>
      <w:pPr>
        <w:ind w:left="384" w:hanging="189"/>
        <w:spacing w:after="0"/>
        <w:tabs>
          <w:tab w:leader="none" w:pos="384" w:val="left"/>
        </w:tabs>
        <w:numPr>
          <w:ilvl w:val="0"/>
          <w:numId w:val="67"/>
        </w:numPr>
        <w:rPr>
          <w:rFonts w:ascii="Wingdings" w:cs="Wingdings" w:eastAsia="Wingdings" w:hAnsi="Wingdings"/>
          <w:sz w:val="16"/>
          <w:szCs w:val="16"/>
          <w:b w:val="1"/>
          <w:bCs w:val="1"/>
          <w:color w:val="BCBEC0"/>
        </w:rPr>
      </w:pPr>
      <w:r>
        <w:rPr>
          <w:rFonts w:ascii="Arial" w:cs="Arial" w:eastAsia="Arial" w:hAnsi="Arial"/>
          <w:sz w:val="16"/>
          <w:szCs w:val="16"/>
          <w:color w:val="auto"/>
        </w:rPr>
        <w:t>as well as the Named Executive Officer’s level of responsibility, experience and individual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-1922145</wp:posOffset>
            </wp:positionH>
            <wp:positionV relativeFrom="paragraph">
              <wp:posOffset>149225</wp:posOffset>
            </wp:positionV>
            <wp:extent cx="713232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0" w:lineRule="exact"/>
        <w:rPr>
          <w:sz w:val="20"/>
          <w:szCs w:val="20"/>
          <w:color w:val="auto"/>
        </w:rPr>
      </w:pPr>
    </w:p>
    <w:p>
      <w:pPr>
        <w:ind w:left="204" w:right="440" w:hanging="204"/>
        <w:spacing w:after="0" w:line="321" w:lineRule="auto"/>
        <w:tabs>
          <w:tab w:leader="none" w:pos="160" w:val="left"/>
        </w:tabs>
        <w:numPr>
          <w:ilvl w:val="0"/>
          <w:numId w:val="68"/>
        </w:numPr>
        <w:rPr>
          <w:rFonts w:ascii="Arial" w:cs="Arial" w:eastAsia="Arial" w:hAnsi="Arial"/>
          <w:sz w:val="13"/>
          <w:szCs w:val="13"/>
          <w:color w:val="64A70B"/>
        </w:rPr>
      </w:pPr>
      <w:r>
        <w:rPr>
          <w:rFonts w:ascii="Arial" w:cs="Arial" w:eastAsia="Arial" w:hAnsi="Arial"/>
          <w:sz w:val="16"/>
          <w:szCs w:val="16"/>
          <w:color w:val="auto"/>
        </w:rPr>
        <w:t>Tied to annual business performance as measured against annual goals established by the Compensation Committee.</w:t>
      </w:r>
    </w:p>
    <w:p>
      <w:pPr>
        <w:spacing w:after="0" w:line="7" w:lineRule="exact"/>
        <w:rPr>
          <w:rFonts w:ascii="Arial" w:cs="Arial" w:eastAsia="Arial" w:hAnsi="Arial"/>
          <w:sz w:val="13"/>
          <w:szCs w:val="13"/>
          <w:color w:val="64A70B"/>
        </w:rPr>
      </w:pPr>
    </w:p>
    <w:p>
      <w:pPr>
        <w:ind w:left="144" w:hanging="144"/>
        <w:spacing w:after="0"/>
        <w:tabs>
          <w:tab w:leader="none" w:pos="144" w:val="left"/>
        </w:tabs>
        <w:numPr>
          <w:ilvl w:val="0"/>
          <w:numId w:val="68"/>
        </w:numPr>
        <w:rPr>
          <w:rFonts w:ascii="Arial" w:cs="Arial" w:eastAsia="Arial" w:hAnsi="Arial"/>
          <w:sz w:val="13"/>
          <w:szCs w:val="13"/>
          <w:color w:val="64A70B"/>
        </w:rPr>
      </w:pPr>
      <w:r>
        <w:rPr>
          <w:rFonts w:ascii="Arial" w:cs="Arial" w:eastAsia="Arial" w:hAnsi="Arial"/>
          <w:sz w:val="16"/>
          <w:szCs w:val="16"/>
          <w:color w:val="auto"/>
        </w:rPr>
        <w:t>Individual targets vary depending on a wide range of factors, including:</w:t>
      </w:r>
    </w:p>
    <w:p>
      <w:pPr>
        <w:spacing w:after="0" w:line="100" w:lineRule="exact"/>
        <w:rPr>
          <w:sz w:val="20"/>
          <w:szCs w:val="20"/>
          <w:color w:val="auto"/>
        </w:rPr>
      </w:pPr>
    </w:p>
    <w:p>
      <w:pPr>
        <w:ind w:left="384" w:right="300" w:hanging="189"/>
        <w:spacing w:after="0" w:line="304" w:lineRule="auto"/>
        <w:tabs>
          <w:tab w:leader="none" w:pos="378" w:val="left"/>
        </w:tabs>
        <w:numPr>
          <w:ilvl w:val="0"/>
          <w:numId w:val="69"/>
        </w:numPr>
        <w:rPr>
          <w:rFonts w:ascii="Wingdings" w:cs="Wingdings" w:eastAsia="Wingdings" w:hAnsi="Wingdings"/>
          <w:sz w:val="16"/>
          <w:szCs w:val="16"/>
          <w:b w:val="1"/>
          <w:bCs w:val="1"/>
          <w:color w:val="BCBEC0"/>
        </w:rPr>
      </w:pPr>
      <w:r>
        <w:rPr>
          <w:rFonts w:ascii="Arial" w:cs="Arial" w:eastAsia="Arial" w:hAnsi="Arial"/>
          <w:sz w:val="16"/>
          <w:szCs w:val="16"/>
          <w:color w:val="auto"/>
        </w:rPr>
        <w:t>competitive conditions for the executive officer’s position within the Comparator Group and in the broader employment market,</w:t>
      </w:r>
    </w:p>
    <w:p>
      <w:pPr>
        <w:spacing w:after="0" w:line="19" w:lineRule="exact"/>
        <w:rPr>
          <w:rFonts w:ascii="Wingdings" w:cs="Wingdings" w:eastAsia="Wingdings" w:hAnsi="Wingdings"/>
          <w:sz w:val="16"/>
          <w:szCs w:val="16"/>
          <w:b w:val="1"/>
          <w:bCs w:val="1"/>
          <w:color w:val="BCBEC0"/>
        </w:rPr>
      </w:pPr>
    </w:p>
    <w:p>
      <w:pPr>
        <w:ind w:left="384" w:hanging="189"/>
        <w:spacing w:after="0"/>
        <w:tabs>
          <w:tab w:leader="none" w:pos="384" w:val="left"/>
        </w:tabs>
        <w:numPr>
          <w:ilvl w:val="0"/>
          <w:numId w:val="69"/>
        </w:numPr>
        <w:rPr>
          <w:rFonts w:ascii="Wingdings" w:cs="Wingdings" w:eastAsia="Wingdings" w:hAnsi="Wingdings"/>
          <w:sz w:val="16"/>
          <w:szCs w:val="16"/>
          <w:b w:val="1"/>
          <w:bCs w:val="1"/>
          <w:color w:val="BCBEC0"/>
        </w:rPr>
      </w:pPr>
      <w:r>
        <w:rPr>
          <w:rFonts w:ascii="Arial" w:cs="Arial" w:eastAsia="Arial" w:hAnsi="Arial"/>
          <w:sz w:val="16"/>
          <w:szCs w:val="16"/>
          <w:color w:val="auto"/>
        </w:rPr>
        <w:t>as well as the executive officer’s performance, level of responsibility and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-1922145</wp:posOffset>
            </wp:positionH>
            <wp:positionV relativeFrom="paragraph">
              <wp:posOffset>149225</wp:posOffset>
            </wp:positionV>
            <wp:extent cx="713232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0" w:lineRule="exact"/>
        <w:rPr>
          <w:sz w:val="20"/>
          <w:szCs w:val="20"/>
          <w:color w:val="auto"/>
        </w:rPr>
      </w:pPr>
    </w:p>
    <w:p>
      <w:pPr>
        <w:ind w:left="4" w:right="120"/>
        <w:spacing w:after="0" w:line="289" w:lineRule="auto"/>
        <w:rPr>
          <w:sz w:val="20"/>
          <w:szCs w:val="20"/>
          <w:color w:val="auto"/>
        </w:rPr>
      </w:pPr>
      <w:r>
        <w:rPr>
          <w:rFonts w:ascii="Arial" w:cs="Arial" w:eastAsia="Arial" w:hAnsi="Arial"/>
          <w:sz w:val="16"/>
          <w:szCs w:val="16"/>
          <w:color w:val="auto"/>
        </w:rPr>
        <w:t>For 2025, the Compensation Committee approved a mix of long-term incentive awards for the CEO of performance share units at 75% and stock options at 25% of the long-term award value to provide a heightened emphasis for our CEO on compensation elements that are contingent on performance goals and increases in our share price.</w:t>
      </w:r>
    </w:p>
    <w:p>
      <w:pPr>
        <w:spacing w:after="0" w:line="72" w:lineRule="exact"/>
        <w:rPr>
          <w:sz w:val="20"/>
          <w:szCs w:val="20"/>
          <w:color w:val="auto"/>
        </w:rPr>
      </w:pPr>
    </w:p>
    <w:p>
      <w:pPr>
        <w:ind w:left="4" w:right="320"/>
        <w:spacing w:after="0" w:line="292" w:lineRule="auto"/>
        <w:rPr>
          <w:sz w:val="20"/>
          <w:szCs w:val="20"/>
          <w:color w:val="auto"/>
        </w:rPr>
      </w:pPr>
      <w:r>
        <w:rPr>
          <w:rFonts w:ascii="Arial" w:cs="Arial" w:eastAsia="Arial" w:hAnsi="Arial"/>
          <w:sz w:val="16"/>
          <w:szCs w:val="16"/>
          <w:color w:val="auto"/>
        </w:rPr>
        <w:t>For the other NEOs, the Compensation Committee maintained the mix of long-term incentive award of performance share units at 50% of the total long-term award value and stock options and restricted stock units each at 25% of the total long-term award value.</w:t>
      </w:r>
    </w:p>
    <w:p>
      <w:pPr>
        <w:spacing w:after="0" w:line="71" w:lineRule="exact"/>
        <w:rPr>
          <w:sz w:val="20"/>
          <w:szCs w:val="20"/>
          <w:color w:val="auto"/>
        </w:rPr>
      </w:pPr>
    </w:p>
    <w:p>
      <w:pPr>
        <w:ind w:left="204" w:right="80" w:hanging="204"/>
        <w:spacing w:after="0" w:line="304" w:lineRule="auto"/>
        <w:tabs>
          <w:tab w:leader="none" w:pos="160" w:val="left"/>
        </w:tabs>
        <w:numPr>
          <w:ilvl w:val="0"/>
          <w:numId w:val="70"/>
        </w:numPr>
        <w:rPr>
          <w:rFonts w:ascii="Arial" w:cs="Arial" w:eastAsia="Arial" w:hAnsi="Arial"/>
          <w:sz w:val="13"/>
          <w:szCs w:val="13"/>
          <w:color w:val="64A70B"/>
        </w:rPr>
      </w:pPr>
      <w:r>
        <w:rPr>
          <w:rFonts w:ascii="Arial" w:cs="Arial" w:eastAsia="Arial" w:hAnsi="Arial"/>
          <w:sz w:val="16"/>
          <w:szCs w:val="16"/>
          <w:b w:val="1"/>
          <w:bCs w:val="1"/>
          <w:color w:val="auto"/>
        </w:rPr>
        <w:t xml:space="preserve">Stock options </w:t>
      </w:r>
      <w:r>
        <w:rPr>
          <w:rFonts w:ascii="Arial" w:cs="Arial" w:eastAsia="Arial" w:hAnsi="Arial"/>
          <w:sz w:val="16"/>
          <w:szCs w:val="16"/>
          <w:color w:val="auto"/>
        </w:rPr>
        <w:t>— Each stock option has a term of 10 years, with one-third of the options vesting on each of the</w:t>
      </w:r>
      <w:r>
        <w:rPr>
          <w:rFonts w:ascii="Arial" w:cs="Arial" w:eastAsia="Arial" w:hAnsi="Arial"/>
          <w:sz w:val="16"/>
          <w:szCs w:val="16"/>
          <w:b w:val="1"/>
          <w:bCs w:val="1"/>
          <w:color w:val="auto"/>
        </w:rPr>
        <w:t xml:space="preserve"> </w:t>
      </w:r>
      <w:r>
        <w:rPr>
          <w:rFonts w:ascii="Arial" w:cs="Arial" w:eastAsia="Arial" w:hAnsi="Arial"/>
          <w:sz w:val="16"/>
          <w:szCs w:val="16"/>
          <w:color w:val="auto"/>
        </w:rPr>
        <w:t>first, second and third anniversaries of the grant date.</w:t>
      </w:r>
    </w:p>
    <w:p>
      <w:pPr>
        <w:spacing w:after="0" w:line="19" w:lineRule="exact"/>
        <w:rPr>
          <w:rFonts w:ascii="Arial" w:cs="Arial" w:eastAsia="Arial" w:hAnsi="Arial"/>
          <w:sz w:val="13"/>
          <w:szCs w:val="13"/>
          <w:color w:val="64A70B"/>
        </w:rPr>
      </w:pPr>
    </w:p>
    <w:p>
      <w:pPr>
        <w:ind w:left="204" w:right="80" w:hanging="204"/>
        <w:spacing w:after="0" w:line="292" w:lineRule="auto"/>
        <w:tabs>
          <w:tab w:leader="none" w:pos="160" w:val="left"/>
        </w:tabs>
        <w:numPr>
          <w:ilvl w:val="0"/>
          <w:numId w:val="70"/>
        </w:numPr>
        <w:rPr>
          <w:rFonts w:ascii="Arial" w:cs="Arial" w:eastAsia="Arial" w:hAnsi="Arial"/>
          <w:sz w:val="13"/>
          <w:szCs w:val="13"/>
          <w:color w:val="64A70B"/>
        </w:rPr>
      </w:pPr>
      <w:r>
        <w:rPr>
          <w:rFonts w:ascii="Arial" w:cs="Arial" w:eastAsia="Arial" w:hAnsi="Arial"/>
          <w:sz w:val="16"/>
          <w:szCs w:val="16"/>
          <w:b w:val="1"/>
          <w:bCs w:val="1"/>
          <w:color w:val="auto"/>
        </w:rPr>
        <w:t xml:space="preserve">Restricted stock units </w:t>
      </w:r>
      <w:r>
        <w:rPr>
          <w:rFonts w:ascii="Arial" w:cs="Arial" w:eastAsia="Arial" w:hAnsi="Arial"/>
          <w:sz w:val="16"/>
          <w:szCs w:val="16"/>
          <w:color w:val="auto"/>
        </w:rPr>
        <w:t>— Each restricted stock unit represents the right to receive one ordinary share upon</w:t>
      </w:r>
      <w:r>
        <w:rPr>
          <w:rFonts w:ascii="Arial" w:cs="Arial" w:eastAsia="Arial" w:hAnsi="Arial"/>
          <w:sz w:val="16"/>
          <w:szCs w:val="16"/>
          <w:b w:val="1"/>
          <w:bCs w:val="1"/>
          <w:color w:val="auto"/>
        </w:rPr>
        <w:t xml:space="preserve"> </w:t>
      </w:r>
      <w:r>
        <w:rPr>
          <w:rFonts w:ascii="Arial" w:cs="Arial" w:eastAsia="Arial" w:hAnsi="Arial"/>
          <w:sz w:val="16"/>
          <w:szCs w:val="16"/>
          <w:color w:val="auto"/>
        </w:rPr>
        <w:t>vesting. The restricted stock units generally vest as to one-third of the restricted stock units on each of the first, second and third anniversaries of the grant date.</w:t>
      </w:r>
    </w:p>
    <w:p>
      <w:pPr>
        <w:spacing w:after="0" w:line="30" w:lineRule="exact"/>
        <w:rPr>
          <w:rFonts w:ascii="Arial" w:cs="Arial" w:eastAsia="Arial" w:hAnsi="Arial"/>
          <w:sz w:val="13"/>
          <w:szCs w:val="13"/>
          <w:color w:val="64A70B"/>
        </w:rPr>
      </w:pPr>
    </w:p>
    <w:p>
      <w:pPr>
        <w:ind w:left="204" w:right="240" w:hanging="204"/>
        <w:spacing w:after="0" w:line="321" w:lineRule="auto"/>
        <w:tabs>
          <w:tab w:leader="none" w:pos="160" w:val="left"/>
        </w:tabs>
        <w:numPr>
          <w:ilvl w:val="0"/>
          <w:numId w:val="70"/>
        </w:numPr>
        <w:rPr>
          <w:rFonts w:ascii="Arial" w:cs="Arial" w:eastAsia="Arial" w:hAnsi="Arial"/>
          <w:sz w:val="13"/>
          <w:szCs w:val="13"/>
          <w:color w:val="64A70B"/>
        </w:rPr>
      </w:pPr>
      <w:r>
        <w:rPr>
          <w:rFonts w:ascii="Arial" w:cs="Arial" w:eastAsia="Arial" w:hAnsi="Arial"/>
          <w:sz w:val="16"/>
          <w:szCs w:val="16"/>
          <w:b w:val="1"/>
          <w:bCs w:val="1"/>
          <w:color w:val="auto"/>
        </w:rPr>
        <w:t xml:space="preserve">Performance share units </w:t>
      </w:r>
      <w:r>
        <w:rPr>
          <w:rFonts w:ascii="Arial" w:cs="Arial" w:eastAsia="Arial" w:hAnsi="Arial"/>
          <w:sz w:val="16"/>
          <w:szCs w:val="16"/>
          <w:color w:val="auto"/>
        </w:rPr>
        <w:t>— Each performance share unit represents the right to receive one ordinary share</w:t>
      </w:r>
      <w:r>
        <w:rPr>
          <w:rFonts w:ascii="Arial" w:cs="Arial" w:eastAsia="Arial" w:hAnsi="Arial"/>
          <w:sz w:val="16"/>
          <w:szCs w:val="16"/>
          <w:b w:val="1"/>
          <w:bCs w:val="1"/>
          <w:color w:val="auto"/>
        </w:rPr>
        <w:t xml:space="preserve"> </w:t>
      </w:r>
      <w:r>
        <w:rPr>
          <w:rFonts w:ascii="Arial" w:cs="Arial" w:eastAsia="Arial" w:hAnsi="Arial"/>
          <w:sz w:val="16"/>
          <w:szCs w:val="16"/>
          <w:color w:val="auto"/>
        </w:rPr>
        <w:t>after the end of a three-year performance period if specified performance goals are achieved.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-1922145</wp:posOffset>
            </wp:positionH>
            <wp:positionV relativeFrom="paragraph">
              <wp:posOffset>90805</wp:posOffset>
            </wp:positionV>
            <wp:extent cx="713232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316" w:space="720"/>
            <w:col w:w="8204"/>
          </w:cols>
          <w:pgMar w:left="320" w:top="179" w:right="339" w:bottom="1440" w:gutter="0" w:footer="0" w:header="0"/>
          <w:type w:val="continuous"/>
        </w:sectPr>
      </w:pPr>
    </w:p>
    <w:p>
      <w:pPr>
        <w:spacing w:after="0" w:line="145" w:lineRule="exact"/>
        <w:rPr>
          <w:sz w:val="20"/>
          <w:szCs w:val="20"/>
          <w:color w:val="auto"/>
        </w:rPr>
      </w:pPr>
    </w:p>
    <w:p>
      <w:pPr>
        <w:ind w:right="420"/>
        <w:spacing w:after="0" w:line="304" w:lineRule="auto"/>
        <w:rPr>
          <w:sz w:val="20"/>
          <w:szCs w:val="20"/>
          <w:color w:val="auto"/>
        </w:rPr>
      </w:pPr>
      <w:r>
        <w:rPr>
          <w:rFonts w:ascii="Arial" w:cs="Arial" w:eastAsia="Arial" w:hAnsi="Arial"/>
          <w:sz w:val="16"/>
          <w:szCs w:val="16"/>
          <w:color w:val="auto"/>
        </w:rPr>
        <w:t>The approximate mix of total target direct compensation based on economic value for 2025 for our Chief Executive Officer and the average of the other Named Executive Officers is shown in the charts that follow.</w:t>
      </w:r>
    </w:p>
    <w:p>
      <w:pPr>
        <w:spacing w:after="0" w:line="200" w:lineRule="exact"/>
        <w:rPr>
          <w:sz w:val="20"/>
          <w:szCs w:val="20"/>
          <w:color w:val="auto"/>
        </w:rPr>
      </w:pP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10780" w:type="dxa"/>
            <w:vAlign w:val="bottom"/>
          </w:tcPr>
          <w:p>
            <w:pPr>
              <w:ind w:left="8260"/>
              <w:spacing w:after="0"/>
              <w:rPr>
                <w:sz w:val="20"/>
                <w:szCs w:val="20"/>
                <w:color w:val="auto"/>
              </w:rPr>
            </w:pPr>
            <w:r>
              <w:rPr>
                <w:rFonts w:ascii="Arial" w:cs="Arial" w:eastAsia="Arial" w:hAnsi="Arial"/>
                <w:sz w:val="16"/>
                <w:szCs w:val="16"/>
                <w:b w:val="1"/>
                <w:bCs w:val="1"/>
                <w:color w:val="auto"/>
              </w:rPr>
              <w:t xml:space="preserve">2026 Proxy Statement </w:t>
            </w:r>
            <w:r>
              <w:rPr>
                <w:rFonts w:ascii="Arial" w:cs="Arial" w:eastAsia="Arial" w:hAnsi="Arial"/>
                <w:sz w:val="16"/>
                <w:szCs w:val="16"/>
                <w:b w:val="1"/>
                <w:bCs w:val="1"/>
                <w:color w:val="0C3471"/>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Pentair</w:t>
            </w:r>
          </w:p>
        </w:tc>
        <w:tc>
          <w:tcPr>
            <w:tcW w:w="460" w:type="dxa"/>
            <w:vAlign w:val="bottom"/>
          </w:tcPr>
          <w:p>
            <w:pPr>
              <w:jc w:val="right"/>
              <w:spacing w:after="0"/>
              <w:rPr>
                <w:sz w:val="20"/>
                <w:szCs w:val="20"/>
                <w:color w:val="auto"/>
              </w:rPr>
            </w:pPr>
            <w:r>
              <w:rPr>
                <w:rFonts w:ascii="Arial" w:cs="Arial" w:eastAsia="Arial" w:hAnsi="Arial"/>
                <w:sz w:val="16"/>
                <w:szCs w:val="16"/>
                <w:b w:val="1"/>
                <w:bCs w:val="1"/>
                <w:color w:val="auto"/>
              </w:rPr>
              <w:t>35</w:t>
            </w:r>
          </w:p>
        </w:tc>
      </w:tr>
      <w:tr>
        <w:trPr>
          <w:trHeight w:val="325"/>
        </w:trPr>
        <w:tc>
          <w:tcPr>
            <w:tcW w:w="107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type w:val="continuous"/>
        </w:sectPr>
      </w:pPr>
    </w:p>
    <w:bookmarkStart w:id="37" w:name="page38"/>
    <w:bookmarkEnd w:id="37"/>
    <w:p>
      <w:pPr>
        <w:ind w:left="36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216535</wp:posOffset>
            </wp:positionH>
            <wp:positionV relativeFrom="page">
              <wp:posOffset>106045</wp:posOffset>
            </wp:positionV>
            <wp:extent cx="102870" cy="11176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clrChange>
                        <a:clrFrom>
                          <a:srgbClr val="FFFFFF"/>
                        </a:clrFrom>
                        <a:clrTo>
                          <a:srgbClr val="FFFFFF">
                            <a:alpha val="0"/>
                          </a:srgbClr>
                        </a:clrTo>
                      </a:clrChange>
                      <a:extLst>
                        <a:ext uri="{28A0092B-C50C-407E-A947-70E740481C1C}"/>
                      </a:extLst>
                    </a:blip>
                    <a:srcRect/>
                    <a:stretch>
                      <a:fillRect/>
                    </a:stretch>
                  </pic:blipFill>
                  <pic:spPr bwMode="auto">
                    <a:xfrm>
                      <a:off x="0" y="0"/>
                      <a:ext cx="102870" cy="111760"/>
                    </a:xfrm>
                    <a:prstGeom prst="rect">
                      <a:avLst/>
                    </a:prstGeom>
                    <a:noFill/>
                  </pic:spPr>
                </pic:pic>
              </a:graphicData>
            </a:graphic>
          </wp:anchor>
        </w:drawing>
        <w:t>Compensation Discussion and Analysis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2025 Target Direct Compensation Mix</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472"/>
        </w:trPr>
        <w:tc>
          <w:tcPr>
            <w:tcW w:w="5680" w:type="dxa"/>
            <w:vAlign w:val="bottom"/>
            <w:tcBorders>
              <w:right w:val="single" w:sz="8" w:color="A7A9AC"/>
            </w:tcBorders>
          </w:tcPr>
          <w:p>
            <w:pPr>
              <w:ind w:left="2560"/>
              <w:spacing w:after="0"/>
              <w:rPr>
                <w:sz w:val="20"/>
                <w:szCs w:val="20"/>
                <w:color w:val="auto"/>
              </w:rPr>
            </w:pPr>
            <w:r>
              <w:rPr>
                <w:rFonts w:ascii="Arial" w:cs="Arial" w:eastAsia="Arial" w:hAnsi="Arial"/>
                <w:sz w:val="22"/>
                <w:szCs w:val="22"/>
                <w:b w:val="1"/>
                <w:bCs w:val="1"/>
                <w:color w:val="auto"/>
              </w:rPr>
              <w:t>CEO</w:t>
            </w:r>
          </w:p>
        </w:tc>
        <w:tc>
          <w:tcPr>
            <w:tcW w:w="5560" w:type="dxa"/>
            <w:vAlign w:val="bottom"/>
          </w:tcPr>
          <w:p>
            <w:pPr>
              <w:ind w:left="1660"/>
              <w:spacing w:after="0"/>
              <w:rPr>
                <w:sz w:val="20"/>
                <w:szCs w:val="20"/>
                <w:color w:val="auto"/>
              </w:rPr>
            </w:pPr>
            <w:r>
              <w:rPr>
                <w:rFonts w:ascii="Arial" w:cs="Arial" w:eastAsia="Arial" w:hAnsi="Arial"/>
                <w:sz w:val="22"/>
                <w:szCs w:val="22"/>
                <w:b w:val="1"/>
                <w:bCs w:val="1"/>
                <w:color w:val="auto"/>
              </w:rPr>
              <w:t>Average of Other NEOs</w:t>
            </w:r>
          </w:p>
        </w:tc>
      </w:tr>
      <w:tr>
        <w:trPr>
          <w:trHeight w:val="2593"/>
        </w:trPr>
        <w:tc>
          <w:tcPr>
            <w:tcW w:w="5680" w:type="dxa"/>
            <w:vAlign w:val="bottom"/>
            <w:tcBorders>
              <w:right w:val="single" w:sz="8" w:color="A7A9AC"/>
            </w:tcBorders>
          </w:tcPr>
          <w:p>
            <w:pPr>
              <w:spacing w:after="0"/>
              <w:rPr>
                <w:sz w:val="24"/>
                <w:szCs w:val="24"/>
                <w:color w:val="auto"/>
              </w:rPr>
            </w:pPr>
          </w:p>
        </w:tc>
        <w:tc>
          <w:tcPr>
            <w:tcW w:w="5560" w:type="dxa"/>
            <w:vAlign w:val="bottom"/>
          </w:tcPr>
          <w:p>
            <w:pPr>
              <w:spacing w:after="0"/>
              <w:rPr>
                <w:sz w:val="24"/>
                <w:szCs w:val="24"/>
                <w:color w:val="auto"/>
              </w:rPr>
            </w:pPr>
          </w:p>
        </w:tc>
      </w:tr>
      <w:tr>
        <w:trPr>
          <w:trHeight w:val="148"/>
        </w:trPr>
        <w:tc>
          <w:tcPr>
            <w:tcW w:w="5680" w:type="dxa"/>
            <w:vAlign w:val="bottom"/>
            <w:tcBorders>
              <w:bottom w:val="single" w:sz="8" w:color="A7A9AC"/>
            </w:tcBorders>
          </w:tcPr>
          <w:p>
            <w:pPr>
              <w:spacing w:after="0"/>
              <w:rPr>
                <w:sz w:val="12"/>
                <w:szCs w:val="12"/>
                <w:color w:val="auto"/>
              </w:rPr>
            </w:pPr>
          </w:p>
        </w:tc>
        <w:tc>
          <w:tcPr>
            <w:tcW w:w="5560" w:type="dxa"/>
            <w:vAlign w:val="bottom"/>
            <w:tcBorders>
              <w:bottom w:val="single" w:sz="8" w:color="A7A9AC"/>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-1516380</wp:posOffset>
            </wp:positionV>
            <wp:extent cx="6214745" cy="125158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214745" cy="1251585"/>
                    </a:xfrm>
                    <a:prstGeom prst="rect">
                      <a:avLst/>
                    </a:prstGeom>
                    <a:noFill/>
                  </pic:spPr>
                </pic:pic>
              </a:graphicData>
            </a:graphic>
          </wp:anchor>
        </w:drawing>
      </w:r>
    </w:p>
    <w:p>
      <w:pPr>
        <w:spacing w:after="0" w:line="307"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Evolution of the Executive Compensation Program</w:t>
      </w:r>
    </w:p>
    <w:p>
      <w:pPr>
        <w:spacing w:after="0" w:line="128" w:lineRule="exact"/>
        <w:rPr>
          <w:sz w:val="20"/>
          <w:szCs w:val="20"/>
          <w:color w:val="auto"/>
        </w:rPr>
      </w:pPr>
    </w:p>
    <w:p>
      <w:pPr>
        <w:ind w:right="160"/>
        <w:spacing w:after="0" w:line="292" w:lineRule="auto"/>
        <w:rPr>
          <w:sz w:val="20"/>
          <w:szCs w:val="20"/>
          <w:color w:val="auto"/>
        </w:rPr>
      </w:pPr>
      <w:r>
        <w:rPr>
          <w:rFonts w:ascii="Arial" w:cs="Arial" w:eastAsia="Arial" w:hAnsi="Arial"/>
          <w:sz w:val="16"/>
          <w:szCs w:val="16"/>
          <w:color w:val="auto"/>
        </w:rPr>
        <w:t>The Compensation Committee reviews annually the effectiveness of our executive compensation program and considers a number of factors, including business results, strategic priorities, shareholder alignment and market practice. As a result of the evolution of our compensation program and changes we have made in response to market dynamics and shareholder feedback, key aspects of our executive compensation program include:</w:t>
      </w:r>
    </w:p>
    <w:p>
      <w:pPr>
        <w:spacing w:after="0" w:line="71" w:lineRule="exact"/>
        <w:rPr>
          <w:sz w:val="20"/>
          <w:szCs w:val="20"/>
          <w:color w:val="auto"/>
        </w:rPr>
      </w:pPr>
    </w:p>
    <w:p>
      <w:pPr>
        <w:ind w:left="160" w:hanging="152"/>
        <w:spacing w:after="0"/>
        <w:tabs>
          <w:tab w:leader="none" w:pos="160" w:val="left"/>
        </w:tabs>
        <w:numPr>
          <w:ilvl w:val="0"/>
          <w:numId w:val="71"/>
        </w:numPr>
        <w:rPr>
          <w:rFonts w:ascii="Arial" w:cs="Arial" w:eastAsia="Arial" w:hAnsi="Arial"/>
          <w:sz w:val="13"/>
          <w:szCs w:val="13"/>
          <w:color w:val="64A70B"/>
        </w:rPr>
      </w:pPr>
      <w:r>
        <w:rPr>
          <w:rFonts w:ascii="Arial" w:cs="Arial" w:eastAsia="Arial" w:hAnsi="Arial"/>
          <w:sz w:val="16"/>
          <w:szCs w:val="16"/>
          <w:b w:val="1"/>
          <w:bCs w:val="1"/>
          <w:color w:val="auto"/>
        </w:rPr>
        <w:t xml:space="preserve">CEO: </w:t>
      </w:r>
      <w:r>
        <w:rPr>
          <w:rFonts w:ascii="Arial" w:cs="Arial" w:eastAsia="Arial" w:hAnsi="Arial"/>
          <w:sz w:val="16"/>
          <w:szCs w:val="16"/>
          <w:color w:val="auto"/>
        </w:rPr>
        <w:t>75% of the long-term incentive awards is delivered in the form of performance share units;</w:t>
      </w:r>
    </w:p>
    <w:p>
      <w:pPr>
        <w:spacing w:after="0" w:line="99" w:lineRule="exact"/>
        <w:rPr>
          <w:rFonts w:ascii="Arial" w:cs="Arial" w:eastAsia="Arial" w:hAnsi="Arial"/>
          <w:sz w:val="13"/>
          <w:szCs w:val="13"/>
          <w:color w:val="64A70B"/>
        </w:rPr>
      </w:pPr>
    </w:p>
    <w:p>
      <w:pPr>
        <w:ind w:left="160" w:hanging="152"/>
        <w:spacing w:after="0"/>
        <w:tabs>
          <w:tab w:leader="none" w:pos="160" w:val="left"/>
        </w:tabs>
        <w:numPr>
          <w:ilvl w:val="0"/>
          <w:numId w:val="71"/>
        </w:numPr>
        <w:rPr>
          <w:rFonts w:ascii="Arial" w:cs="Arial" w:eastAsia="Arial" w:hAnsi="Arial"/>
          <w:sz w:val="13"/>
          <w:szCs w:val="13"/>
          <w:color w:val="64A70B"/>
        </w:rPr>
      </w:pPr>
      <w:r>
        <w:rPr>
          <w:rFonts w:ascii="Arial" w:cs="Arial" w:eastAsia="Arial" w:hAnsi="Arial"/>
          <w:sz w:val="16"/>
          <w:szCs w:val="16"/>
          <w:b w:val="1"/>
          <w:bCs w:val="1"/>
          <w:color w:val="auto"/>
        </w:rPr>
        <w:t xml:space="preserve">Other NEOs: </w:t>
      </w:r>
      <w:r>
        <w:rPr>
          <w:rFonts w:ascii="Arial" w:cs="Arial" w:eastAsia="Arial" w:hAnsi="Arial"/>
          <w:sz w:val="16"/>
          <w:szCs w:val="16"/>
          <w:color w:val="auto"/>
        </w:rPr>
        <w:t>50% of the long-term incentive awards is delivered in the form of performance share units;</w:t>
      </w:r>
    </w:p>
    <w:p>
      <w:pPr>
        <w:spacing w:after="0" w:line="99" w:lineRule="exact"/>
        <w:rPr>
          <w:rFonts w:ascii="Arial" w:cs="Arial" w:eastAsia="Arial" w:hAnsi="Arial"/>
          <w:sz w:val="13"/>
          <w:szCs w:val="13"/>
          <w:color w:val="64A70B"/>
        </w:rPr>
      </w:pPr>
    </w:p>
    <w:p>
      <w:pPr>
        <w:ind w:left="200" w:right="20" w:hanging="192"/>
        <w:spacing w:after="0" w:line="304" w:lineRule="auto"/>
        <w:tabs>
          <w:tab w:leader="none" w:pos="157" w:val="left"/>
        </w:tabs>
        <w:numPr>
          <w:ilvl w:val="0"/>
          <w:numId w:val="71"/>
        </w:numPr>
        <w:rPr>
          <w:rFonts w:ascii="Arial" w:cs="Arial" w:eastAsia="Arial" w:hAnsi="Arial"/>
          <w:sz w:val="13"/>
          <w:szCs w:val="13"/>
          <w:color w:val="64A70B"/>
        </w:rPr>
      </w:pPr>
      <w:r>
        <w:rPr>
          <w:rFonts w:ascii="Arial" w:cs="Arial" w:eastAsia="Arial" w:hAnsi="Arial"/>
          <w:sz w:val="16"/>
          <w:szCs w:val="16"/>
          <w:color w:val="auto"/>
        </w:rPr>
        <w:t>100% of our annual incentive metrics are tied to financial business objectives and are subject to a performance modifier for achievement against our social responsibility strategic targets; and</w:t>
      </w:r>
    </w:p>
    <w:p>
      <w:pPr>
        <w:spacing w:after="0" w:line="19" w:lineRule="exact"/>
        <w:rPr>
          <w:rFonts w:ascii="Arial" w:cs="Arial" w:eastAsia="Arial" w:hAnsi="Arial"/>
          <w:sz w:val="13"/>
          <w:szCs w:val="13"/>
          <w:color w:val="64A70B"/>
        </w:rPr>
      </w:pPr>
    </w:p>
    <w:p>
      <w:pPr>
        <w:ind w:left="160" w:hanging="152"/>
        <w:spacing w:after="0"/>
        <w:tabs>
          <w:tab w:leader="none" w:pos="160" w:val="left"/>
        </w:tabs>
        <w:numPr>
          <w:ilvl w:val="0"/>
          <w:numId w:val="71"/>
        </w:numPr>
        <w:rPr>
          <w:rFonts w:ascii="Arial" w:cs="Arial" w:eastAsia="Arial" w:hAnsi="Arial"/>
          <w:sz w:val="13"/>
          <w:szCs w:val="13"/>
          <w:color w:val="64A70B"/>
        </w:rPr>
      </w:pPr>
      <w:r>
        <w:rPr>
          <w:rFonts w:ascii="Arial" w:cs="Arial" w:eastAsia="Arial" w:hAnsi="Arial"/>
          <w:sz w:val="16"/>
          <w:szCs w:val="16"/>
          <w:color w:val="auto"/>
        </w:rPr>
        <w:t>Stock ownership requirements that generally meet or exceed market levels.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600" w:hanging="574"/>
        <w:spacing w:after="0"/>
        <w:tabs>
          <w:tab w:leader="none" w:pos="600" w:val="left"/>
        </w:tabs>
        <w:numPr>
          <w:ilvl w:val="0"/>
          <w:numId w:val="72"/>
        </w:numPr>
        <w:rPr>
          <w:rFonts w:ascii="Arial" w:cs="Arial" w:eastAsia="Arial" w:hAnsi="Arial"/>
          <w:sz w:val="16"/>
          <w:szCs w:val="16"/>
          <w:b w:val="1"/>
          <w:bCs w:val="1"/>
          <w:color w:val="auto"/>
        </w:rPr>
      </w:pPr>
      <w:r>
        <w:rPr>
          <w:rFonts w:ascii="Arial" w:cs="Arial" w:eastAsia="Arial" w:hAnsi="Arial"/>
          <w:sz w:val="16"/>
          <w:szCs w:val="16"/>
          <w:color w:val="auto"/>
        </w:rPr>
        <w:t xml:space="preserve">Pentair </w:t>
      </w:r>
      <w:r>
        <w:rPr>
          <w:rFonts w:ascii="Arial" w:cs="Arial" w:eastAsia="Arial" w:hAnsi="Arial"/>
          <w:sz w:val="16"/>
          <w:szCs w:val="16"/>
          <w:b w:val="1"/>
          <w:bCs w:val="1"/>
          <w:color w:val="0C3471"/>
        </w:rPr>
        <w:t>|</w:t>
      </w:r>
      <w:r>
        <w:rPr>
          <w:rFonts w:ascii="Arial" w:cs="Arial" w:eastAsia="Arial" w:hAnsi="Arial"/>
          <w:sz w:val="16"/>
          <w:szCs w:val="16"/>
          <w:color w:val="auto"/>
        </w:rPr>
        <w:t xml:space="preserve"> </w:t>
      </w:r>
      <w:r>
        <w:rPr>
          <w:rFonts w:ascii="Arial" w:cs="Arial" w:eastAsia="Arial" w:hAnsi="Arial"/>
          <w:sz w:val="16"/>
          <w:szCs w:val="16"/>
          <w:b w:val="1"/>
          <w:bCs w:val="1"/>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213995</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38" w:name="page39"/>
    <w:bookmarkEnd w:id="38"/>
    <w:p>
      <w:pPr>
        <w:jc w:val="right"/>
        <w:spacing w:after="0"/>
        <w:rPr>
          <w:sz w:val="20"/>
          <w:szCs w:val="20"/>
          <w:color w:val="auto"/>
        </w:rPr>
      </w:pPr>
      <w:r>
        <w:rPr>
          <w:rFonts w:ascii="Arial" w:cs="Arial" w:eastAsia="Arial" w:hAnsi="Arial"/>
          <w:sz w:val="16"/>
          <w:szCs w:val="16"/>
          <w:b w:val="1"/>
          <w:bCs w:val="1"/>
          <w:color w:val="auto"/>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4659630</wp:posOffset>
            </wp:positionH>
            <wp:positionV relativeFrom="paragraph">
              <wp:posOffset>-107315</wp:posOffset>
            </wp:positionV>
            <wp:extent cx="102870" cy="11176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02870" cy="111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20"/>
        <w:spacing w:after="0"/>
        <w:rPr>
          <w:sz w:val="20"/>
          <w:szCs w:val="20"/>
          <w:color w:val="auto"/>
        </w:rPr>
      </w:pPr>
      <w:r>
        <w:rPr>
          <w:rFonts w:ascii="Arial" w:cs="Arial" w:eastAsia="Arial" w:hAnsi="Arial"/>
          <w:sz w:val="29"/>
          <w:szCs w:val="29"/>
          <w:color w:val="64A70B"/>
        </w:rPr>
        <w:t>Compensation Best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13" w:lineRule="exact"/>
        <w:rPr>
          <w:sz w:val="20"/>
          <w:szCs w:val="20"/>
          <w:color w:val="auto"/>
        </w:rPr>
      </w:pPr>
    </w:p>
    <w:p>
      <w:pPr>
        <w:jc w:val="both"/>
        <w:ind w:right="500"/>
        <w:spacing w:after="0" w:line="292" w:lineRule="auto"/>
        <w:rPr>
          <w:sz w:val="20"/>
          <w:szCs w:val="20"/>
          <w:color w:val="auto"/>
        </w:rPr>
      </w:pPr>
      <w:r>
        <w:rPr>
          <w:rFonts w:ascii="Arial" w:cs="Arial" w:eastAsia="Arial" w:hAnsi="Arial"/>
          <w:sz w:val="16"/>
          <w:szCs w:val="16"/>
          <w:color w:val="auto"/>
        </w:rPr>
        <w:t>The Compensation Committee focuses on aligning our executive compensation program with Pentair’s short-term and long-term objectives while also addressing shareholder feedback and compensation best practices. The table below outlines a number of key features in our executive compensation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7140575" cy="286321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40575" cy="2863215"/>
                    </a:xfrm>
                    <a:prstGeom prst="rect">
                      <a:avLst/>
                    </a:prstGeom>
                    <a:noFill/>
                  </pic:spPr>
                </pic:pic>
              </a:graphicData>
            </a:graphic>
          </wp:anchor>
        </w:drawing>
      </w:r>
    </w:p>
    <w:p>
      <w:pPr>
        <w:sectPr>
          <w:pgSz w:w="11900" w:h="16838" w:orient="portrait"/>
          <w:cols w:equalWidth="0" w:num="1">
            <w:col w:w="11220"/>
          </w:cols>
          <w:pgMar w:left="320" w:top="179" w:right="359" w:bottom="1440" w:gutter="0" w:footer="0" w:header="0"/>
        </w:sectPr>
      </w:pPr>
    </w:p>
    <w:p>
      <w:pPr>
        <w:spacing w:after="0" w:line="200" w:lineRule="exact"/>
        <w:rPr>
          <w:sz w:val="20"/>
          <w:szCs w:val="20"/>
          <w:color w:val="auto"/>
        </w:rPr>
      </w:pPr>
    </w:p>
    <w:p>
      <w:pPr>
        <w:spacing w:after="0" w:line="252" w:lineRule="exact"/>
        <w:rPr>
          <w:sz w:val="20"/>
          <w:szCs w:val="20"/>
          <w:color w:val="auto"/>
        </w:rPr>
      </w:pPr>
    </w:p>
    <w:p>
      <w:pPr>
        <w:ind w:left="280"/>
        <w:spacing w:after="0"/>
        <w:rPr>
          <w:sz w:val="20"/>
          <w:szCs w:val="20"/>
          <w:color w:val="auto"/>
        </w:rPr>
      </w:pPr>
      <w:r>
        <w:rPr>
          <w:rFonts w:ascii="Arial" w:cs="Arial" w:eastAsia="Arial" w:hAnsi="Arial"/>
          <w:sz w:val="25"/>
          <w:szCs w:val="25"/>
          <w:b w:val="1"/>
          <w:bCs w:val="1"/>
          <w:color w:val="0C3471"/>
        </w:rPr>
        <w:t>WHAT WE DO</w:t>
      </w:r>
    </w:p>
    <w:p>
      <w:pPr>
        <w:spacing w:after="0" w:line="357" w:lineRule="exact"/>
        <w:rPr>
          <w:sz w:val="20"/>
          <w:szCs w:val="20"/>
          <w:color w:val="auto"/>
        </w:rPr>
      </w:pPr>
    </w:p>
    <w:p>
      <w:pPr>
        <w:ind w:left="540" w:right="460" w:firstLine="42"/>
        <w:spacing w:after="0" w:line="321" w:lineRule="auto"/>
        <w:rPr>
          <w:sz w:val="20"/>
          <w:szCs w:val="20"/>
          <w:color w:val="auto"/>
        </w:rPr>
      </w:pPr>
      <w:r>
        <w:rPr>
          <w:rFonts w:ascii="Arial" w:cs="Arial" w:eastAsia="Arial" w:hAnsi="Arial"/>
          <w:sz w:val="16"/>
          <w:szCs w:val="16"/>
          <w:b w:val="1"/>
          <w:bCs w:val="1"/>
          <w:color w:val="auto"/>
        </w:rPr>
        <w:t xml:space="preserve">Annual Shareholder Outreach </w:t>
      </w:r>
      <w:r>
        <w:rPr>
          <w:rFonts w:ascii="Arial" w:cs="Arial" w:eastAsia="Arial" w:hAnsi="Arial"/>
          <w:sz w:val="16"/>
          <w:szCs w:val="16"/>
          <w:color w:val="auto"/>
        </w:rPr>
        <w:t>to seek input and feedback on executive</w:t>
      </w:r>
      <w:r>
        <w:rPr>
          <w:rFonts w:ascii="Arial" w:cs="Arial" w:eastAsia="Arial" w:hAnsi="Arial"/>
          <w:sz w:val="16"/>
          <w:szCs w:val="16"/>
          <w:b w:val="1"/>
          <w:bCs w:val="1"/>
          <w:color w:val="auto"/>
        </w:rPr>
        <w:t xml:space="preserve"> </w:t>
      </w:r>
      <w:r>
        <w:rPr>
          <w:rFonts w:ascii="Arial" w:cs="Arial" w:eastAsia="Arial" w:hAnsi="Arial"/>
          <w:sz w:val="16"/>
          <w:szCs w:val="16"/>
          <w:color w:val="auto"/>
        </w:rPr>
        <w:t>compensation</w:t>
      </w:r>
    </w:p>
    <w:p>
      <w:pPr>
        <w:spacing w:after="0" w:line="21" w:lineRule="exact"/>
        <w:rPr>
          <w:sz w:val="20"/>
          <w:szCs w:val="20"/>
          <w:color w:val="auto"/>
        </w:rPr>
      </w:pPr>
    </w:p>
    <w:p>
      <w:pPr>
        <w:ind w:left="540" w:right="560" w:firstLine="42"/>
        <w:spacing w:after="0" w:line="304" w:lineRule="auto"/>
        <w:rPr>
          <w:sz w:val="20"/>
          <w:szCs w:val="20"/>
          <w:color w:val="auto"/>
        </w:rPr>
      </w:pPr>
      <w:r>
        <w:rPr>
          <w:rFonts w:ascii="Arial" w:cs="Arial" w:eastAsia="Arial" w:hAnsi="Arial"/>
          <w:sz w:val="16"/>
          <w:szCs w:val="16"/>
          <w:b w:val="1"/>
          <w:bCs w:val="1"/>
          <w:color w:val="auto"/>
        </w:rPr>
        <w:t>Independent Consultant</w:t>
      </w:r>
      <w:r>
        <w:rPr>
          <w:rFonts w:ascii="Arial" w:cs="Arial" w:eastAsia="Arial" w:hAnsi="Arial"/>
          <w:sz w:val="16"/>
          <w:szCs w:val="16"/>
          <w:color w:val="auto"/>
        </w:rPr>
        <w:t>, hired by, and reporting to, the Compensation</w:t>
      </w:r>
      <w:r>
        <w:rPr>
          <w:rFonts w:ascii="Arial" w:cs="Arial" w:eastAsia="Arial" w:hAnsi="Arial"/>
          <w:sz w:val="16"/>
          <w:szCs w:val="16"/>
          <w:b w:val="1"/>
          <w:bCs w:val="1"/>
          <w:color w:val="auto"/>
        </w:rPr>
        <w:t xml:space="preserve"> </w:t>
      </w:r>
      <w:r>
        <w:rPr>
          <w:rFonts w:ascii="Arial" w:cs="Arial" w:eastAsia="Arial" w:hAnsi="Arial"/>
          <w:sz w:val="16"/>
          <w:szCs w:val="16"/>
          <w:color w:val="auto"/>
        </w:rPr>
        <w:t>Committee and evaluated periodically</w:t>
      </w:r>
    </w:p>
    <w:p>
      <w:pPr>
        <w:spacing w:after="0" w:line="33" w:lineRule="exact"/>
        <w:rPr>
          <w:sz w:val="20"/>
          <w:szCs w:val="20"/>
          <w:color w:val="auto"/>
        </w:rPr>
      </w:pPr>
    </w:p>
    <w:p>
      <w:pPr>
        <w:ind w:left="540" w:right="220" w:firstLine="42"/>
        <w:spacing w:after="0" w:line="304" w:lineRule="auto"/>
        <w:rPr>
          <w:sz w:val="20"/>
          <w:szCs w:val="20"/>
          <w:color w:val="auto"/>
        </w:rPr>
      </w:pPr>
      <w:r>
        <w:rPr>
          <w:rFonts w:ascii="Arial" w:cs="Arial" w:eastAsia="Arial" w:hAnsi="Arial"/>
          <w:sz w:val="16"/>
          <w:szCs w:val="16"/>
          <w:b w:val="1"/>
          <w:bCs w:val="1"/>
          <w:color w:val="auto"/>
        </w:rPr>
        <w:t>Comparator Group (“peer group”) evaluated annually</w:t>
      </w:r>
      <w:r>
        <w:rPr>
          <w:rFonts w:ascii="Arial" w:cs="Arial" w:eastAsia="Arial" w:hAnsi="Arial"/>
          <w:sz w:val="16"/>
          <w:szCs w:val="16"/>
          <w:color w:val="auto"/>
        </w:rPr>
        <w:t>, based on industry</w:t>
      </w:r>
      <w:r>
        <w:rPr>
          <w:rFonts w:ascii="Arial" w:cs="Arial" w:eastAsia="Arial" w:hAnsi="Arial"/>
          <w:sz w:val="16"/>
          <w:szCs w:val="16"/>
          <w:b w:val="1"/>
          <w:bCs w:val="1"/>
          <w:color w:val="auto"/>
        </w:rPr>
        <w:t xml:space="preserve"> </w:t>
      </w:r>
      <w:r>
        <w:rPr>
          <w:rFonts w:ascii="Arial" w:cs="Arial" w:eastAsia="Arial" w:hAnsi="Arial"/>
          <w:sz w:val="16"/>
          <w:szCs w:val="16"/>
          <w:color w:val="auto"/>
        </w:rPr>
        <w:t>and revenue of ~1/2 to 2x our revenue size</w:t>
      </w:r>
    </w:p>
    <w:p>
      <w:pPr>
        <w:spacing w:after="0" w:line="33" w:lineRule="exact"/>
        <w:rPr>
          <w:sz w:val="20"/>
          <w:szCs w:val="20"/>
          <w:color w:val="auto"/>
        </w:rPr>
      </w:pPr>
    </w:p>
    <w:p>
      <w:pPr>
        <w:ind w:left="540" w:right="700" w:firstLine="42"/>
        <w:spacing w:after="0" w:line="321" w:lineRule="auto"/>
        <w:rPr>
          <w:sz w:val="20"/>
          <w:szCs w:val="20"/>
          <w:color w:val="auto"/>
        </w:rPr>
      </w:pPr>
      <w:r>
        <w:rPr>
          <w:rFonts w:ascii="Arial" w:cs="Arial" w:eastAsia="Arial" w:hAnsi="Arial"/>
          <w:sz w:val="16"/>
          <w:szCs w:val="16"/>
          <w:b w:val="1"/>
          <w:bCs w:val="1"/>
          <w:color w:val="auto"/>
        </w:rPr>
        <w:t xml:space="preserve">Significant CEO pay at risk </w:t>
      </w:r>
      <w:r>
        <w:rPr>
          <w:rFonts w:ascii="Arial" w:cs="Arial" w:eastAsia="Arial" w:hAnsi="Arial"/>
          <w:sz w:val="16"/>
          <w:szCs w:val="16"/>
          <w:color w:val="auto"/>
        </w:rPr>
        <w:t>(88%); average of 76% for other Named</w:t>
      </w:r>
      <w:r>
        <w:rPr>
          <w:rFonts w:ascii="Arial" w:cs="Arial" w:eastAsia="Arial" w:hAnsi="Arial"/>
          <w:sz w:val="16"/>
          <w:szCs w:val="16"/>
          <w:b w:val="1"/>
          <w:bCs w:val="1"/>
          <w:color w:val="auto"/>
        </w:rPr>
        <w:t xml:space="preserve"> </w:t>
      </w:r>
      <w:r>
        <w:rPr>
          <w:rFonts w:ascii="Arial" w:cs="Arial" w:eastAsia="Arial" w:hAnsi="Arial"/>
          <w:sz w:val="16"/>
          <w:szCs w:val="16"/>
          <w:color w:val="auto"/>
        </w:rPr>
        <w:t>Executive Officers</w:t>
      </w:r>
    </w:p>
    <w:p>
      <w:pPr>
        <w:spacing w:after="0" w:line="7" w:lineRule="exact"/>
        <w:rPr>
          <w:sz w:val="20"/>
          <w:szCs w:val="20"/>
          <w:color w:val="auto"/>
        </w:rPr>
      </w:pPr>
    </w:p>
    <w:p>
      <w:pPr>
        <w:ind w:left="540" w:right="80" w:firstLine="42"/>
        <w:spacing w:after="0" w:line="321" w:lineRule="auto"/>
        <w:rPr>
          <w:sz w:val="20"/>
          <w:szCs w:val="20"/>
          <w:color w:val="auto"/>
        </w:rPr>
      </w:pPr>
      <w:r>
        <w:rPr>
          <w:rFonts w:ascii="Arial" w:cs="Arial" w:eastAsia="Arial" w:hAnsi="Arial"/>
          <w:sz w:val="16"/>
          <w:szCs w:val="16"/>
          <w:b w:val="1"/>
          <w:bCs w:val="1"/>
          <w:color w:val="auto"/>
        </w:rPr>
        <w:t xml:space="preserve">Stock Ownership Guidelines and Holding Policy </w:t>
      </w:r>
      <w:r>
        <w:rPr>
          <w:rFonts w:ascii="Arial" w:cs="Arial" w:eastAsia="Arial" w:hAnsi="Arial"/>
          <w:sz w:val="16"/>
          <w:szCs w:val="16"/>
          <w:color w:val="auto"/>
        </w:rPr>
        <w:t>at 6.0x base salary for the</w:t>
      </w:r>
      <w:r>
        <w:rPr>
          <w:rFonts w:ascii="Arial" w:cs="Arial" w:eastAsia="Arial" w:hAnsi="Arial"/>
          <w:sz w:val="16"/>
          <w:szCs w:val="16"/>
          <w:b w:val="1"/>
          <w:bCs w:val="1"/>
          <w:color w:val="auto"/>
        </w:rPr>
        <w:t xml:space="preserve"> </w:t>
      </w:r>
      <w:r>
        <w:rPr>
          <w:rFonts w:ascii="Arial" w:cs="Arial" w:eastAsia="Arial" w:hAnsi="Arial"/>
          <w:sz w:val="16"/>
          <w:szCs w:val="16"/>
          <w:color w:val="auto"/>
        </w:rPr>
        <w:t>CEO and 2.0-3.0x for other executive officers</w:t>
      </w:r>
    </w:p>
    <w:p>
      <w:pPr>
        <w:spacing w:after="0" w:line="7" w:lineRule="exact"/>
        <w:rPr>
          <w:sz w:val="20"/>
          <w:szCs w:val="20"/>
          <w:color w:val="auto"/>
        </w:rPr>
      </w:pPr>
    </w:p>
    <w:p>
      <w:pPr>
        <w:ind w:left="540" w:right="780" w:firstLine="42"/>
        <w:spacing w:after="0" w:line="321" w:lineRule="auto"/>
        <w:rPr>
          <w:sz w:val="20"/>
          <w:szCs w:val="20"/>
          <w:color w:val="auto"/>
        </w:rPr>
      </w:pPr>
      <w:r>
        <w:rPr>
          <w:rFonts w:ascii="Arial" w:cs="Arial" w:eastAsia="Arial" w:hAnsi="Arial"/>
          <w:sz w:val="16"/>
          <w:szCs w:val="16"/>
          <w:b w:val="1"/>
          <w:bCs w:val="1"/>
          <w:color w:val="auto"/>
        </w:rPr>
        <w:t xml:space="preserve">Clawback Policy </w:t>
      </w:r>
      <w:r>
        <w:rPr>
          <w:rFonts w:ascii="Arial" w:cs="Arial" w:eastAsia="Arial" w:hAnsi="Arial"/>
          <w:sz w:val="16"/>
          <w:szCs w:val="16"/>
          <w:color w:val="auto"/>
        </w:rPr>
        <w:t>for cancellation or recoupment of time-vesting and</w:t>
      </w:r>
      <w:r>
        <w:rPr>
          <w:rFonts w:ascii="Arial" w:cs="Arial" w:eastAsia="Arial" w:hAnsi="Arial"/>
          <w:sz w:val="16"/>
          <w:szCs w:val="16"/>
          <w:b w:val="1"/>
          <w:bCs w:val="1"/>
          <w:color w:val="auto"/>
        </w:rPr>
        <w:t xml:space="preserve"> </w:t>
      </w:r>
      <w:r>
        <w:rPr>
          <w:rFonts w:ascii="Arial" w:cs="Arial" w:eastAsia="Arial" w:hAnsi="Arial"/>
          <w:sz w:val="16"/>
          <w:szCs w:val="16"/>
          <w:color w:val="auto"/>
        </w:rPr>
        <w:t>performance-vesting equity awards in certain circumstances</w:t>
      </w:r>
    </w:p>
    <w:p>
      <w:pPr>
        <w:spacing w:after="0" w:line="7"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 xml:space="preserve">Annual Risk-Assessment </w:t>
      </w:r>
      <w:r>
        <w:rPr>
          <w:rFonts w:ascii="Arial" w:cs="Arial" w:eastAsia="Arial" w:hAnsi="Arial"/>
          <w:sz w:val="16"/>
          <w:szCs w:val="16"/>
          <w:color w:val="auto"/>
        </w:rPr>
        <w:t>of our compensation programs and policies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25"/>
          <w:szCs w:val="25"/>
          <w:b w:val="1"/>
          <w:bCs w:val="1"/>
          <w:color w:val="808285"/>
        </w:rPr>
        <w:t>WHAT WE DON'T DO</w:t>
      </w:r>
    </w:p>
    <w:p>
      <w:pPr>
        <w:spacing w:after="0" w:line="371" w:lineRule="exact"/>
        <w:rPr>
          <w:sz w:val="20"/>
          <w:szCs w:val="20"/>
          <w:color w:val="auto"/>
        </w:rPr>
      </w:pPr>
    </w:p>
    <w:p>
      <w:pPr>
        <w:ind w:left="260" w:right="500" w:firstLine="42"/>
        <w:spacing w:after="0" w:line="301" w:lineRule="auto"/>
        <w:rPr>
          <w:sz w:val="20"/>
          <w:szCs w:val="20"/>
          <w:color w:val="auto"/>
        </w:rPr>
      </w:pPr>
      <w:r>
        <w:rPr>
          <w:rFonts w:ascii="Arial" w:cs="Arial" w:eastAsia="Arial" w:hAnsi="Arial"/>
          <w:sz w:val="16"/>
          <w:szCs w:val="16"/>
          <w:b w:val="1"/>
          <w:bCs w:val="1"/>
          <w:color w:val="auto"/>
        </w:rPr>
        <w:t xml:space="preserve">No pre-change in control employment agreements </w:t>
      </w:r>
      <w:r>
        <w:rPr>
          <w:rFonts w:ascii="Arial" w:cs="Arial" w:eastAsia="Arial" w:hAnsi="Arial"/>
          <w:sz w:val="16"/>
          <w:szCs w:val="16"/>
          <w:color w:val="auto"/>
        </w:rPr>
        <w:t>or multi-year compensation</w:t>
      </w:r>
      <w:r>
        <w:rPr>
          <w:rFonts w:ascii="Arial" w:cs="Arial" w:eastAsia="Arial" w:hAnsi="Arial"/>
          <w:sz w:val="16"/>
          <w:szCs w:val="16"/>
          <w:b w:val="1"/>
          <w:bCs w:val="1"/>
          <w:color w:val="auto"/>
        </w:rPr>
        <w:t xml:space="preserve"> </w:t>
      </w:r>
      <w:r>
        <w:rPr>
          <w:rFonts w:ascii="Arial" w:cs="Arial" w:eastAsia="Arial" w:hAnsi="Arial"/>
          <w:sz w:val="16"/>
          <w:szCs w:val="16"/>
          <w:color w:val="auto"/>
        </w:rPr>
        <w:t>commitments with any current executive officers</w:t>
      </w:r>
    </w:p>
    <w:p>
      <w:pPr>
        <w:spacing w:after="0" w:line="37" w:lineRule="exact"/>
        <w:rPr>
          <w:sz w:val="20"/>
          <w:szCs w:val="20"/>
          <w:color w:val="auto"/>
        </w:rPr>
      </w:pPr>
    </w:p>
    <w:p>
      <w:pPr>
        <w:jc w:val="both"/>
        <w:ind w:left="260" w:right="700" w:firstLine="42"/>
        <w:spacing w:after="0" w:line="298" w:lineRule="auto"/>
        <w:rPr>
          <w:sz w:val="20"/>
          <w:szCs w:val="20"/>
          <w:color w:val="auto"/>
        </w:rPr>
      </w:pPr>
      <w:r>
        <w:rPr>
          <w:rFonts w:ascii="Arial" w:cs="Arial" w:eastAsia="Arial" w:hAnsi="Arial"/>
          <w:sz w:val="16"/>
          <w:szCs w:val="16"/>
          <w:b w:val="1"/>
          <w:bCs w:val="1"/>
          <w:color w:val="auto"/>
        </w:rPr>
        <w:t>No single-trigger change in control equity vesting in Key Executive Employment and Severance Agreements (“KEESA”)</w:t>
      </w:r>
    </w:p>
    <w:p>
      <w:pPr>
        <w:spacing w:after="0" w:line="44" w:lineRule="exact"/>
        <w:rPr>
          <w:sz w:val="20"/>
          <w:szCs w:val="20"/>
          <w:color w:val="auto"/>
        </w:rPr>
      </w:pPr>
    </w:p>
    <w:p>
      <w:pPr>
        <w:ind w:left="260" w:right="920" w:firstLine="42"/>
        <w:spacing w:after="0" w:line="332" w:lineRule="auto"/>
        <w:rPr>
          <w:sz w:val="20"/>
          <w:szCs w:val="20"/>
          <w:color w:val="auto"/>
        </w:rPr>
      </w:pPr>
      <w:r>
        <w:rPr>
          <w:rFonts w:ascii="Arial" w:cs="Arial" w:eastAsia="Arial" w:hAnsi="Arial"/>
          <w:sz w:val="16"/>
          <w:szCs w:val="16"/>
          <w:b w:val="1"/>
          <w:bCs w:val="1"/>
          <w:color w:val="auto"/>
        </w:rPr>
        <w:t>No Excise Tax Gross-ups for executive officers</w:t>
      </w:r>
    </w:p>
    <w:p>
      <w:pPr>
        <w:spacing w:after="0" w:line="4" w:lineRule="exact"/>
        <w:rPr>
          <w:sz w:val="20"/>
          <w:szCs w:val="20"/>
          <w:color w:val="auto"/>
        </w:rPr>
      </w:pPr>
    </w:p>
    <w:p>
      <w:pPr>
        <w:ind w:left="260" w:right="520" w:firstLine="42"/>
        <w:spacing w:after="0" w:line="292" w:lineRule="auto"/>
        <w:rPr>
          <w:sz w:val="20"/>
          <w:szCs w:val="20"/>
          <w:color w:val="auto"/>
        </w:rPr>
      </w:pPr>
      <w:r>
        <w:rPr>
          <w:rFonts w:ascii="Arial" w:cs="Arial" w:eastAsia="Arial" w:hAnsi="Arial"/>
          <w:sz w:val="16"/>
          <w:szCs w:val="16"/>
          <w:b w:val="1"/>
          <w:bCs w:val="1"/>
          <w:color w:val="auto"/>
        </w:rPr>
        <w:t xml:space="preserve">No individual supplemental executive retirement plans </w:t>
      </w:r>
      <w:r>
        <w:rPr>
          <w:rFonts w:ascii="Arial" w:cs="Arial" w:eastAsia="Arial" w:hAnsi="Arial"/>
          <w:sz w:val="16"/>
          <w:szCs w:val="16"/>
          <w:color w:val="auto"/>
        </w:rPr>
        <w:t>for newly appointed executive</w:t>
      </w:r>
      <w:r>
        <w:rPr>
          <w:rFonts w:ascii="Arial" w:cs="Arial" w:eastAsia="Arial" w:hAnsi="Arial"/>
          <w:sz w:val="16"/>
          <w:szCs w:val="16"/>
          <w:b w:val="1"/>
          <w:bCs w:val="1"/>
          <w:color w:val="auto"/>
        </w:rPr>
        <w:t xml:space="preserve"> </w:t>
      </w:r>
      <w:r>
        <w:rPr>
          <w:rFonts w:ascii="Arial" w:cs="Arial" w:eastAsia="Arial" w:hAnsi="Arial"/>
          <w:sz w:val="16"/>
          <w:szCs w:val="16"/>
          <w:color w:val="auto"/>
        </w:rPr>
        <w:t>officers</w:t>
      </w:r>
    </w:p>
    <w:p>
      <w:pPr>
        <w:spacing w:after="0" w:line="57" w:lineRule="exact"/>
        <w:rPr>
          <w:sz w:val="20"/>
          <w:szCs w:val="20"/>
          <w:color w:val="auto"/>
        </w:rPr>
      </w:pPr>
    </w:p>
    <w:p>
      <w:pPr>
        <w:ind w:left="260" w:right="880" w:firstLine="42"/>
        <w:spacing w:after="0" w:line="304" w:lineRule="auto"/>
        <w:rPr>
          <w:sz w:val="20"/>
          <w:szCs w:val="20"/>
          <w:color w:val="auto"/>
        </w:rPr>
      </w:pPr>
      <w:r>
        <w:rPr>
          <w:rFonts w:ascii="Arial" w:cs="Arial" w:eastAsia="Arial" w:hAnsi="Arial"/>
          <w:sz w:val="16"/>
          <w:szCs w:val="16"/>
          <w:b w:val="1"/>
          <w:bCs w:val="1"/>
          <w:color w:val="auto"/>
        </w:rPr>
        <w:t xml:space="preserve">No hedging or pledging </w:t>
      </w:r>
      <w:r>
        <w:rPr>
          <w:rFonts w:ascii="Arial" w:cs="Arial" w:eastAsia="Arial" w:hAnsi="Arial"/>
          <w:sz w:val="16"/>
          <w:szCs w:val="16"/>
          <w:color w:val="auto"/>
        </w:rPr>
        <w:t>of Pentair equity</w:t>
      </w:r>
      <w:r>
        <w:rPr>
          <w:rFonts w:ascii="Arial" w:cs="Arial" w:eastAsia="Arial" w:hAnsi="Arial"/>
          <w:sz w:val="16"/>
          <w:szCs w:val="16"/>
          <w:b w:val="1"/>
          <w:bCs w:val="1"/>
          <w:color w:val="auto"/>
        </w:rPr>
        <w:t xml:space="preserve"> </w:t>
      </w:r>
      <w:r>
        <w:rPr>
          <w:rFonts w:ascii="Arial" w:cs="Arial" w:eastAsia="Arial" w:hAnsi="Arial"/>
          <w:sz w:val="16"/>
          <w:szCs w:val="16"/>
          <w:color w:val="auto"/>
        </w:rPr>
        <w:t>securities</w:t>
      </w:r>
    </w:p>
    <w:p>
      <w:pPr>
        <w:spacing w:after="0" w:line="214" w:lineRule="exact"/>
        <w:rPr>
          <w:sz w:val="20"/>
          <w:szCs w:val="20"/>
          <w:color w:val="auto"/>
        </w:rPr>
      </w:pPr>
    </w:p>
    <w:p>
      <w:pPr>
        <w:sectPr>
          <w:pgSz w:w="11900" w:h="16838" w:orient="portrait"/>
          <w:cols w:equalWidth="0" w:num="2">
            <w:col w:w="6280" w:space="720"/>
            <w:col w:w="4220"/>
          </w:cols>
          <w:pgMar w:left="320" w:top="179" w:right="359" w:bottom="1440" w:gutter="0" w:footer="0" w:header="0"/>
          <w:type w:val="continuous"/>
        </w:sect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32"/>
          <w:szCs w:val="32"/>
          <w:color w:val="0C3471"/>
        </w:rPr>
        <w:t>Our Compensation Philosophy and Objectives</w:t>
      </w:r>
    </w:p>
    <w:p>
      <w:pPr>
        <w:spacing w:after="0" w:line="146" w:lineRule="exact"/>
        <w:rPr>
          <w:sz w:val="20"/>
          <w:szCs w:val="20"/>
          <w:color w:val="auto"/>
        </w:rPr>
      </w:pPr>
    </w:p>
    <w:p>
      <w:pPr>
        <w:ind w:right="40"/>
        <w:spacing w:after="0" w:line="292" w:lineRule="auto"/>
        <w:rPr>
          <w:sz w:val="20"/>
          <w:szCs w:val="20"/>
          <w:color w:val="auto"/>
        </w:rPr>
      </w:pPr>
      <w:r>
        <w:rPr>
          <w:rFonts w:ascii="Arial" w:cs="Arial" w:eastAsia="Arial" w:hAnsi="Arial"/>
          <w:sz w:val="16"/>
          <w:szCs w:val="16"/>
          <w:color w:val="auto"/>
        </w:rPr>
        <w:t>The Compensation Committee believes that the most effective executive compensation program aligns executive initiatives with shareholders’ interests. The Compensation Committee seeks to accomplish this objective by rewarding the achievement of specific annual, long-term and strategic goals that create lasting shareholder value.</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The Compensation Committee’s specific objectives include:</w:t>
      </w:r>
    </w:p>
    <w:p>
      <w:pPr>
        <w:spacing w:after="0" w:line="127" w:lineRule="exact"/>
        <w:rPr>
          <w:sz w:val="20"/>
          <w:szCs w:val="20"/>
          <w:color w:val="auto"/>
        </w:rPr>
      </w:pPr>
    </w:p>
    <w:p>
      <w:pPr>
        <w:ind w:left="160" w:hanging="152"/>
        <w:spacing w:after="0"/>
        <w:tabs>
          <w:tab w:leader="none" w:pos="160" w:val="left"/>
        </w:tabs>
        <w:numPr>
          <w:ilvl w:val="0"/>
          <w:numId w:val="73"/>
        </w:numPr>
        <w:rPr>
          <w:rFonts w:ascii="Arial" w:cs="Arial" w:eastAsia="Arial" w:hAnsi="Arial"/>
          <w:sz w:val="13"/>
          <w:szCs w:val="13"/>
          <w:color w:val="64A70B"/>
        </w:rPr>
      </w:pPr>
      <w:r>
        <w:rPr>
          <w:rFonts w:ascii="Arial" w:cs="Arial" w:eastAsia="Arial" w:hAnsi="Arial"/>
          <w:sz w:val="16"/>
          <w:szCs w:val="16"/>
          <w:color w:val="auto"/>
        </w:rPr>
        <w:t>motivating and rewarding executives for achieving financial and strategic objectives;</w:t>
      </w:r>
    </w:p>
    <w:p>
      <w:pPr>
        <w:spacing w:after="0" w:line="99" w:lineRule="exact"/>
        <w:rPr>
          <w:rFonts w:ascii="Arial" w:cs="Arial" w:eastAsia="Arial" w:hAnsi="Arial"/>
          <w:sz w:val="13"/>
          <w:szCs w:val="13"/>
          <w:color w:val="64A70B"/>
        </w:rPr>
      </w:pPr>
    </w:p>
    <w:p>
      <w:pPr>
        <w:ind w:left="160" w:hanging="152"/>
        <w:spacing w:after="0"/>
        <w:tabs>
          <w:tab w:leader="none" w:pos="160" w:val="left"/>
        </w:tabs>
        <w:numPr>
          <w:ilvl w:val="0"/>
          <w:numId w:val="73"/>
        </w:numPr>
        <w:rPr>
          <w:rFonts w:ascii="Arial" w:cs="Arial" w:eastAsia="Arial" w:hAnsi="Arial"/>
          <w:sz w:val="13"/>
          <w:szCs w:val="13"/>
          <w:color w:val="64A70B"/>
        </w:rPr>
      </w:pPr>
      <w:r>
        <w:rPr>
          <w:rFonts w:ascii="Arial" w:cs="Arial" w:eastAsia="Arial" w:hAnsi="Arial"/>
          <w:sz w:val="16"/>
          <w:szCs w:val="16"/>
          <w:color w:val="auto"/>
        </w:rPr>
        <w:t>aligning management and shareholder interests by encouraging employee stock ownership;</w:t>
      </w:r>
    </w:p>
    <w:p>
      <w:pPr>
        <w:spacing w:after="0" w:line="99" w:lineRule="exact"/>
        <w:rPr>
          <w:rFonts w:ascii="Arial" w:cs="Arial" w:eastAsia="Arial" w:hAnsi="Arial"/>
          <w:sz w:val="13"/>
          <w:szCs w:val="13"/>
          <w:color w:val="64A70B"/>
        </w:rPr>
      </w:pPr>
    </w:p>
    <w:p>
      <w:pPr>
        <w:ind w:left="160" w:hanging="152"/>
        <w:spacing w:after="0"/>
        <w:tabs>
          <w:tab w:leader="none" w:pos="160" w:val="left"/>
        </w:tabs>
        <w:numPr>
          <w:ilvl w:val="0"/>
          <w:numId w:val="73"/>
        </w:numPr>
        <w:rPr>
          <w:rFonts w:ascii="Arial" w:cs="Arial" w:eastAsia="Arial" w:hAnsi="Arial"/>
          <w:sz w:val="13"/>
          <w:szCs w:val="13"/>
          <w:color w:val="64A70B"/>
        </w:rPr>
      </w:pPr>
      <w:r>
        <w:rPr>
          <w:rFonts w:ascii="Arial" w:cs="Arial" w:eastAsia="Arial" w:hAnsi="Arial"/>
          <w:sz w:val="16"/>
          <w:szCs w:val="16"/>
          <w:color w:val="auto"/>
        </w:rPr>
        <w:t>providing rewards commensurate with company performance;</w:t>
      </w:r>
    </w:p>
    <w:p>
      <w:pPr>
        <w:spacing w:after="0" w:line="99" w:lineRule="exact"/>
        <w:rPr>
          <w:rFonts w:ascii="Arial" w:cs="Arial" w:eastAsia="Arial" w:hAnsi="Arial"/>
          <w:sz w:val="13"/>
          <w:szCs w:val="13"/>
          <w:color w:val="64A70B"/>
        </w:rPr>
      </w:pPr>
    </w:p>
    <w:p>
      <w:pPr>
        <w:ind w:left="160" w:hanging="152"/>
        <w:spacing w:after="0"/>
        <w:tabs>
          <w:tab w:leader="none" w:pos="160" w:val="left"/>
        </w:tabs>
        <w:numPr>
          <w:ilvl w:val="0"/>
          <w:numId w:val="73"/>
        </w:numPr>
        <w:rPr>
          <w:rFonts w:ascii="Arial" w:cs="Arial" w:eastAsia="Arial" w:hAnsi="Arial"/>
          <w:sz w:val="13"/>
          <w:szCs w:val="13"/>
          <w:color w:val="64A70B"/>
        </w:rPr>
      </w:pPr>
      <w:r>
        <w:rPr>
          <w:rFonts w:ascii="Arial" w:cs="Arial" w:eastAsia="Arial" w:hAnsi="Arial"/>
          <w:sz w:val="16"/>
          <w:szCs w:val="16"/>
          <w:color w:val="auto"/>
        </w:rPr>
        <w:t>encouraging growth and innovation; and</w:t>
      </w:r>
    </w:p>
    <w:p>
      <w:pPr>
        <w:spacing w:after="0" w:line="99" w:lineRule="exact"/>
        <w:rPr>
          <w:rFonts w:ascii="Arial" w:cs="Arial" w:eastAsia="Arial" w:hAnsi="Arial"/>
          <w:sz w:val="13"/>
          <w:szCs w:val="13"/>
          <w:color w:val="64A70B"/>
        </w:rPr>
      </w:pPr>
    </w:p>
    <w:p>
      <w:pPr>
        <w:ind w:left="160" w:hanging="152"/>
        <w:spacing w:after="0"/>
        <w:tabs>
          <w:tab w:leader="none" w:pos="160" w:val="left"/>
        </w:tabs>
        <w:numPr>
          <w:ilvl w:val="0"/>
          <w:numId w:val="73"/>
        </w:numPr>
        <w:rPr>
          <w:rFonts w:ascii="Arial" w:cs="Arial" w:eastAsia="Arial" w:hAnsi="Arial"/>
          <w:sz w:val="13"/>
          <w:szCs w:val="13"/>
          <w:color w:val="64A70B"/>
        </w:rPr>
      </w:pPr>
      <w:r>
        <w:rPr>
          <w:rFonts w:ascii="Arial" w:cs="Arial" w:eastAsia="Arial" w:hAnsi="Arial"/>
          <w:sz w:val="16"/>
          <w:szCs w:val="16"/>
          <w:color w:val="auto"/>
        </w:rPr>
        <w:t>attracting and retaining top-quality executives and key employees.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To balance the objectives described above, our executive compensation program uses the following direct compensation elements:</w:t>
      </w:r>
    </w:p>
    <w:p>
      <w:pPr>
        <w:spacing w:after="0" w:line="127" w:lineRule="exact"/>
        <w:rPr>
          <w:sz w:val="20"/>
          <w:szCs w:val="20"/>
          <w:color w:val="auto"/>
        </w:rPr>
      </w:pPr>
    </w:p>
    <w:p>
      <w:pPr>
        <w:ind w:left="160" w:hanging="152"/>
        <w:spacing w:after="0"/>
        <w:tabs>
          <w:tab w:leader="none" w:pos="160" w:val="left"/>
        </w:tabs>
        <w:numPr>
          <w:ilvl w:val="0"/>
          <w:numId w:val="74"/>
        </w:numPr>
        <w:rPr>
          <w:rFonts w:ascii="Arial" w:cs="Arial" w:eastAsia="Arial" w:hAnsi="Arial"/>
          <w:sz w:val="13"/>
          <w:szCs w:val="13"/>
          <w:color w:val="64A70B"/>
        </w:rPr>
      </w:pPr>
      <w:r>
        <w:rPr>
          <w:rFonts w:ascii="Arial" w:cs="Arial" w:eastAsia="Arial" w:hAnsi="Arial"/>
          <w:sz w:val="16"/>
          <w:szCs w:val="16"/>
          <w:color w:val="auto"/>
        </w:rPr>
        <w:t>base salary, to provide fixed compensation competitive in the marketplace;</w:t>
      </w:r>
    </w:p>
    <w:p>
      <w:pPr>
        <w:spacing w:after="0" w:line="99" w:lineRule="exact"/>
        <w:rPr>
          <w:rFonts w:ascii="Arial" w:cs="Arial" w:eastAsia="Arial" w:hAnsi="Arial"/>
          <w:sz w:val="13"/>
          <w:szCs w:val="13"/>
          <w:color w:val="64A70B"/>
        </w:rPr>
      </w:pPr>
    </w:p>
    <w:p>
      <w:pPr>
        <w:ind w:left="160" w:hanging="152"/>
        <w:spacing w:after="0"/>
        <w:tabs>
          <w:tab w:leader="none" w:pos="160" w:val="left"/>
        </w:tabs>
        <w:numPr>
          <w:ilvl w:val="0"/>
          <w:numId w:val="74"/>
        </w:numPr>
        <w:rPr>
          <w:rFonts w:ascii="Arial" w:cs="Arial" w:eastAsia="Arial" w:hAnsi="Arial"/>
          <w:sz w:val="13"/>
          <w:szCs w:val="13"/>
          <w:color w:val="64A70B"/>
        </w:rPr>
      </w:pPr>
      <w:r>
        <w:rPr>
          <w:rFonts w:ascii="Arial" w:cs="Arial" w:eastAsia="Arial" w:hAnsi="Arial"/>
          <w:sz w:val="16"/>
          <w:szCs w:val="16"/>
          <w:color w:val="auto"/>
        </w:rPr>
        <w:t>annual incentive compensation, to reward short-term performance against specific financial targets; and</w:t>
      </w:r>
    </w:p>
    <w:p>
      <w:pPr>
        <w:spacing w:after="0" w:line="99" w:lineRule="exact"/>
        <w:rPr>
          <w:rFonts w:ascii="Arial" w:cs="Arial" w:eastAsia="Arial" w:hAnsi="Arial"/>
          <w:sz w:val="13"/>
          <w:szCs w:val="13"/>
          <w:color w:val="64A70B"/>
        </w:rPr>
      </w:pPr>
    </w:p>
    <w:p>
      <w:pPr>
        <w:ind w:left="160" w:hanging="152"/>
        <w:spacing w:after="0"/>
        <w:tabs>
          <w:tab w:leader="none" w:pos="160" w:val="left"/>
        </w:tabs>
        <w:numPr>
          <w:ilvl w:val="0"/>
          <w:numId w:val="74"/>
        </w:numPr>
        <w:rPr>
          <w:rFonts w:ascii="Arial" w:cs="Arial" w:eastAsia="Arial" w:hAnsi="Arial"/>
          <w:sz w:val="13"/>
          <w:szCs w:val="13"/>
          <w:color w:val="64A70B"/>
        </w:rPr>
      </w:pPr>
      <w:r>
        <w:rPr>
          <w:rFonts w:ascii="Arial" w:cs="Arial" w:eastAsia="Arial" w:hAnsi="Arial"/>
          <w:sz w:val="16"/>
          <w:szCs w:val="16"/>
          <w:color w:val="auto"/>
        </w:rPr>
        <w:t>long-term incentive compensation, to link management incentives to long-term value creation and shareholder return.</w:t>
      </w:r>
    </w:p>
    <w:p>
      <w:pPr>
        <w:spacing w:after="0" w:line="140" w:lineRule="exact"/>
        <w:rPr>
          <w:sz w:val="20"/>
          <w:szCs w:val="20"/>
          <w:color w:val="auto"/>
        </w:rPr>
      </w:pPr>
    </w:p>
    <w:p>
      <w:pPr>
        <w:ind w:right="40"/>
        <w:spacing w:after="0" w:line="283" w:lineRule="auto"/>
        <w:rPr>
          <w:sz w:val="20"/>
          <w:szCs w:val="20"/>
          <w:color w:val="auto"/>
        </w:rPr>
      </w:pPr>
      <w:r>
        <w:rPr>
          <w:rFonts w:ascii="Arial" w:cs="Arial" w:eastAsia="Arial" w:hAnsi="Arial"/>
          <w:sz w:val="16"/>
          <w:szCs w:val="16"/>
          <w:color w:val="auto"/>
        </w:rPr>
        <w:t>We also provide standard retirement and health and welfare benefits to attract and retain executives over the longer term. The Compensation Committee reviews total compensation for executive officers and the relative levels of each of these forms of compensation against the Committee’s goals. The majority of compensation is at risk, which encourages our executive officers to focus on our company’s long-term success and aligns with the long-term interests of our shareholders.</w:t>
      </w:r>
    </w:p>
    <w:p>
      <w:pPr>
        <w:sectPr>
          <w:pgSz w:w="11900" w:h="16838" w:orient="portrait"/>
          <w:cols w:equalWidth="0" w:num="1">
            <w:col w:w="11220"/>
          </w:cols>
          <w:pgMar w:left="320" w:top="179"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8260"/>
        <w:spacing w:after="0"/>
        <w:tabs>
          <w:tab w:leader="none" w:pos="10980" w:val="left"/>
        </w:tabs>
        <w:rPr>
          <w:sz w:val="20"/>
          <w:szCs w:val="20"/>
          <w:color w:val="auto"/>
        </w:rPr>
      </w:pPr>
      <w:r>
        <w:rPr>
          <w:rFonts w:ascii="Arial" w:cs="Arial" w:eastAsia="Arial" w:hAnsi="Arial"/>
          <w:sz w:val="16"/>
          <w:szCs w:val="16"/>
          <w:b w:val="1"/>
          <w:bCs w:val="1"/>
          <w:color w:val="auto"/>
        </w:rPr>
        <w:t xml:space="preserve">2026 Proxy Statement </w:t>
      </w:r>
      <w:r>
        <w:rPr>
          <w:rFonts w:ascii="Arial" w:cs="Arial" w:eastAsia="Arial" w:hAnsi="Arial"/>
          <w:sz w:val="16"/>
          <w:szCs w:val="16"/>
          <w:b w:val="1"/>
          <w:bCs w:val="1"/>
          <w:color w:val="0C3471"/>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Pentair</w:t>
      </w:r>
      <w:r>
        <w:rPr>
          <w:sz w:val="20"/>
          <w:szCs w:val="20"/>
          <w:color w:val="auto"/>
        </w:rPr>
        <w:tab/>
      </w:r>
      <w:r>
        <w:rPr>
          <w:rFonts w:ascii="Arial" w:cs="Arial" w:eastAsia="Arial" w:hAnsi="Arial"/>
          <w:sz w:val="16"/>
          <w:szCs w:val="16"/>
          <w:b w:val="1"/>
          <w:bCs w:val="1"/>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231140</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9" w:right="359" w:bottom="1440" w:gutter="0" w:footer="0" w:header="0"/>
          <w:type w:val="continuous"/>
        </w:sectPr>
      </w:pPr>
    </w:p>
    <w:bookmarkStart w:id="39" w:name="page40"/>
    <w:bookmarkEnd w:id="39"/>
    <w:p>
      <w:pPr>
        <w:ind w:left="36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216535</wp:posOffset>
            </wp:positionH>
            <wp:positionV relativeFrom="page">
              <wp:posOffset>106045</wp:posOffset>
            </wp:positionV>
            <wp:extent cx="102870" cy="11176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clrChange>
                        <a:clrFrom>
                          <a:srgbClr val="FFFFFF"/>
                        </a:clrFrom>
                        <a:clrTo>
                          <a:srgbClr val="FFFFFF">
                            <a:alpha val="0"/>
                          </a:srgbClr>
                        </a:clrTo>
                      </a:clrChange>
                      <a:extLst>
                        <a:ext uri="{28A0092B-C50C-407E-A947-70E740481C1C}"/>
                      </a:extLst>
                    </a:blip>
                    <a:srcRect/>
                    <a:stretch>
                      <a:fillRect/>
                    </a:stretch>
                  </pic:blipFill>
                  <pic:spPr bwMode="auto">
                    <a:xfrm>
                      <a:off x="0" y="0"/>
                      <a:ext cx="102870" cy="111760"/>
                    </a:xfrm>
                    <a:prstGeom prst="rect">
                      <a:avLst/>
                    </a:prstGeom>
                    <a:noFill/>
                  </pic:spPr>
                </pic:pic>
              </a:graphicData>
            </a:graphic>
          </wp:anchor>
        </w:drawing>
        <w:t>Compensation Discussion and Analysis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32"/>
          <w:szCs w:val="32"/>
          <w:color w:val="0C3471"/>
        </w:rPr>
        <w:t>How Executive Compensation Decisions are Made</w:t>
      </w:r>
    </w:p>
    <w:p>
      <w:pPr>
        <w:spacing w:after="0" w:line="357" w:lineRule="exact"/>
        <w:rPr>
          <w:sz w:val="20"/>
          <w:szCs w:val="20"/>
          <w:color w:val="auto"/>
        </w:rPr>
      </w:pPr>
    </w:p>
    <w:p>
      <w:pPr>
        <w:ind w:left="20"/>
        <w:spacing w:after="0"/>
        <w:rPr>
          <w:sz w:val="20"/>
          <w:szCs w:val="20"/>
          <w:color w:val="auto"/>
        </w:rPr>
      </w:pPr>
      <w:r>
        <w:rPr>
          <w:rFonts w:ascii="Arial" w:cs="Arial" w:eastAsia="Arial" w:hAnsi="Arial"/>
          <w:sz w:val="29"/>
          <w:szCs w:val="29"/>
          <w:color w:val="64A70B"/>
        </w:rPr>
        <w:t>Compensation Program and Objectives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Arial" w:cs="Arial" w:eastAsia="Arial" w:hAnsi="Arial"/>
          <w:sz w:val="16"/>
          <w:szCs w:val="16"/>
          <w:color w:val="auto"/>
        </w:rPr>
        <w:t>The Compensation Committee sets and administers the policies that govern our executive compensation, including:</w:t>
      </w:r>
    </w:p>
    <w:p>
      <w:pPr>
        <w:spacing w:after="0" w:line="127" w:lineRule="exact"/>
        <w:rPr>
          <w:sz w:val="20"/>
          <w:szCs w:val="20"/>
          <w:color w:val="auto"/>
        </w:rPr>
      </w:pPr>
    </w:p>
    <w:p>
      <w:pPr>
        <w:ind w:left="160" w:hanging="152"/>
        <w:spacing w:after="0"/>
        <w:tabs>
          <w:tab w:leader="none" w:pos="160" w:val="left"/>
        </w:tabs>
        <w:numPr>
          <w:ilvl w:val="0"/>
          <w:numId w:val="75"/>
        </w:numPr>
        <w:rPr>
          <w:rFonts w:ascii="Arial" w:cs="Arial" w:eastAsia="Arial" w:hAnsi="Arial"/>
          <w:sz w:val="13"/>
          <w:szCs w:val="13"/>
          <w:color w:val="64A70B"/>
        </w:rPr>
      </w:pPr>
      <w:r>
        <w:rPr>
          <w:rFonts w:ascii="Arial" w:cs="Arial" w:eastAsia="Arial" w:hAnsi="Arial"/>
          <w:sz w:val="16"/>
          <w:szCs w:val="16"/>
          <w:color w:val="auto"/>
        </w:rPr>
        <w:t>establishing and reviewing executive base salaries;</w:t>
      </w:r>
    </w:p>
    <w:p>
      <w:pPr>
        <w:spacing w:after="0" w:line="99" w:lineRule="exact"/>
        <w:rPr>
          <w:rFonts w:ascii="Arial" w:cs="Arial" w:eastAsia="Arial" w:hAnsi="Arial"/>
          <w:sz w:val="13"/>
          <w:szCs w:val="13"/>
          <w:color w:val="64A70B"/>
        </w:rPr>
      </w:pPr>
    </w:p>
    <w:p>
      <w:pPr>
        <w:ind w:left="160" w:hanging="152"/>
        <w:spacing w:after="0"/>
        <w:tabs>
          <w:tab w:leader="none" w:pos="160" w:val="left"/>
        </w:tabs>
        <w:numPr>
          <w:ilvl w:val="0"/>
          <w:numId w:val="75"/>
        </w:numPr>
        <w:rPr>
          <w:rFonts w:ascii="Arial" w:cs="Arial" w:eastAsia="Arial" w:hAnsi="Arial"/>
          <w:sz w:val="13"/>
          <w:szCs w:val="13"/>
          <w:color w:val="64A70B"/>
        </w:rPr>
      </w:pPr>
      <w:r>
        <w:rPr>
          <w:rFonts w:ascii="Arial" w:cs="Arial" w:eastAsia="Arial" w:hAnsi="Arial"/>
          <w:sz w:val="16"/>
          <w:szCs w:val="16"/>
          <w:color w:val="auto"/>
        </w:rPr>
        <w:t>overseeing our annual incentive compensation plans;</w:t>
      </w:r>
    </w:p>
    <w:p>
      <w:pPr>
        <w:spacing w:after="0" w:line="99" w:lineRule="exact"/>
        <w:rPr>
          <w:rFonts w:ascii="Arial" w:cs="Arial" w:eastAsia="Arial" w:hAnsi="Arial"/>
          <w:sz w:val="13"/>
          <w:szCs w:val="13"/>
          <w:color w:val="64A70B"/>
        </w:rPr>
      </w:pPr>
    </w:p>
    <w:p>
      <w:pPr>
        <w:ind w:left="160" w:hanging="152"/>
        <w:spacing w:after="0"/>
        <w:tabs>
          <w:tab w:leader="none" w:pos="160" w:val="left"/>
        </w:tabs>
        <w:numPr>
          <w:ilvl w:val="0"/>
          <w:numId w:val="75"/>
        </w:numPr>
        <w:rPr>
          <w:rFonts w:ascii="Arial" w:cs="Arial" w:eastAsia="Arial" w:hAnsi="Arial"/>
          <w:sz w:val="13"/>
          <w:szCs w:val="13"/>
          <w:color w:val="64A70B"/>
        </w:rPr>
      </w:pPr>
      <w:r>
        <w:rPr>
          <w:rFonts w:ascii="Arial" w:cs="Arial" w:eastAsia="Arial" w:hAnsi="Arial"/>
          <w:sz w:val="16"/>
          <w:szCs w:val="16"/>
          <w:color w:val="auto"/>
        </w:rPr>
        <w:t>overseeing our long-term equity-based compensation plan;</w:t>
      </w:r>
    </w:p>
    <w:p>
      <w:pPr>
        <w:spacing w:after="0" w:line="99" w:lineRule="exact"/>
        <w:rPr>
          <w:rFonts w:ascii="Arial" w:cs="Arial" w:eastAsia="Arial" w:hAnsi="Arial"/>
          <w:sz w:val="13"/>
          <w:szCs w:val="13"/>
          <w:color w:val="64A70B"/>
        </w:rPr>
      </w:pPr>
    </w:p>
    <w:p>
      <w:pPr>
        <w:ind w:left="160" w:hanging="152"/>
        <w:spacing w:after="0"/>
        <w:tabs>
          <w:tab w:leader="none" w:pos="160" w:val="left"/>
        </w:tabs>
        <w:numPr>
          <w:ilvl w:val="0"/>
          <w:numId w:val="75"/>
        </w:numPr>
        <w:rPr>
          <w:rFonts w:ascii="Arial" w:cs="Arial" w:eastAsia="Arial" w:hAnsi="Arial"/>
          <w:sz w:val="13"/>
          <w:szCs w:val="13"/>
          <w:color w:val="64A70B"/>
        </w:rPr>
      </w:pPr>
      <w:r>
        <w:rPr>
          <w:rFonts w:ascii="Arial" w:cs="Arial" w:eastAsia="Arial" w:hAnsi="Arial"/>
          <w:sz w:val="16"/>
          <w:szCs w:val="16"/>
          <w:color w:val="auto"/>
        </w:rPr>
        <w:t>approving all annual incentive and long-term, equity-based awards;</w:t>
      </w:r>
    </w:p>
    <w:p>
      <w:pPr>
        <w:spacing w:after="0" w:line="99" w:lineRule="exact"/>
        <w:rPr>
          <w:rFonts w:ascii="Arial" w:cs="Arial" w:eastAsia="Arial" w:hAnsi="Arial"/>
          <w:sz w:val="13"/>
          <w:szCs w:val="13"/>
          <w:color w:val="64A70B"/>
        </w:rPr>
      </w:pPr>
    </w:p>
    <w:p>
      <w:pPr>
        <w:ind w:left="160" w:hanging="152"/>
        <w:spacing w:after="0"/>
        <w:tabs>
          <w:tab w:leader="none" w:pos="160" w:val="left"/>
        </w:tabs>
        <w:numPr>
          <w:ilvl w:val="0"/>
          <w:numId w:val="75"/>
        </w:numPr>
        <w:rPr>
          <w:rFonts w:ascii="Arial" w:cs="Arial" w:eastAsia="Arial" w:hAnsi="Arial"/>
          <w:sz w:val="13"/>
          <w:szCs w:val="13"/>
          <w:color w:val="64A70B"/>
        </w:rPr>
      </w:pPr>
      <w:r>
        <w:rPr>
          <w:rFonts w:ascii="Arial" w:cs="Arial" w:eastAsia="Arial" w:hAnsi="Arial"/>
          <w:sz w:val="16"/>
          <w:szCs w:val="16"/>
          <w:color w:val="auto"/>
        </w:rPr>
        <w:t>annually evaluating risk considerations associated with our executive compensation program; and</w:t>
      </w:r>
    </w:p>
    <w:p>
      <w:pPr>
        <w:spacing w:after="0" w:line="99" w:lineRule="exact"/>
        <w:rPr>
          <w:rFonts w:ascii="Arial" w:cs="Arial" w:eastAsia="Arial" w:hAnsi="Arial"/>
          <w:sz w:val="13"/>
          <w:szCs w:val="13"/>
          <w:color w:val="64A70B"/>
        </w:rPr>
      </w:pPr>
    </w:p>
    <w:p>
      <w:pPr>
        <w:ind w:left="200" w:right="260" w:hanging="192"/>
        <w:spacing w:after="0" w:line="321" w:lineRule="auto"/>
        <w:tabs>
          <w:tab w:leader="none" w:pos="157" w:val="left"/>
        </w:tabs>
        <w:numPr>
          <w:ilvl w:val="0"/>
          <w:numId w:val="75"/>
        </w:numPr>
        <w:rPr>
          <w:rFonts w:ascii="Arial" w:cs="Arial" w:eastAsia="Arial" w:hAnsi="Arial"/>
          <w:sz w:val="13"/>
          <w:szCs w:val="13"/>
          <w:color w:val="64A70B"/>
        </w:rPr>
      </w:pPr>
      <w:r>
        <w:rPr>
          <w:rFonts w:ascii="Arial" w:cs="Arial" w:eastAsia="Arial" w:hAnsi="Arial"/>
          <w:sz w:val="16"/>
          <w:szCs w:val="16"/>
          <w:color w:val="auto"/>
        </w:rPr>
        <w:t>annually approving all compensation decisions for executive officers, including those for the Named Executive Officers, who are named in the Summary Compensation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47625</wp:posOffset>
            </wp:positionV>
            <wp:extent cx="7132320" cy="59182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32320" cy="591820"/>
                    </a:xfrm>
                    <a:prstGeom prst="rect">
                      <a:avLst/>
                    </a:prstGeom>
                    <a:noFill/>
                  </pic:spPr>
                </pic:pic>
              </a:graphicData>
            </a:graphic>
          </wp:anchor>
        </w:drawing>
      </w:r>
    </w:p>
    <w:p>
      <w:pPr>
        <w:spacing w:after="0" w:line="325" w:lineRule="exact"/>
        <w:rPr>
          <w:sz w:val="20"/>
          <w:szCs w:val="20"/>
          <w:color w:val="auto"/>
        </w:rPr>
      </w:pPr>
    </w:p>
    <w:p>
      <w:pPr>
        <w:jc w:val="center"/>
        <w:ind w:right="20"/>
        <w:spacing w:after="0" w:line="321" w:lineRule="auto"/>
        <w:rPr>
          <w:sz w:val="20"/>
          <w:szCs w:val="20"/>
          <w:color w:val="auto"/>
        </w:rPr>
      </w:pPr>
      <w:r>
        <w:rPr>
          <w:rFonts w:ascii="Arial" w:cs="Arial" w:eastAsia="Arial" w:hAnsi="Arial"/>
          <w:sz w:val="16"/>
          <w:szCs w:val="16"/>
          <w:color w:val="auto"/>
        </w:rPr>
        <w:t>The Compensation Committee oversees and evaluates Pentair’s executive compensation programs against competitive practices, regulatory developments and corporate governance trends.</w:t>
      </w:r>
    </w:p>
    <w:p>
      <w:pPr>
        <w:spacing w:after="0" w:line="358" w:lineRule="exact"/>
        <w:rPr>
          <w:sz w:val="20"/>
          <w:szCs w:val="20"/>
          <w:color w:val="auto"/>
        </w:rPr>
      </w:pPr>
    </w:p>
    <w:p>
      <w:pPr>
        <w:spacing w:after="0"/>
        <w:rPr>
          <w:sz w:val="20"/>
          <w:szCs w:val="20"/>
          <w:color w:val="auto"/>
        </w:rPr>
      </w:pPr>
      <w:r>
        <w:rPr>
          <w:rFonts w:ascii="Arial" w:cs="Arial" w:eastAsia="Arial" w:hAnsi="Arial"/>
          <w:sz w:val="16"/>
          <w:szCs w:val="16"/>
          <w:color w:val="auto"/>
        </w:rPr>
        <w:t>The calendar below sets for the customary cadence for the Compensation Committee’s annual processes, as it applied to actions taken during 2025:</w:t>
      </w:r>
    </w:p>
    <w:p>
      <w:pPr>
        <w:spacing w:after="0" w:line="148" w:lineRule="exact"/>
        <w:rPr>
          <w:sz w:val="20"/>
          <w:szCs w:val="20"/>
          <w:color w:val="auto"/>
        </w:rPr>
      </w:pPr>
    </w:p>
    <w:tbl>
      <w:tblPr>
        <w:tblLayout w:type="fixed"/>
        <w:tblInd w:w="10" w:type="dxa"/>
        <w:tblCellMar>
          <w:top w:w="0" w:type="dxa"/>
          <w:left w:w="0" w:type="dxa"/>
          <w:bottom w:w="0" w:type="dxa"/>
          <w:right w:w="0" w:type="dxa"/>
        </w:tblCellMar>
      </w:tblPr>
      <w:tr>
        <w:trPr>
          <w:trHeight w:val="237"/>
        </w:trPr>
        <w:tc>
          <w:tcPr>
            <w:tcW w:w="2600" w:type="dxa"/>
            <w:vAlign w:val="bottom"/>
            <w:tcBorders>
              <w:top w:val="single" w:sz="8" w:color="0C3471"/>
              <w:left w:val="single" w:sz="8" w:color="24408F"/>
              <w:bottom w:val="single" w:sz="8" w:color="0C3471"/>
              <w:right w:val="single" w:sz="8" w:color="24408F"/>
            </w:tcBorders>
            <w:gridSpan w:val="2"/>
          </w:tcPr>
          <w:p>
            <w:pPr>
              <w:ind w:left="900"/>
              <w:spacing w:after="0"/>
              <w:rPr>
                <w:sz w:val="20"/>
                <w:szCs w:val="20"/>
                <w:color w:val="auto"/>
              </w:rPr>
            </w:pPr>
            <w:r>
              <w:rPr>
                <w:rFonts w:ascii="Arial" w:cs="Arial" w:eastAsia="Arial" w:hAnsi="Arial"/>
                <w:sz w:val="14"/>
                <w:szCs w:val="14"/>
                <w:b w:val="1"/>
                <w:bCs w:val="1"/>
                <w:color w:val="auto"/>
              </w:rPr>
              <w:t>FEBRUARY</w:t>
            </w:r>
          </w:p>
        </w:tc>
        <w:tc>
          <w:tcPr>
            <w:tcW w:w="240" w:type="dxa"/>
            <w:vAlign w:val="bottom"/>
            <w:tcBorders>
              <w:right w:val="single" w:sz="8" w:color="24408F"/>
            </w:tcBorders>
          </w:tcPr>
          <w:p>
            <w:pPr>
              <w:spacing w:after="0"/>
              <w:rPr>
                <w:sz w:val="20"/>
                <w:szCs w:val="20"/>
                <w:color w:val="auto"/>
              </w:rPr>
            </w:pPr>
          </w:p>
        </w:tc>
        <w:tc>
          <w:tcPr>
            <w:tcW w:w="2700" w:type="dxa"/>
            <w:vAlign w:val="bottom"/>
            <w:tcBorders>
              <w:top w:val="single" w:sz="8" w:color="0C3471"/>
              <w:bottom w:val="single" w:sz="8" w:color="0C3471"/>
              <w:right w:val="single" w:sz="8" w:color="24408F"/>
            </w:tcBorders>
            <w:gridSpan w:val="2"/>
          </w:tcPr>
          <w:p>
            <w:pPr>
              <w:ind w:left="1200"/>
              <w:spacing w:after="0"/>
              <w:rPr>
                <w:sz w:val="20"/>
                <w:szCs w:val="20"/>
                <w:color w:val="auto"/>
              </w:rPr>
            </w:pPr>
            <w:r>
              <w:rPr>
                <w:rFonts w:ascii="Arial" w:cs="Arial" w:eastAsia="Arial" w:hAnsi="Arial"/>
                <w:sz w:val="14"/>
                <w:szCs w:val="14"/>
                <w:b w:val="1"/>
                <w:bCs w:val="1"/>
                <w:color w:val="auto"/>
              </w:rPr>
              <w:t>MAY</w:t>
            </w:r>
          </w:p>
        </w:tc>
        <w:tc>
          <w:tcPr>
            <w:tcW w:w="260" w:type="dxa"/>
            <w:vAlign w:val="bottom"/>
            <w:tcBorders>
              <w:right w:val="single" w:sz="8" w:color="0C3471"/>
            </w:tcBorders>
          </w:tcPr>
          <w:p>
            <w:pPr>
              <w:spacing w:after="0"/>
              <w:rPr>
                <w:sz w:val="20"/>
                <w:szCs w:val="20"/>
                <w:color w:val="auto"/>
              </w:rPr>
            </w:pPr>
          </w:p>
        </w:tc>
        <w:tc>
          <w:tcPr>
            <w:tcW w:w="2480" w:type="dxa"/>
            <w:vAlign w:val="bottom"/>
            <w:tcBorders>
              <w:top w:val="single" w:sz="8" w:color="0C3471"/>
              <w:bottom w:val="single" w:sz="8" w:color="0C3471"/>
              <w:right w:val="single" w:sz="8" w:color="0C3471"/>
            </w:tcBorders>
            <w:gridSpan w:val="2"/>
          </w:tcPr>
          <w:p>
            <w:pPr>
              <w:ind w:left="780"/>
              <w:spacing w:after="0"/>
              <w:rPr>
                <w:sz w:val="20"/>
                <w:szCs w:val="20"/>
                <w:color w:val="auto"/>
              </w:rPr>
            </w:pPr>
            <w:r>
              <w:rPr>
                <w:rFonts w:ascii="Arial" w:cs="Arial" w:eastAsia="Arial" w:hAnsi="Arial"/>
                <w:sz w:val="14"/>
                <w:szCs w:val="14"/>
                <w:b w:val="1"/>
                <w:bCs w:val="1"/>
                <w:color w:val="auto"/>
              </w:rPr>
              <w:t>SEPTEMBER</w:t>
            </w:r>
          </w:p>
        </w:tc>
        <w:tc>
          <w:tcPr>
            <w:tcW w:w="260" w:type="dxa"/>
            <w:vAlign w:val="bottom"/>
            <w:tcBorders>
              <w:right w:val="single" w:sz="8" w:color="24408F"/>
            </w:tcBorders>
          </w:tcPr>
          <w:p>
            <w:pPr>
              <w:spacing w:after="0"/>
              <w:rPr>
                <w:sz w:val="20"/>
                <w:szCs w:val="20"/>
                <w:color w:val="auto"/>
              </w:rPr>
            </w:pPr>
          </w:p>
        </w:tc>
        <w:tc>
          <w:tcPr>
            <w:tcW w:w="2720" w:type="dxa"/>
            <w:vAlign w:val="bottom"/>
            <w:tcBorders>
              <w:top w:val="single" w:sz="8" w:color="0C3471"/>
              <w:bottom w:val="single" w:sz="8" w:color="0C3471"/>
              <w:right w:val="single" w:sz="8" w:color="24408F"/>
            </w:tcBorders>
            <w:gridSpan w:val="2"/>
          </w:tcPr>
          <w:p>
            <w:pPr>
              <w:ind w:left="940"/>
              <w:spacing w:after="0"/>
              <w:rPr>
                <w:sz w:val="20"/>
                <w:szCs w:val="20"/>
                <w:color w:val="auto"/>
              </w:rPr>
            </w:pPr>
            <w:r>
              <w:rPr>
                <w:rFonts w:ascii="Arial" w:cs="Arial" w:eastAsia="Arial" w:hAnsi="Arial"/>
                <w:sz w:val="14"/>
                <w:szCs w:val="14"/>
                <w:b w:val="1"/>
                <w:bCs w:val="1"/>
                <w:color w:val="auto"/>
              </w:rPr>
              <w:t>DECEMBER</w:t>
            </w:r>
          </w:p>
        </w:tc>
      </w:tr>
      <w:tr>
        <w:trPr>
          <w:trHeight w:val="128"/>
        </w:trPr>
        <w:tc>
          <w:tcPr>
            <w:tcW w:w="1280" w:type="dxa"/>
            <w:vAlign w:val="bottom"/>
            <w:tcBorders>
              <w:bottom w:val="single" w:sz="8" w:color="24408F"/>
              <w:right w:val="single" w:sz="8" w:color="0C3471"/>
            </w:tcBorders>
          </w:tcPr>
          <w:p>
            <w:pPr>
              <w:spacing w:after="0"/>
              <w:rPr>
                <w:sz w:val="11"/>
                <w:szCs w:val="11"/>
                <w:color w:val="auto"/>
              </w:rPr>
            </w:pPr>
          </w:p>
        </w:tc>
        <w:tc>
          <w:tcPr>
            <w:tcW w:w="1320" w:type="dxa"/>
            <w:vAlign w:val="bottom"/>
            <w:tcBorders>
              <w:bottom w:val="single" w:sz="8" w:color="24408F"/>
            </w:tcBorders>
          </w:tcPr>
          <w:p>
            <w:pPr>
              <w:spacing w:after="0"/>
              <w:rPr>
                <w:sz w:val="11"/>
                <w:szCs w:val="11"/>
                <w:color w:val="auto"/>
              </w:rPr>
            </w:pPr>
          </w:p>
        </w:tc>
        <w:tc>
          <w:tcPr>
            <w:tcW w:w="240" w:type="dxa"/>
            <w:vAlign w:val="bottom"/>
          </w:tcPr>
          <w:p>
            <w:pPr>
              <w:spacing w:after="0"/>
              <w:rPr>
                <w:sz w:val="11"/>
                <w:szCs w:val="11"/>
                <w:color w:val="auto"/>
              </w:rPr>
            </w:pPr>
          </w:p>
        </w:tc>
        <w:tc>
          <w:tcPr>
            <w:tcW w:w="1360" w:type="dxa"/>
            <w:vAlign w:val="bottom"/>
            <w:tcBorders>
              <w:bottom w:val="single" w:sz="8" w:color="24408F"/>
              <w:right w:val="single" w:sz="8" w:color="0C3471"/>
            </w:tcBorders>
          </w:tcPr>
          <w:p>
            <w:pPr>
              <w:spacing w:after="0"/>
              <w:rPr>
                <w:sz w:val="11"/>
                <w:szCs w:val="11"/>
                <w:color w:val="auto"/>
              </w:rPr>
            </w:pPr>
          </w:p>
        </w:tc>
        <w:tc>
          <w:tcPr>
            <w:tcW w:w="1340" w:type="dxa"/>
            <w:vAlign w:val="bottom"/>
            <w:tcBorders>
              <w:bottom w:val="single" w:sz="8" w:color="24408F"/>
            </w:tcBorders>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tcBorders>
              <w:bottom w:val="single" w:sz="8" w:color="24408F"/>
              <w:right w:val="single" w:sz="8" w:color="0C3471"/>
            </w:tcBorders>
          </w:tcPr>
          <w:p>
            <w:pPr>
              <w:spacing w:after="0"/>
              <w:rPr>
                <w:sz w:val="11"/>
                <w:szCs w:val="11"/>
                <w:color w:val="auto"/>
              </w:rPr>
            </w:pPr>
          </w:p>
        </w:tc>
        <w:tc>
          <w:tcPr>
            <w:tcW w:w="1240" w:type="dxa"/>
            <w:vAlign w:val="bottom"/>
            <w:tcBorders>
              <w:bottom w:val="single" w:sz="8" w:color="24408F"/>
            </w:tcBorders>
          </w:tcPr>
          <w:p>
            <w:pPr>
              <w:spacing w:after="0"/>
              <w:rPr>
                <w:sz w:val="11"/>
                <w:szCs w:val="11"/>
                <w:color w:val="auto"/>
              </w:rPr>
            </w:pPr>
          </w:p>
        </w:tc>
        <w:tc>
          <w:tcPr>
            <w:tcW w:w="260" w:type="dxa"/>
            <w:vAlign w:val="bottom"/>
          </w:tcPr>
          <w:p>
            <w:pPr>
              <w:spacing w:after="0"/>
              <w:rPr>
                <w:sz w:val="11"/>
                <w:szCs w:val="11"/>
                <w:color w:val="auto"/>
              </w:rPr>
            </w:pPr>
          </w:p>
        </w:tc>
        <w:tc>
          <w:tcPr>
            <w:tcW w:w="1320" w:type="dxa"/>
            <w:vAlign w:val="bottom"/>
            <w:tcBorders>
              <w:bottom w:val="single" w:sz="8" w:color="24408F"/>
              <w:right w:val="single" w:sz="8" w:color="0C3471"/>
            </w:tcBorders>
          </w:tcPr>
          <w:p>
            <w:pPr>
              <w:spacing w:after="0"/>
              <w:rPr>
                <w:sz w:val="11"/>
                <w:szCs w:val="11"/>
                <w:color w:val="auto"/>
              </w:rPr>
            </w:pPr>
          </w:p>
        </w:tc>
        <w:tc>
          <w:tcPr>
            <w:tcW w:w="1400" w:type="dxa"/>
            <w:vAlign w:val="bottom"/>
            <w:tcBorders>
              <w:bottom w:val="single" w:sz="8" w:color="24408F"/>
            </w:tcBorders>
          </w:tcPr>
          <w:p>
            <w:pPr>
              <w:spacing w:after="0"/>
              <w:rPr>
                <w:sz w:val="11"/>
                <w:szCs w:val="11"/>
                <w:color w:val="auto"/>
              </w:rPr>
            </w:pPr>
          </w:p>
        </w:tc>
      </w:tr>
    </w:tbl>
    <w:p>
      <w:pPr>
        <w:spacing w:after="0" w:line="175" w:lineRule="exact"/>
        <w:rPr>
          <w:sz w:val="20"/>
          <w:szCs w:val="20"/>
          <w:color w:val="auto"/>
        </w:rPr>
      </w:pPr>
    </w:p>
    <w:p>
      <w:pPr>
        <w:sectPr>
          <w:pgSz w:w="11900" w:h="16838" w:orient="portrait"/>
          <w:cols w:equalWidth="0" w:num="1">
            <w:col w:w="11260"/>
          </w:cols>
          <w:pgMar w:left="320" w:top="179" w:right="319" w:bottom="1440" w:gutter="0" w:footer="0" w:header="0"/>
        </w:sectPr>
      </w:pPr>
    </w:p>
    <w:p>
      <w:pPr>
        <w:ind w:left="220" w:hanging="194"/>
        <w:spacing w:after="0" w:line="292" w:lineRule="auto"/>
        <w:tabs>
          <w:tab w:leader="none" w:pos="177" w:val="left"/>
        </w:tabs>
        <w:numPr>
          <w:ilvl w:val="0"/>
          <w:numId w:val="76"/>
        </w:numPr>
        <w:rPr>
          <w:rFonts w:ascii="Arial" w:cs="Arial" w:eastAsia="Arial" w:hAnsi="Arial"/>
          <w:sz w:val="13"/>
          <w:szCs w:val="13"/>
          <w:color w:val="64A70B"/>
        </w:rPr>
      </w:pPr>
      <w:r>
        <w:rPr>
          <w:rFonts w:ascii="Arial" w:cs="Arial" w:eastAsia="Arial" w:hAnsi="Arial"/>
          <w:sz w:val="16"/>
          <w:szCs w:val="16"/>
          <w:color w:val="auto"/>
        </w:rPr>
        <w:t>Approved 2024 annual incentive payouts and 2025 annual incentive targets</w:t>
      </w:r>
    </w:p>
    <w:p>
      <w:pPr>
        <w:spacing w:after="0" w:line="30" w:lineRule="exact"/>
        <w:rPr>
          <w:rFonts w:ascii="Arial" w:cs="Arial" w:eastAsia="Arial" w:hAnsi="Arial"/>
          <w:sz w:val="13"/>
          <w:szCs w:val="13"/>
          <w:color w:val="64A70B"/>
        </w:rPr>
      </w:pPr>
    </w:p>
    <w:p>
      <w:pPr>
        <w:ind w:left="220" w:right="40" w:hanging="194"/>
        <w:spacing w:after="0" w:line="304" w:lineRule="auto"/>
        <w:tabs>
          <w:tab w:leader="none" w:pos="177" w:val="left"/>
        </w:tabs>
        <w:numPr>
          <w:ilvl w:val="0"/>
          <w:numId w:val="76"/>
        </w:numPr>
        <w:rPr>
          <w:rFonts w:ascii="Arial" w:cs="Arial" w:eastAsia="Arial" w:hAnsi="Arial"/>
          <w:sz w:val="13"/>
          <w:szCs w:val="13"/>
          <w:color w:val="64A70B"/>
        </w:rPr>
      </w:pPr>
      <w:r>
        <w:rPr>
          <w:rFonts w:ascii="Arial" w:cs="Arial" w:eastAsia="Arial" w:hAnsi="Arial"/>
          <w:sz w:val="16"/>
          <w:szCs w:val="16"/>
          <w:color w:val="auto"/>
        </w:rPr>
        <w:t>Certified payout of 2022-2024 performance share unit awards</w:t>
      </w:r>
    </w:p>
    <w:p>
      <w:pPr>
        <w:spacing w:after="0" w:line="19" w:lineRule="exact"/>
        <w:rPr>
          <w:rFonts w:ascii="Arial" w:cs="Arial" w:eastAsia="Arial" w:hAnsi="Arial"/>
          <w:sz w:val="13"/>
          <w:szCs w:val="13"/>
          <w:color w:val="64A70B"/>
        </w:rPr>
      </w:pPr>
    </w:p>
    <w:p>
      <w:pPr>
        <w:ind w:left="220" w:right="160" w:hanging="194"/>
        <w:spacing w:after="0" w:line="301" w:lineRule="auto"/>
        <w:tabs>
          <w:tab w:leader="none" w:pos="177" w:val="left"/>
        </w:tabs>
        <w:numPr>
          <w:ilvl w:val="0"/>
          <w:numId w:val="76"/>
        </w:numPr>
        <w:rPr>
          <w:rFonts w:ascii="Arial" w:cs="Arial" w:eastAsia="Arial" w:hAnsi="Arial"/>
          <w:sz w:val="13"/>
          <w:szCs w:val="13"/>
          <w:color w:val="64A70B"/>
        </w:rPr>
      </w:pPr>
      <w:r>
        <w:rPr>
          <w:rFonts w:ascii="Arial" w:cs="Arial" w:eastAsia="Arial" w:hAnsi="Arial"/>
          <w:sz w:val="16"/>
          <w:szCs w:val="16"/>
          <w:color w:val="auto"/>
        </w:rPr>
        <w:t>Approved performance share unit targets for the 2025-2027 performance period</w:t>
      </w:r>
    </w:p>
    <w:p>
      <w:pPr>
        <w:spacing w:after="0" w:line="9" w:lineRule="exact"/>
        <w:rPr>
          <w:rFonts w:ascii="Arial" w:cs="Arial" w:eastAsia="Arial" w:hAnsi="Arial"/>
          <w:sz w:val="13"/>
          <w:szCs w:val="13"/>
          <w:color w:val="64A70B"/>
        </w:rPr>
      </w:pPr>
    </w:p>
    <w:p>
      <w:pPr>
        <w:jc w:val="both"/>
        <w:ind w:left="220" w:right="540" w:hanging="194"/>
        <w:spacing w:after="0" w:line="321" w:lineRule="auto"/>
        <w:tabs>
          <w:tab w:leader="none" w:pos="177" w:val="left"/>
        </w:tabs>
        <w:numPr>
          <w:ilvl w:val="0"/>
          <w:numId w:val="76"/>
        </w:numPr>
        <w:rPr>
          <w:rFonts w:ascii="Arial" w:cs="Arial" w:eastAsia="Arial" w:hAnsi="Arial"/>
          <w:sz w:val="13"/>
          <w:szCs w:val="13"/>
          <w:color w:val="64A70B"/>
        </w:rPr>
      </w:pPr>
      <w:r>
        <w:rPr>
          <w:rFonts w:ascii="Arial" w:cs="Arial" w:eastAsia="Arial" w:hAnsi="Arial"/>
          <w:sz w:val="16"/>
          <w:szCs w:val="16"/>
          <w:color w:val="auto"/>
        </w:rPr>
        <w:t>Approved Compensation Discussion and Analysis</w:t>
      </w:r>
    </w:p>
    <w:p>
      <w:pPr>
        <w:spacing w:after="0" w:line="7" w:lineRule="exact"/>
        <w:rPr>
          <w:rFonts w:ascii="Arial" w:cs="Arial" w:eastAsia="Arial" w:hAnsi="Arial"/>
          <w:sz w:val="13"/>
          <w:szCs w:val="13"/>
          <w:color w:val="64A70B"/>
        </w:rPr>
      </w:pPr>
    </w:p>
    <w:p>
      <w:pPr>
        <w:ind w:left="220" w:right="100" w:hanging="194"/>
        <w:spacing w:after="0" w:line="321" w:lineRule="auto"/>
        <w:tabs>
          <w:tab w:leader="none" w:pos="177" w:val="left"/>
        </w:tabs>
        <w:numPr>
          <w:ilvl w:val="0"/>
          <w:numId w:val="76"/>
        </w:numPr>
        <w:rPr>
          <w:rFonts w:ascii="Arial" w:cs="Arial" w:eastAsia="Arial" w:hAnsi="Arial"/>
          <w:sz w:val="13"/>
          <w:szCs w:val="13"/>
          <w:color w:val="64A70B"/>
        </w:rPr>
      </w:pPr>
      <w:r>
        <w:rPr>
          <w:rFonts w:ascii="Arial" w:cs="Arial" w:eastAsia="Arial" w:hAnsi="Arial"/>
          <w:sz w:val="16"/>
          <w:szCs w:val="16"/>
          <w:color w:val="auto"/>
        </w:rPr>
        <w:t>Approved non-officer long-term incentive allocation</w:t>
      </w:r>
    </w:p>
    <w:p>
      <w:pPr>
        <w:spacing w:after="0" w:line="7" w:lineRule="exact"/>
        <w:rPr>
          <w:rFonts w:ascii="Arial" w:cs="Arial" w:eastAsia="Arial" w:hAnsi="Arial"/>
          <w:sz w:val="13"/>
          <w:szCs w:val="13"/>
          <w:color w:val="64A70B"/>
        </w:rPr>
      </w:pPr>
    </w:p>
    <w:p>
      <w:pPr>
        <w:ind w:left="180" w:hanging="154"/>
        <w:spacing w:after="0"/>
        <w:tabs>
          <w:tab w:leader="none" w:pos="180" w:val="left"/>
        </w:tabs>
        <w:numPr>
          <w:ilvl w:val="0"/>
          <w:numId w:val="76"/>
        </w:numPr>
        <w:rPr>
          <w:rFonts w:ascii="Arial" w:cs="Arial" w:eastAsia="Arial" w:hAnsi="Arial"/>
          <w:sz w:val="13"/>
          <w:szCs w:val="13"/>
          <w:color w:val="64A70B"/>
        </w:rPr>
      </w:pPr>
      <w:r>
        <w:rPr>
          <w:rFonts w:ascii="Arial" w:cs="Arial" w:eastAsia="Arial" w:hAnsi="Arial"/>
          <w:sz w:val="16"/>
          <w:szCs w:val="16"/>
          <w:color w:val="auto"/>
        </w:rPr>
        <w:t>Committee self-assessment</w:t>
      </w:r>
    </w:p>
    <w:p>
      <w:pPr>
        <w:spacing w:after="0" w:line="20" w:lineRule="exact"/>
        <w:rPr>
          <w:sz w:val="20"/>
          <w:szCs w:val="20"/>
          <w:color w:val="auto"/>
        </w:rPr>
      </w:pPr>
      <w:r>
        <w:rPr>
          <w:sz w:val="20"/>
          <w:szCs w:val="20"/>
          <w:color w:val="auto"/>
        </w:rPr>
        <w:br w:type="column"/>
      </w:r>
    </w:p>
    <w:p>
      <w:pPr>
        <w:ind w:left="193" w:hanging="193"/>
        <w:spacing w:after="0" w:line="304" w:lineRule="auto"/>
        <w:tabs>
          <w:tab w:leader="none" w:pos="149" w:val="left"/>
        </w:tabs>
        <w:numPr>
          <w:ilvl w:val="0"/>
          <w:numId w:val="77"/>
        </w:numPr>
        <w:rPr>
          <w:rFonts w:ascii="Arial" w:cs="Arial" w:eastAsia="Arial" w:hAnsi="Arial"/>
          <w:sz w:val="13"/>
          <w:szCs w:val="13"/>
          <w:color w:val="64A70B"/>
        </w:rPr>
      </w:pPr>
      <w:r>
        <w:rPr>
          <w:rFonts w:ascii="Arial" w:cs="Arial" w:eastAsia="Arial" w:hAnsi="Arial"/>
          <w:sz w:val="16"/>
          <w:szCs w:val="16"/>
          <w:color w:val="auto"/>
        </w:rPr>
        <w:t>Reviewed results of “say-on-pay” vote</w:t>
      </w:r>
    </w:p>
    <w:p>
      <w:pPr>
        <w:spacing w:after="0" w:line="19" w:lineRule="exact"/>
        <w:rPr>
          <w:rFonts w:ascii="Arial" w:cs="Arial" w:eastAsia="Arial" w:hAnsi="Arial"/>
          <w:sz w:val="13"/>
          <w:szCs w:val="13"/>
          <w:color w:val="64A70B"/>
        </w:rPr>
      </w:pPr>
    </w:p>
    <w:p>
      <w:pPr>
        <w:ind w:left="153" w:hanging="153"/>
        <w:spacing w:after="0"/>
        <w:tabs>
          <w:tab w:leader="none" w:pos="153" w:val="left"/>
        </w:tabs>
        <w:numPr>
          <w:ilvl w:val="0"/>
          <w:numId w:val="77"/>
        </w:numPr>
        <w:rPr>
          <w:rFonts w:ascii="Arial" w:cs="Arial" w:eastAsia="Arial" w:hAnsi="Arial"/>
          <w:sz w:val="13"/>
          <w:szCs w:val="13"/>
          <w:color w:val="64A70B"/>
        </w:rPr>
      </w:pPr>
      <w:r>
        <w:rPr>
          <w:rFonts w:ascii="Arial" w:cs="Arial" w:eastAsia="Arial" w:hAnsi="Arial"/>
          <w:sz w:val="16"/>
          <w:szCs w:val="16"/>
          <w:color w:val="auto"/>
        </w:rPr>
        <w:t>Committee self-assessment</w:t>
      </w:r>
    </w:p>
    <w:p>
      <w:pPr>
        <w:spacing w:after="0" w:line="20" w:lineRule="exact"/>
        <w:rPr>
          <w:sz w:val="20"/>
          <w:szCs w:val="20"/>
          <w:color w:val="auto"/>
        </w:rPr>
      </w:pPr>
      <w:r>
        <w:rPr>
          <w:sz w:val="20"/>
          <w:szCs w:val="20"/>
          <w:color w:val="auto"/>
        </w:rPr>
        <w:br w:type="column"/>
      </w:r>
    </w:p>
    <w:p>
      <w:pPr>
        <w:ind w:left="190" w:right="20" w:hanging="190"/>
        <w:spacing w:after="0" w:line="292" w:lineRule="auto"/>
        <w:tabs>
          <w:tab w:leader="none" w:pos="146" w:val="left"/>
        </w:tabs>
        <w:numPr>
          <w:ilvl w:val="0"/>
          <w:numId w:val="78"/>
        </w:numPr>
        <w:rPr>
          <w:rFonts w:ascii="Arial" w:cs="Arial" w:eastAsia="Arial" w:hAnsi="Arial"/>
          <w:sz w:val="13"/>
          <w:szCs w:val="13"/>
          <w:color w:val="64A70B"/>
        </w:rPr>
      </w:pPr>
      <w:r>
        <w:rPr>
          <w:rFonts w:ascii="Arial" w:cs="Arial" w:eastAsia="Arial" w:hAnsi="Arial"/>
          <w:sz w:val="16"/>
          <w:szCs w:val="16"/>
          <w:color w:val="auto"/>
        </w:rPr>
        <w:t>Reviewed compensation program and possible design changes for the upcoming year</w:t>
      </w:r>
    </w:p>
    <w:p>
      <w:pPr>
        <w:spacing w:after="0" w:line="30" w:lineRule="exact"/>
        <w:rPr>
          <w:rFonts w:ascii="Arial" w:cs="Arial" w:eastAsia="Arial" w:hAnsi="Arial"/>
          <w:sz w:val="13"/>
          <w:szCs w:val="13"/>
          <w:color w:val="64A70B"/>
        </w:rPr>
      </w:pPr>
    </w:p>
    <w:p>
      <w:pPr>
        <w:ind w:left="190" w:hanging="190"/>
        <w:spacing w:after="0" w:line="292" w:lineRule="auto"/>
        <w:tabs>
          <w:tab w:leader="none" w:pos="146" w:val="left"/>
        </w:tabs>
        <w:numPr>
          <w:ilvl w:val="0"/>
          <w:numId w:val="78"/>
        </w:numPr>
        <w:rPr>
          <w:rFonts w:ascii="Arial" w:cs="Arial" w:eastAsia="Arial" w:hAnsi="Arial"/>
          <w:sz w:val="13"/>
          <w:szCs w:val="13"/>
          <w:color w:val="64A70B"/>
        </w:rPr>
      </w:pPr>
      <w:r>
        <w:rPr>
          <w:rFonts w:ascii="Arial" w:cs="Arial" w:eastAsia="Arial" w:hAnsi="Arial"/>
          <w:sz w:val="16"/>
          <w:szCs w:val="16"/>
          <w:color w:val="auto"/>
        </w:rPr>
        <w:t>Reviewed projected short- and long-term incentive plan results for current year</w:t>
      </w:r>
    </w:p>
    <w:p>
      <w:pPr>
        <w:spacing w:after="0" w:line="30" w:lineRule="exact"/>
        <w:rPr>
          <w:rFonts w:ascii="Arial" w:cs="Arial" w:eastAsia="Arial" w:hAnsi="Arial"/>
          <w:sz w:val="13"/>
          <w:szCs w:val="13"/>
          <w:color w:val="64A70B"/>
        </w:rPr>
      </w:pPr>
    </w:p>
    <w:p>
      <w:pPr>
        <w:ind w:left="190" w:right="540" w:hanging="190"/>
        <w:spacing w:after="0" w:line="292" w:lineRule="auto"/>
        <w:tabs>
          <w:tab w:leader="none" w:pos="146" w:val="left"/>
        </w:tabs>
        <w:numPr>
          <w:ilvl w:val="0"/>
          <w:numId w:val="78"/>
        </w:numPr>
        <w:rPr>
          <w:rFonts w:ascii="Arial" w:cs="Arial" w:eastAsia="Arial" w:hAnsi="Arial"/>
          <w:sz w:val="13"/>
          <w:szCs w:val="13"/>
          <w:color w:val="64A70B"/>
        </w:rPr>
      </w:pPr>
      <w:r>
        <w:rPr>
          <w:rFonts w:ascii="Arial" w:cs="Arial" w:eastAsia="Arial" w:hAnsi="Arial"/>
          <w:sz w:val="16"/>
          <w:szCs w:val="16"/>
          <w:color w:val="auto"/>
        </w:rPr>
        <w:t>Reviewed and approved Comparator Group for upcoming year</w:t>
      </w:r>
    </w:p>
    <w:p>
      <w:pPr>
        <w:spacing w:after="0" w:line="30" w:lineRule="exact"/>
        <w:rPr>
          <w:rFonts w:ascii="Arial" w:cs="Arial" w:eastAsia="Arial" w:hAnsi="Arial"/>
          <w:sz w:val="13"/>
          <w:szCs w:val="13"/>
          <w:color w:val="64A70B"/>
        </w:rPr>
      </w:pPr>
    </w:p>
    <w:p>
      <w:pPr>
        <w:ind w:left="190" w:right="400" w:hanging="190"/>
        <w:spacing w:after="0" w:line="321" w:lineRule="auto"/>
        <w:tabs>
          <w:tab w:leader="none" w:pos="146" w:val="left"/>
        </w:tabs>
        <w:numPr>
          <w:ilvl w:val="0"/>
          <w:numId w:val="78"/>
        </w:numPr>
        <w:rPr>
          <w:rFonts w:ascii="Arial" w:cs="Arial" w:eastAsia="Arial" w:hAnsi="Arial"/>
          <w:sz w:val="13"/>
          <w:szCs w:val="13"/>
          <w:color w:val="64A70B"/>
        </w:rPr>
      </w:pPr>
      <w:r>
        <w:rPr>
          <w:rFonts w:ascii="Arial" w:cs="Arial" w:eastAsia="Arial" w:hAnsi="Arial"/>
          <w:sz w:val="16"/>
          <w:szCs w:val="16"/>
          <w:color w:val="auto"/>
        </w:rPr>
        <w:t>Compensation Committee education</w:t>
      </w:r>
    </w:p>
    <w:p>
      <w:pPr>
        <w:spacing w:after="0" w:line="7" w:lineRule="exact"/>
        <w:rPr>
          <w:rFonts w:ascii="Arial" w:cs="Arial" w:eastAsia="Arial" w:hAnsi="Arial"/>
          <w:sz w:val="13"/>
          <w:szCs w:val="13"/>
          <w:color w:val="64A70B"/>
        </w:rPr>
      </w:pPr>
    </w:p>
    <w:p>
      <w:pPr>
        <w:ind w:left="190" w:right="360" w:hanging="190"/>
        <w:spacing w:after="0" w:line="292" w:lineRule="auto"/>
        <w:tabs>
          <w:tab w:leader="none" w:pos="146" w:val="left"/>
        </w:tabs>
        <w:numPr>
          <w:ilvl w:val="0"/>
          <w:numId w:val="78"/>
        </w:numPr>
        <w:rPr>
          <w:rFonts w:ascii="Arial" w:cs="Arial" w:eastAsia="Arial" w:hAnsi="Arial"/>
          <w:sz w:val="13"/>
          <w:szCs w:val="13"/>
          <w:color w:val="64A70B"/>
        </w:rPr>
      </w:pPr>
      <w:r>
        <w:rPr>
          <w:rFonts w:ascii="Arial" w:cs="Arial" w:eastAsia="Arial" w:hAnsi="Arial"/>
          <w:sz w:val="16"/>
          <w:szCs w:val="16"/>
          <w:color w:val="auto"/>
        </w:rPr>
        <w:t>Reviewed stock ownership guidelines and individual ownership levels</w:t>
      </w:r>
    </w:p>
    <w:p>
      <w:pPr>
        <w:spacing w:after="0" w:line="30" w:lineRule="exact"/>
        <w:rPr>
          <w:rFonts w:ascii="Arial" w:cs="Arial" w:eastAsia="Arial" w:hAnsi="Arial"/>
          <w:sz w:val="13"/>
          <w:szCs w:val="13"/>
          <w:color w:val="64A70B"/>
        </w:rPr>
      </w:pPr>
    </w:p>
    <w:p>
      <w:pPr>
        <w:ind w:left="150" w:hanging="150"/>
        <w:spacing w:after="0"/>
        <w:tabs>
          <w:tab w:leader="none" w:pos="150" w:val="left"/>
        </w:tabs>
        <w:numPr>
          <w:ilvl w:val="0"/>
          <w:numId w:val="78"/>
        </w:numPr>
        <w:rPr>
          <w:rFonts w:ascii="Arial" w:cs="Arial" w:eastAsia="Arial" w:hAnsi="Arial"/>
          <w:sz w:val="13"/>
          <w:szCs w:val="13"/>
          <w:color w:val="64A70B"/>
        </w:rPr>
      </w:pPr>
      <w:r>
        <w:rPr>
          <w:rFonts w:ascii="Arial" w:cs="Arial" w:eastAsia="Arial" w:hAnsi="Arial"/>
          <w:sz w:val="16"/>
          <w:szCs w:val="16"/>
          <w:color w:val="auto"/>
        </w:rPr>
        <w:t>Committee self-assessment</w:t>
      </w:r>
    </w:p>
    <w:p>
      <w:pPr>
        <w:spacing w:after="0" w:line="20" w:lineRule="exact"/>
        <w:rPr>
          <w:sz w:val="20"/>
          <w:szCs w:val="20"/>
          <w:color w:val="auto"/>
        </w:rPr>
      </w:pPr>
      <w:r>
        <w:rPr>
          <w:sz w:val="20"/>
          <w:szCs w:val="20"/>
          <w:color w:val="auto"/>
        </w:rPr>
        <w:br w:type="column"/>
      </w:r>
    </w:p>
    <w:p>
      <w:pPr>
        <w:ind w:left="196" w:right="320" w:hanging="196"/>
        <w:spacing w:after="0" w:line="289" w:lineRule="auto"/>
        <w:tabs>
          <w:tab w:leader="none" w:pos="152" w:val="left"/>
        </w:tabs>
        <w:numPr>
          <w:ilvl w:val="0"/>
          <w:numId w:val="79"/>
        </w:numPr>
        <w:rPr>
          <w:rFonts w:ascii="Arial" w:cs="Arial" w:eastAsia="Arial" w:hAnsi="Arial"/>
          <w:sz w:val="13"/>
          <w:szCs w:val="13"/>
          <w:color w:val="64A70B"/>
        </w:rPr>
      </w:pPr>
      <w:r>
        <w:rPr>
          <w:rFonts w:ascii="Arial" w:cs="Arial" w:eastAsia="Arial" w:hAnsi="Arial"/>
          <w:sz w:val="16"/>
          <w:szCs w:val="16"/>
          <w:color w:val="auto"/>
        </w:rPr>
        <w:t>Approved executive officer compensation structures, base salary, MIP target, and equity grants for upcoming year</w:t>
      </w:r>
    </w:p>
    <w:p>
      <w:pPr>
        <w:spacing w:after="0" w:line="18" w:lineRule="exact"/>
        <w:rPr>
          <w:rFonts w:ascii="Arial" w:cs="Arial" w:eastAsia="Arial" w:hAnsi="Arial"/>
          <w:sz w:val="13"/>
          <w:szCs w:val="13"/>
          <w:color w:val="64A70B"/>
        </w:rPr>
      </w:pPr>
    </w:p>
    <w:p>
      <w:pPr>
        <w:ind w:left="196" w:right="200" w:hanging="196"/>
        <w:spacing w:after="0" w:line="301" w:lineRule="auto"/>
        <w:tabs>
          <w:tab w:leader="none" w:pos="152" w:val="left"/>
        </w:tabs>
        <w:numPr>
          <w:ilvl w:val="0"/>
          <w:numId w:val="79"/>
        </w:numPr>
        <w:rPr>
          <w:rFonts w:ascii="Arial" w:cs="Arial" w:eastAsia="Arial" w:hAnsi="Arial"/>
          <w:sz w:val="13"/>
          <w:szCs w:val="13"/>
          <w:color w:val="64A70B"/>
        </w:rPr>
      </w:pPr>
      <w:r>
        <w:rPr>
          <w:rFonts w:ascii="Arial" w:cs="Arial" w:eastAsia="Arial" w:hAnsi="Arial"/>
          <w:sz w:val="16"/>
          <w:szCs w:val="16"/>
          <w:color w:val="auto"/>
        </w:rPr>
        <w:t>Finalized performance measures and weights for upcoming performance periods</w:t>
      </w:r>
    </w:p>
    <w:p>
      <w:pPr>
        <w:spacing w:after="0" w:line="23" w:lineRule="exact"/>
        <w:rPr>
          <w:rFonts w:ascii="Arial" w:cs="Arial" w:eastAsia="Arial" w:hAnsi="Arial"/>
          <w:sz w:val="13"/>
          <w:szCs w:val="13"/>
          <w:color w:val="64A70B"/>
        </w:rPr>
      </w:pPr>
    </w:p>
    <w:p>
      <w:pPr>
        <w:ind w:left="196" w:right="60" w:hanging="196"/>
        <w:spacing w:after="0" w:line="283" w:lineRule="auto"/>
        <w:tabs>
          <w:tab w:leader="none" w:pos="152" w:val="left"/>
        </w:tabs>
        <w:numPr>
          <w:ilvl w:val="0"/>
          <w:numId w:val="79"/>
        </w:numPr>
        <w:rPr>
          <w:rFonts w:ascii="Arial" w:cs="Arial" w:eastAsia="Arial" w:hAnsi="Arial"/>
          <w:sz w:val="13"/>
          <w:szCs w:val="13"/>
          <w:color w:val="64A70B"/>
        </w:rPr>
      </w:pPr>
      <w:r>
        <w:rPr>
          <w:rFonts w:ascii="Arial" w:cs="Arial" w:eastAsia="Arial" w:hAnsi="Arial"/>
          <w:sz w:val="16"/>
          <w:szCs w:val="16"/>
          <w:color w:val="auto"/>
        </w:rPr>
        <w:t>Reviewed preliminary achievement against short- and long-term targets for current performance periods</w:t>
      </w:r>
    </w:p>
    <w:p>
      <w:pPr>
        <w:spacing w:after="0" w:line="36" w:lineRule="exact"/>
        <w:rPr>
          <w:rFonts w:ascii="Arial" w:cs="Arial" w:eastAsia="Arial" w:hAnsi="Arial"/>
          <w:sz w:val="13"/>
          <w:szCs w:val="13"/>
          <w:color w:val="64A70B"/>
        </w:rPr>
      </w:pPr>
    </w:p>
    <w:p>
      <w:pPr>
        <w:ind w:left="196" w:right="60" w:hanging="196"/>
        <w:spacing w:after="0" w:line="292" w:lineRule="auto"/>
        <w:tabs>
          <w:tab w:leader="none" w:pos="152" w:val="left"/>
        </w:tabs>
        <w:numPr>
          <w:ilvl w:val="0"/>
          <w:numId w:val="79"/>
        </w:numPr>
        <w:rPr>
          <w:rFonts w:ascii="Arial" w:cs="Arial" w:eastAsia="Arial" w:hAnsi="Arial"/>
          <w:sz w:val="13"/>
          <w:szCs w:val="13"/>
          <w:color w:val="64A70B"/>
        </w:rPr>
      </w:pPr>
      <w:r>
        <w:rPr>
          <w:rFonts w:ascii="Arial" w:cs="Arial" w:eastAsia="Arial" w:hAnsi="Arial"/>
          <w:sz w:val="16"/>
          <w:szCs w:val="16"/>
          <w:color w:val="auto"/>
        </w:rPr>
        <w:t>Reviewed projected short and long-term incentive plan targets for upcoming performance periods</w:t>
      </w:r>
    </w:p>
    <w:p>
      <w:pPr>
        <w:spacing w:after="0" w:line="30" w:lineRule="exact"/>
        <w:rPr>
          <w:rFonts w:ascii="Arial" w:cs="Arial" w:eastAsia="Arial" w:hAnsi="Arial"/>
          <w:sz w:val="13"/>
          <w:szCs w:val="13"/>
          <w:color w:val="64A70B"/>
        </w:rPr>
      </w:pPr>
    </w:p>
    <w:p>
      <w:pPr>
        <w:ind w:left="196" w:right="460" w:hanging="196"/>
        <w:spacing w:after="0" w:line="321" w:lineRule="auto"/>
        <w:tabs>
          <w:tab w:leader="none" w:pos="152" w:val="left"/>
        </w:tabs>
        <w:numPr>
          <w:ilvl w:val="0"/>
          <w:numId w:val="79"/>
        </w:numPr>
        <w:rPr>
          <w:rFonts w:ascii="Arial" w:cs="Arial" w:eastAsia="Arial" w:hAnsi="Arial"/>
          <w:sz w:val="13"/>
          <w:szCs w:val="13"/>
          <w:color w:val="64A70B"/>
        </w:rPr>
      </w:pPr>
      <w:r>
        <w:rPr>
          <w:rFonts w:ascii="Arial" w:cs="Arial" w:eastAsia="Arial" w:hAnsi="Arial"/>
          <w:sz w:val="16"/>
          <w:szCs w:val="16"/>
          <w:color w:val="auto"/>
        </w:rPr>
        <w:t>Reviewed risk assessment of compensation programs</w:t>
      </w:r>
    </w:p>
    <w:p>
      <w:pPr>
        <w:spacing w:after="0" w:line="7" w:lineRule="exact"/>
        <w:rPr>
          <w:rFonts w:ascii="Arial" w:cs="Arial" w:eastAsia="Arial" w:hAnsi="Arial"/>
          <w:sz w:val="13"/>
          <w:szCs w:val="13"/>
          <w:color w:val="64A70B"/>
        </w:rPr>
      </w:pPr>
    </w:p>
    <w:p>
      <w:pPr>
        <w:ind w:left="196" w:right="760" w:hanging="196"/>
        <w:spacing w:after="0" w:line="304" w:lineRule="auto"/>
        <w:tabs>
          <w:tab w:leader="none" w:pos="152" w:val="left"/>
        </w:tabs>
        <w:numPr>
          <w:ilvl w:val="0"/>
          <w:numId w:val="79"/>
        </w:numPr>
        <w:rPr>
          <w:rFonts w:ascii="Arial" w:cs="Arial" w:eastAsia="Arial" w:hAnsi="Arial"/>
          <w:sz w:val="13"/>
          <w:szCs w:val="13"/>
          <w:color w:val="64A70B"/>
        </w:rPr>
      </w:pPr>
      <w:r>
        <w:rPr>
          <w:rFonts w:ascii="Arial" w:cs="Arial" w:eastAsia="Arial" w:hAnsi="Arial"/>
          <w:sz w:val="16"/>
          <w:szCs w:val="16"/>
          <w:color w:val="auto"/>
        </w:rPr>
        <w:t>Reviewed Compensation Committee Charter</w:t>
      </w:r>
    </w:p>
    <w:p>
      <w:pPr>
        <w:spacing w:after="0" w:line="19" w:lineRule="exact"/>
        <w:rPr>
          <w:rFonts w:ascii="Arial" w:cs="Arial" w:eastAsia="Arial" w:hAnsi="Arial"/>
          <w:sz w:val="13"/>
          <w:szCs w:val="13"/>
          <w:color w:val="64A70B"/>
        </w:rPr>
      </w:pPr>
    </w:p>
    <w:p>
      <w:pPr>
        <w:ind w:left="196" w:right="880" w:hanging="196"/>
        <w:spacing w:after="0" w:line="321" w:lineRule="auto"/>
        <w:tabs>
          <w:tab w:leader="none" w:pos="152" w:val="left"/>
        </w:tabs>
        <w:numPr>
          <w:ilvl w:val="0"/>
          <w:numId w:val="79"/>
        </w:numPr>
        <w:rPr>
          <w:rFonts w:ascii="Arial" w:cs="Arial" w:eastAsia="Arial" w:hAnsi="Arial"/>
          <w:sz w:val="13"/>
          <w:szCs w:val="13"/>
          <w:color w:val="64A70B"/>
        </w:rPr>
      </w:pPr>
      <w:r>
        <w:rPr>
          <w:rFonts w:ascii="Arial" w:cs="Arial" w:eastAsia="Arial" w:hAnsi="Arial"/>
          <w:sz w:val="16"/>
          <w:szCs w:val="16"/>
          <w:color w:val="auto"/>
        </w:rPr>
        <w:t>Annual Committee self-assessment</w:t>
      </w:r>
    </w:p>
    <w:p>
      <w:pPr>
        <w:spacing w:after="0" w:line="200" w:lineRule="exact"/>
        <w:rPr>
          <w:sz w:val="20"/>
          <w:szCs w:val="20"/>
          <w:color w:val="auto"/>
        </w:rPr>
      </w:pPr>
    </w:p>
    <w:p>
      <w:pPr>
        <w:sectPr>
          <w:pgSz w:w="11900" w:h="16838" w:orient="portrait"/>
          <w:cols w:equalWidth="0" w:num="4">
            <w:col w:w="2500" w:space="347"/>
            <w:col w:w="2513" w:space="430"/>
            <w:col w:w="2430" w:space="324"/>
            <w:col w:w="2716"/>
          </w:cols>
          <w:pgMar w:left="320" w:top="179" w:right="319" w:bottom="1440" w:gutter="0" w:footer="0" w:header="0"/>
          <w:type w:val="continuous"/>
        </w:sectPr>
      </w:pPr>
    </w:p>
    <w:p>
      <w:pPr>
        <w:spacing w:after="0" w:line="200" w:lineRule="exact"/>
        <w:rPr>
          <w:sz w:val="20"/>
          <w:szCs w:val="20"/>
          <w:color w:val="auto"/>
        </w:rPr>
      </w:pPr>
    </w:p>
    <w:p>
      <w:pPr>
        <w:spacing w:after="0" w:line="309" w:lineRule="exact"/>
        <w:rPr>
          <w:sz w:val="20"/>
          <w:szCs w:val="20"/>
          <w:color w:val="auto"/>
        </w:rPr>
      </w:pPr>
    </w:p>
    <w:p>
      <w:pPr>
        <w:ind w:left="600" w:hanging="574"/>
        <w:spacing w:after="0"/>
        <w:tabs>
          <w:tab w:leader="none" w:pos="600" w:val="left"/>
        </w:tabs>
        <w:numPr>
          <w:ilvl w:val="0"/>
          <w:numId w:val="80"/>
        </w:numPr>
        <w:rPr>
          <w:rFonts w:ascii="Arial" w:cs="Arial" w:eastAsia="Arial" w:hAnsi="Arial"/>
          <w:sz w:val="16"/>
          <w:szCs w:val="16"/>
          <w:b w:val="1"/>
          <w:bCs w:val="1"/>
          <w:color w:val="auto"/>
        </w:rPr>
      </w:pPr>
      <w:r>
        <w:rPr>
          <w:rFonts w:ascii="Arial" w:cs="Arial" w:eastAsia="Arial" w:hAnsi="Arial"/>
          <w:sz w:val="16"/>
          <w:szCs w:val="16"/>
          <w:color w:val="auto"/>
        </w:rPr>
        <w:t xml:space="preserve">Pentair </w:t>
      </w:r>
      <w:r>
        <w:rPr>
          <w:rFonts w:ascii="Arial" w:cs="Arial" w:eastAsia="Arial" w:hAnsi="Arial"/>
          <w:sz w:val="16"/>
          <w:szCs w:val="16"/>
          <w:b w:val="1"/>
          <w:bCs w:val="1"/>
          <w:color w:val="0C3471"/>
        </w:rPr>
        <w:t>|</w:t>
      </w:r>
      <w:r>
        <w:rPr>
          <w:rFonts w:ascii="Arial" w:cs="Arial" w:eastAsia="Arial" w:hAnsi="Arial"/>
          <w:sz w:val="16"/>
          <w:szCs w:val="16"/>
          <w:color w:val="auto"/>
        </w:rPr>
        <w:t xml:space="preserve"> </w:t>
      </w:r>
      <w:r>
        <w:rPr>
          <w:rFonts w:ascii="Arial" w:cs="Arial" w:eastAsia="Arial" w:hAnsi="Arial"/>
          <w:sz w:val="16"/>
          <w:szCs w:val="16"/>
          <w:b w:val="1"/>
          <w:bCs w:val="1"/>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205105</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79" w:right="319" w:bottom="1440" w:gutter="0" w:footer="0" w:header="0"/>
          <w:type w:val="continuous"/>
        </w:sectPr>
      </w:pPr>
    </w:p>
    <w:bookmarkStart w:id="40" w:name="page41"/>
    <w:bookmarkEnd w:id="40"/>
    <w:p>
      <w:pPr>
        <w:ind w:left="8140"/>
        <w:spacing w:after="0"/>
        <w:rPr>
          <w:sz w:val="20"/>
          <w:szCs w:val="20"/>
          <w:color w:val="auto"/>
        </w:rPr>
      </w:pPr>
      <w:r>
        <w:rPr>
          <w:rFonts w:ascii="Arial" w:cs="Arial" w:eastAsia="Arial" w:hAnsi="Arial"/>
          <w:sz w:val="16"/>
          <w:szCs w:val="16"/>
          <w:b w:val="1"/>
          <w:bCs w:val="1"/>
          <w:color w:val="auto"/>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4659630</wp:posOffset>
            </wp:positionH>
            <wp:positionV relativeFrom="paragraph">
              <wp:posOffset>-107315</wp:posOffset>
            </wp:positionV>
            <wp:extent cx="102870" cy="11176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02870" cy="1117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732155</wp:posOffset>
            </wp:positionV>
            <wp:extent cx="7132320" cy="145732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32320" cy="1457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EVALUATING THE CHIEF EXECUTIVE OFFICER’S PERFORMANCE</w:t>
      </w:r>
    </w:p>
    <w:p>
      <w:pPr>
        <w:spacing w:after="0" w:line="122" w:lineRule="exact"/>
        <w:rPr>
          <w:sz w:val="20"/>
          <w:szCs w:val="20"/>
          <w:color w:val="auto"/>
        </w:rPr>
      </w:pPr>
    </w:p>
    <w:p>
      <w:pPr>
        <w:ind w:left="180" w:right="260"/>
        <w:spacing w:after="0" w:line="282" w:lineRule="auto"/>
        <w:rPr>
          <w:sz w:val="20"/>
          <w:szCs w:val="20"/>
          <w:color w:val="auto"/>
        </w:rPr>
      </w:pPr>
      <w:r>
        <w:rPr>
          <w:rFonts w:ascii="Arial" w:cs="Arial" w:eastAsia="Arial" w:hAnsi="Arial"/>
          <w:sz w:val="16"/>
          <w:szCs w:val="16"/>
          <w:color w:val="auto"/>
        </w:rPr>
        <w:t>As part of the annual performance evaluation, the independent directors on the Board and the Compensation Committee employed a formal process to evaluate Mr. Stauch’s performance in the fall of 2025. Each independent director provided an evaluation of Mr. Stauch’s performance. The Board Chair and the Compensation Committee Chair discussed the evaluation results with the Compensation Committee and independent directors, and the independent directors reviewed and discussed the evaluation results and Mr. Stauch’s compensation in executive session of the Board of Directors meeting. The Board Chair and the Compensation Committee Chair finalized Mr. Stauch’s performance assessment and reviewed the assessment results and commentary with Mr. Stauch. The Compensation Committee determined Mr. Stauch’s compensation and performance targets for the following year.</w:t>
      </w: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Compensation Consultant</w:t>
      </w:r>
    </w:p>
    <w:p>
      <w:pPr>
        <w:spacing w:after="0" w:line="141" w:lineRule="exact"/>
        <w:rPr>
          <w:sz w:val="20"/>
          <w:szCs w:val="20"/>
          <w:color w:val="auto"/>
        </w:rPr>
      </w:pPr>
    </w:p>
    <w:p>
      <w:pPr>
        <w:ind w:right="480"/>
        <w:spacing w:after="0" w:line="292" w:lineRule="auto"/>
        <w:rPr>
          <w:sz w:val="20"/>
          <w:szCs w:val="20"/>
          <w:color w:val="auto"/>
        </w:rPr>
      </w:pPr>
      <w:r>
        <w:rPr>
          <w:rFonts w:ascii="Arial" w:cs="Arial" w:eastAsia="Arial" w:hAnsi="Arial"/>
          <w:sz w:val="16"/>
          <w:szCs w:val="16"/>
          <w:color w:val="auto"/>
        </w:rPr>
        <w:t>The Compensation Committee engages an external compensation consultant to advise the Compensation Committee in implementing and overseeing appropriate compensation programs and policies. The Compensation Committee regularly evaluates the performance of its external compensation consultant and periodically conducts a competitive bid process for the role.</w:t>
      </w:r>
    </w:p>
    <w:p>
      <w:pPr>
        <w:spacing w:after="0" w:line="57" w:lineRule="exact"/>
        <w:rPr>
          <w:sz w:val="20"/>
          <w:szCs w:val="20"/>
          <w:color w:val="auto"/>
        </w:rPr>
      </w:pPr>
    </w:p>
    <w:p>
      <w:pPr>
        <w:ind w:right="20"/>
        <w:spacing w:after="0" w:line="280" w:lineRule="auto"/>
        <w:rPr>
          <w:sz w:val="20"/>
          <w:szCs w:val="20"/>
          <w:color w:val="auto"/>
        </w:rPr>
      </w:pPr>
      <w:r>
        <w:rPr>
          <w:rFonts w:ascii="Arial" w:cs="Arial" w:eastAsia="Arial" w:hAnsi="Arial"/>
          <w:sz w:val="16"/>
          <w:szCs w:val="16"/>
          <w:color w:val="auto"/>
        </w:rPr>
        <w:t>During 2025, the Compensation Committee continued to retain Aon Consulting, an external compensation consultant, to advise the Compensation Committee on executive compensation issues. See “Corporate Governance — Committees of the Board — Compensation Committee.” The Compensation Committee evaluated the independence of Aon Consulting itself and its individual representatives who served as the Compensation Committee’s consultants based on the factors required by the NYSE. Management has retained Aon plc, the parent company of Aon Consulting to provide insurance brokerage and benefit consulting services to us. For the year ended December 31, 2025, we paid Aon plc approximately $1,061,871 for insurance brokerage and benefit consulting services and Aon Consulting approximately $367,156 for executive and non-employee director compensation consulting. The Compensation Committee concluded, based on the evaluation described above, that the services performed by Aon plc with respect to insurance and benefits administration did not raise a conflict of interest or impair Aon Consulting’s ability to provide independent advice regarding executive and non-employee director compensation matters and that Aon Consulting was independent for purposes of the Compensation Committee.</w:t>
      </w:r>
    </w:p>
    <w:p>
      <w:pPr>
        <w:spacing w:after="0" w:line="80" w:lineRule="exact"/>
        <w:rPr>
          <w:sz w:val="20"/>
          <w:szCs w:val="20"/>
          <w:color w:val="auto"/>
        </w:rPr>
      </w:pPr>
    </w:p>
    <w:p>
      <w:pPr>
        <w:ind w:right="220"/>
        <w:spacing w:after="0" w:line="292" w:lineRule="auto"/>
        <w:rPr>
          <w:sz w:val="20"/>
          <w:szCs w:val="20"/>
          <w:color w:val="auto"/>
        </w:rPr>
      </w:pPr>
      <w:r>
        <w:rPr>
          <w:rFonts w:ascii="Arial" w:cs="Arial" w:eastAsia="Arial" w:hAnsi="Arial"/>
          <w:sz w:val="16"/>
          <w:szCs w:val="16"/>
          <w:color w:val="auto"/>
        </w:rPr>
        <w:t>At the direction of the Compensation Committee, Aon Consulting advises the Compensation Committee in implementing and overseeing appropriate compensation programs and policies. As part of this process, Aon Consulting provides the Compensation Committee with comparative market data based on analyses of the practices of the Comparator Group defined below under “Comparative Framework” and relevant survey data.</w:t>
      </w:r>
    </w:p>
    <w:p>
      <w:pPr>
        <w:spacing w:after="0" w:line="71" w:lineRule="exact"/>
        <w:rPr>
          <w:sz w:val="20"/>
          <w:szCs w:val="20"/>
          <w:color w:val="auto"/>
        </w:rPr>
      </w:pPr>
    </w:p>
    <w:p>
      <w:pPr>
        <w:ind w:right="320"/>
        <w:spacing w:after="0" w:line="283" w:lineRule="auto"/>
        <w:rPr>
          <w:sz w:val="20"/>
          <w:szCs w:val="20"/>
          <w:color w:val="auto"/>
        </w:rPr>
      </w:pPr>
      <w:r>
        <w:rPr>
          <w:rFonts w:ascii="Arial" w:cs="Arial" w:eastAsia="Arial" w:hAnsi="Arial"/>
          <w:sz w:val="16"/>
          <w:szCs w:val="16"/>
          <w:color w:val="auto"/>
        </w:rPr>
        <w:t>The comparative market data that Aon Consulting provides addresses the structure of the compensation programs maintained by the Comparator Group companies as well as the amount of compensation they provide. Aon Consulting provides guidance on industry best practices and advises the Compensation Committee in determining appropriate ranges for base salaries, annual incentive compensation and long-term incentive compensation for each senior executive position.</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10780" w:type="dxa"/>
            <w:vAlign w:val="bottom"/>
          </w:tcPr>
          <w:p>
            <w:pPr>
              <w:ind w:left="8260"/>
              <w:spacing w:after="0"/>
              <w:rPr>
                <w:sz w:val="20"/>
                <w:szCs w:val="20"/>
                <w:color w:val="auto"/>
              </w:rPr>
            </w:pPr>
            <w:r>
              <w:rPr>
                <w:rFonts w:ascii="Arial" w:cs="Arial" w:eastAsia="Arial" w:hAnsi="Arial"/>
                <w:sz w:val="16"/>
                <w:szCs w:val="16"/>
                <w:b w:val="1"/>
                <w:bCs w:val="1"/>
                <w:color w:val="auto"/>
              </w:rPr>
              <w:t xml:space="preserve">2026 Proxy Statement </w:t>
            </w:r>
            <w:r>
              <w:rPr>
                <w:rFonts w:ascii="Arial" w:cs="Arial" w:eastAsia="Arial" w:hAnsi="Arial"/>
                <w:sz w:val="16"/>
                <w:szCs w:val="16"/>
                <w:b w:val="1"/>
                <w:bCs w:val="1"/>
                <w:color w:val="0C3471"/>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Pentair</w:t>
            </w:r>
          </w:p>
        </w:tc>
        <w:tc>
          <w:tcPr>
            <w:tcW w:w="460" w:type="dxa"/>
            <w:vAlign w:val="bottom"/>
          </w:tcPr>
          <w:p>
            <w:pPr>
              <w:jc w:val="right"/>
              <w:spacing w:after="0"/>
              <w:rPr>
                <w:sz w:val="20"/>
                <w:szCs w:val="20"/>
                <w:color w:val="auto"/>
              </w:rPr>
            </w:pPr>
            <w:r>
              <w:rPr>
                <w:rFonts w:ascii="Arial" w:cs="Arial" w:eastAsia="Arial" w:hAnsi="Arial"/>
                <w:sz w:val="16"/>
                <w:szCs w:val="16"/>
                <w:b w:val="1"/>
                <w:bCs w:val="1"/>
                <w:color w:val="auto"/>
              </w:rPr>
              <w:t>39</w:t>
            </w:r>
          </w:p>
        </w:tc>
      </w:tr>
      <w:tr>
        <w:trPr>
          <w:trHeight w:val="325"/>
        </w:trPr>
        <w:tc>
          <w:tcPr>
            <w:tcW w:w="107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41" w:name="page42"/>
    <w:bookmarkEnd w:id="41"/>
    <w:p>
      <w:pPr>
        <w:ind w:left="36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216535</wp:posOffset>
            </wp:positionH>
            <wp:positionV relativeFrom="page">
              <wp:posOffset>106045</wp:posOffset>
            </wp:positionV>
            <wp:extent cx="102870" cy="11176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clrChange>
                        <a:clrFrom>
                          <a:srgbClr val="FFFFFF"/>
                        </a:clrFrom>
                        <a:clrTo>
                          <a:srgbClr val="FFFFFF">
                            <a:alpha val="0"/>
                          </a:srgbClr>
                        </a:clrTo>
                      </a:clrChange>
                      <a:extLst>
                        <a:ext uri="{28A0092B-C50C-407E-A947-70E740481C1C}"/>
                      </a:extLst>
                    </a:blip>
                    <a:srcRect/>
                    <a:stretch>
                      <a:fillRect/>
                    </a:stretch>
                  </pic:blipFill>
                  <pic:spPr bwMode="auto">
                    <a:xfrm>
                      <a:off x="0" y="0"/>
                      <a:ext cx="102870" cy="111760"/>
                    </a:xfrm>
                    <a:prstGeom prst="rect">
                      <a:avLst/>
                    </a:prstGeom>
                    <a:noFill/>
                  </pic:spPr>
                </pic:pic>
              </a:graphicData>
            </a:graphic>
          </wp:anchor>
        </w:drawing>
        <w:t>Compensation Discussion and Analysis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20"/>
        <w:spacing w:after="0"/>
        <w:rPr>
          <w:sz w:val="20"/>
          <w:szCs w:val="20"/>
          <w:color w:val="auto"/>
        </w:rPr>
      </w:pPr>
      <w:r>
        <w:rPr>
          <w:rFonts w:ascii="Arial" w:cs="Arial" w:eastAsia="Arial" w:hAnsi="Arial"/>
          <w:sz w:val="29"/>
          <w:szCs w:val="29"/>
          <w:color w:val="64A70B"/>
        </w:rPr>
        <w:t>Comparative Framework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45" w:lineRule="exact"/>
        <w:rPr>
          <w:sz w:val="20"/>
          <w:szCs w:val="20"/>
          <w:color w:val="auto"/>
        </w:rPr>
      </w:pPr>
    </w:p>
    <w:p>
      <w:pPr>
        <w:ind w:right="140"/>
        <w:spacing w:after="0" w:line="251" w:lineRule="auto"/>
        <w:rPr>
          <w:sz w:val="20"/>
          <w:szCs w:val="20"/>
          <w:color w:val="auto"/>
        </w:rPr>
      </w:pPr>
      <w:r>
        <w:rPr>
          <w:rFonts w:ascii="Arial" w:cs="Arial" w:eastAsia="Arial" w:hAnsi="Arial"/>
          <w:sz w:val="16"/>
          <w:szCs w:val="16"/>
          <w:color w:val="auto"/>
        </w:rPr>
        <w:t>In setting compensation for our executive officers, including our Named Executive Officers, the Compensation Committee uses competitive compensation data from an annual total compensation study of selected peer companies and other relevant survey sources to inform its decisions about overall compensation opportunities and specific compensation elements. The Compensation Committee uses multiple reference points when establishing targeted compensation levels. The Compensation Committee applies judgment and discretion in establishing targeted pay levels, taking into account not only competitive market data, but also factors such as company, business unit and individual performance, scope of responsibility, critical needs and skill sets, experience, leadership potential, and succession planning. All companies in our peer group are:</w:t>
      </w:r>
    </w:p>
    <w:p>
      <w:pPr>
        <w:spacing w:after="0" w:line="6" w:lineRule="exact"/>
        <w:rPr>
          <w:sz w:val="20"/>
          <w:szCs w:val="20"/>
          <w:color w:val="auto"/>
        </w:rPr>
      </w:pPr>
    </w:p>
    <w:p>
      <w:pPr>
        <w:ind w:left="160" w:hanging="152"/>
        <w:spacing w:after="0"/>
        <w:tabs>
          <w:tab w:leader="none" w:pos="160" w:val="left"/>
        </w:tabs>
        <w:numPr>
          <w:ilvl w:val="0"/>
          <w:numId w:val="81"/>
        </w:numPr>
        <w:rPr>
          <w:rFonts w:ascii="Arial" w:cs="Arial" w:eastAsia="Arial" w:hAnsi="Arial"/>
          <w:sz w:val="13"/>
          <w:szCs w:val="13"/>
          <w:color w:val="64A70B"/>
        </w:rPr>
      </w:pPr>
      <w:r>
        <w:rPr>
          <w:rFonts w:ascii="Arial" w:cs="Arial" w:eastAsia="Arial" w:hAnsi="Arial"/>
          <w:sz w:val="16"/>
          <w:szCs w:val="16"/>
          <w:color w:val="auto"/>
        </w:rPr>
        <w:t>publicly-traded on a major exchange;</w:t>
      </w:r>
    </w:p>
    <w:p>
      <w:pPr>
        <w:spacing w:after="0" w:line="45" w:lineRule="exact"/>
        <w:rPr>
          <w:rFonts w:ascii="Arial" w:cs="Arial" w:eastAsia="Arial" w:hAnsi="Arial"/>
          <w:sz w:val="13"/>
          <w:szCs w:val="13"/>
          <w:color w:val="64A70B"/>
        </w:rPr>
      </w:pPr>
    </w:p>
    <w:p>
      <w:pPr>
        <w:ind w:left="160" w:hanging="152"/>
        <w:spacing w:after="0"/>
        <w:tabs>
          <w:tab w:leader="none" w:pos="160" w:val="left"/>
        </w:tabs>
        <w:numPr>
          <w:ilvl w:val="0"/>
          <w:numId w:val="81"/>
        </w:numPr>
        <w:rPr>
          <w:rFonts w:ascii="Arial" w:cs="Arial" w:eastAsia="Arial" w:hAnsi="Arial"/>
          <w:sz w:val="13"/>
          <w:szCs w:val="13"/>
          <w:color w:val="64A70B"/>
        </w:rPr>
      </w:pPr>
      <w:r>
        <w:rPr>
          <w:rFonts w:ascii="Arial" w:cs="Arial" w:eastAsia="Arial" w:hAnsi="Arial"/>
          <w:sz w:val="16"/>
          <w:szCs w:val="16"/>
          <w:color w:val="auto"/>
        </w:rPr>
        <w:t>similar in business scope and/or operations to our business units and global in nature; and</w:t>
      </w:r>
    </w:p>
    <w:p>
      <w:pPr>
        <w:spacing w:after="0" w:line="32" w:lineRule="exact"/>
        <w:rPr>
          <w:rFonts w:ascii="Arial" w:cs="Arial" w:eastAsia="Arial" w:hAnsi="Arial"/>
          <w:sz w:val="13"/>
          <w:szCs w:val="13"/>
          <w:color w:val="64A70B"/>
        </w:rPr>
      </w:pPr>
    </w:p>
    <w:p>
      <w:pPr>
        <w:ind w:left="160" w:hanging="152"/>
        <w:spacing w:after="0"/>
        <w:tabs>
          <w:tab w:leader="none" w:pos="160" w:val="left"/>
        </w:tabs>
        <w:numPr>
          <w:ilvl w:val="0"/>
          <w:numId w:val="81"/>
        </w:numPr>
        <w:rPr>
          <w:rFonts w:ascii="Arial" w:cs="Arial" w:eastAsia="Arial" w:hAnsi="Arial"/>
          <w:sz w:val="13"/>
          <w:szCs w:val="13"/>
          <w:color w:val="64A70B"/>
        </w:rPr>
      </w:pPr>
      <w:r>
        <w:rPr>
          <w:rFonts w:ascii="Arial" w:cs="Arial" w:eastAsia="Arial" w:hAnsi="Arial"/>
          <w:sz w:val="16"/>
          <w:szCs w:val="16"/>
          <w:color w:val="auto"/>
        </w:rPr>
        <w:t>range from approximately 1∕2 to 2x our revenue size and in the same competitive sectors.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106680</wp:posOffset>
            </wp:positionV>
            <wp:extent cx="7132320" cy="57467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32320" cy="574675"/>
                    </a:xfrm>
                    <a:prstGeom prst="rect">
                      <a:avLst/>
                    </a:prstGeom>
                    <a:noFill/>
                  </pic:spPr>
                </pic:pic>
              </a:graphicData>
            </a:graphic>
          </wp:anchor>
        </w:drawing>
      </w:r>
    </w:p>
    <w:p>
      <w:pPr>
        <w:spacing w:after="0" w:line="201" w:lineRule="exact"/>
        <w:rPr>
          <w:sz w:val="20"/>
          <w:szCs w:val="20"/>
          <w:color w:val="auto"/>
        </w:rPr>
      </w:pPr>
    </w:p>
    <w:p>
      <w:pPr>
        <w:ind w:left="180" w:right="320"/>
        <w:spacing w:after="0" w:line="259" w:lineRule="auto"/>
        <w:rPr>
          <w:sz w:val="20"/>
          <w:szCs w:val="20"/>
          <w:color w:val="auto"/>
        </w:rPr>
      </w:pPr>
      <w:r>
        <w:rPr>
          <w:rFonts w:ascii="Arial" w:cs="Arial" w:eastAsia="Arial" w:hAnsi="Arial"/>
          <w:sz w:val="16"/>
          <w:szCs w:val="16"/>
          <w:color w:val="auto"/>
        </w:rPr>
        <w:t>In September of 2024, the Committee approved an updated group of companies used for benchmarking purposes in the prior year (the “Comparator Group”) for use in setting target compensation for 2025 for our executive officers, including the Named Executive Officers. The Comparator Group companies had revenues ranging from approximately $2.1 billion to $9.7 billion, with median revenues of approximately $4.3 billion. Added to the peer group were Graco, ITT, Middleby, and Nordson. Removed from the peer group was Enovis.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50"/>
        </w:trPr>
        <w:tc>
          <w:tcPr>
            <w:tcW w:w="340" w:type="dxa"/>
            <w:vAlign w:val="bottom"/>
            <w:shd w:val="clear" w:color="auto" w:fill="CED6E3"/>
          </w:tcPr>
          <w:p>
            <w:pPr>
              <w:spacing w:after="0"/>
              <w:rPr>
                <w:sz w:val="4"/>
                <w:szCs w:val="4"/>
                <w:color w:val="auto"/>
              </w:rPr>
            </w:pPr>
          </w:p>
        </w:tc>
        <w:tc>
          <w:tcPr>
            <w:tcW w:w="3400" w:type="dxa"/>
            <w:vAlign w:val="bottom"/>
            <w:shd w:val="clear" w:color="auto" w:fill="CED6E3"/>
          </w:tcPr>
          <w:p>
            <w:pPr>
              <w:spacing w:after="0"/>
              <w:rPr>
                <w:sz w:val="4"/>
                <w:szCs w:val="4"/>
                <w:color w:val="auto"/>
              </w:rPr>
            </w:pPr>
          </w:p>
        </w:tc>
        <w:tc>
          <w:tcPr>
            <w:tcW w:w="140" w:type="dxa"/>
            <w:vAlign w:val="bottom"/>
          </w:tcPr>
          <w:p>
            <w:pPr>
              <w:spacing w:after="0"/>
              <w:rPr>
                <w:sz w:val="4"/>
                <w:szCs w:val="4"/>
                <w:color w:val="auto"/>
              </w:rPr>
            </w:pPr>
          </w:p>
        </w:tc>
        <w:tc>
          <w:tcPr>
            <w:tcW w:w="3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3620" w:type="dxa"/>
            <w:vAlign w:val="bottom"/>
          </w:tcPr>
          <w:p>
            <w:pPr>
              <w:spacing w:after="0"/>
              <w:rPr>
                <w:sz w:val="4"/>
                <w:szCs w:val="4"/>
                <w:color w:val="auto"/>
              </w:rPr>
            </w:pPr>
          </w:p>
        </w:tc>
      </w:tr>
      <w:tr>
        <w:trPr>
          <w:trHeight w:val="254"/>
        </w:trPr>
        <w:tc>
          <w:tcPr>
            <w:tcW w:w="340" w:type="dxa"/>
            <w:vAlign w:val="bottom"/>
            <w:shd w:val="clear" w:color="auto" w:fill="CED6E3"/>
          </w:tcPr>
          <w:p>
            <w:pPr>
              <w:ind w:left="220"/>
              <w:spacing w:after="0"/>
              <w:rPr>
                <w:sz w:val="20"/>
                <w:szCs w:val="20"/>
                <w:color w:val="auto"/>
              </w:rPr>
            </w:pPr>
            <w:r>
              <w:rPr>
                <w:rFonts w:ascii="Arial" w:cs="Arial" w:eastAsia="Arial" w:hAnsi="Arial"/>
                <w:sz w:val="13"/>
                <w:szCs w:val="13"/>
                <w:color w:val="64A70B"/>
              </w:rPr>
              <w:t>u</w:t>
            </w:r>
          </w:p>
        </w:tc>
        <w:tc>
          <w:tcPr>
            <w:tcW w:w="3400" w:type="dxa"/>
            <w:vAlign w:val="bottom"/>
            <w:shd w:val="clear" w:color="auto" w:fill="CED6E3"/>
          </w:tcPr>
          <w:p>
            <w:pPr>
              <w:ind w:left="40"/>
              <w:spacing w:after="0"/>
              <w:rPr>
                <w:sz w:val="20"/>
                <w:szCs w:val="20"/>
                <w:color w:val="auto"/>
              </w:rPr>
            </w:pPr>
            <w:r>
              <w:rPr>
                <w:rFonts w:ascii="Arial" w:cs="Arial" w:eastAsia="Arial" w:hAnsi="Arial"/>
                <w:sz w:val="16"/>
                <w:szCs w:val="16"/>
                <w:color w:val="auto"/>
              </w:rPr>
              <w:t>Acuity Brands, Inc. (AYI)</w:t>
            </w:r>
          </w:p>
        </w:tc>
        <w:tc>
          <w:tcPr>
            <w:tcW w:w="140" w:type="dxa"/>
            <w:vAlign w:val="bottom"/>
            <w:shd w:val="clear" w:color="auto" w:fill="CED6E3"/>
          </w:tcPr>
          <w:p>
            <w:pPr>
              <w:ind w:left="20"/>
              <w:spacing w:after="0"/>
              <w:rPr>
                <w:sz w:val="20"/>
                <w:szCs w:val="20"/>
                <w:color w:val="auto"/>
              </w:rPr>
            </w:pPr>
            <w:r>
              <w:rPr>
                <w:rFonts w:ascii="Arial" w:cs="Arial" w:eastAsia="Arial" w:hAnsi="Arial"/>
                <w:sz w:val="13"/>
                <w:szCs w:val="13"/>
                <w:color w:val="64A70B"/>
              </w:rPr>
              <w:t>u</w:t>
            </w:r>
          </w:p>
        </w:tc>
        <w:tc>
          <w:tcPr>
            <w:tcW w:w="3600" w:type="dxa"/>
            <w:vAlign w:val="bottom"/>
            <w:shd w:val="clear" w:color="auto" w:fill="CED6E3"/>
          </w:tcPr>
          <w:p>
            <w:pPr>
              <w:ind w:left="40"/>
              <w:spacing w:after="0"/>
              <w:rPr>
                <w:sz w:val="20"/>
                <w:szCs w:val="20"/>
                <w:color w:val="auto"/>
              </w:rPr>
            </w:pPr>
            <w:r>
              <w:rPr>
                <w:rFonts w:ascii="Arial" w:cs="Arial" w:eastAsia="Arial" w:hAnsi="Arial"/>
                <w:sz w:val="16"/>
                <w:szCs w:val="16"/>
                <w:color w:val="auto"/>
              </w:rPr>
              <w:t>Graco Inc (GGG)</w:t>
            </w:r>
          </w:p>
        </w:tc>
        <w:tc>
          <w:tcPr>
            <w:tcW w:w="140" w:type="dxa"/>
            <w:vAlign w:val="bottom"/>
            <w:shd w:val="clear" w:color="auto" w:fill="CED6E3"/>
          </w:tcPr>
          <w:p>
            <w:pPr>
              <w:ind w:left="20"/>
              <w:spacing w:after="0"/>
              <w:rPr>
                <w:sz w:val="20"/>
                <w:szCs w:val="20"/>
                <w:color w:val="auto"/>
              </w:rPr>
            </w:pPr>
            <w:r>
              <w:rPr>
                <w:rFonts w:ascii="Arial" w:cs="Arial" w:eastAsia="Arial" w:hAnsi="Arial"/>
                <w:sz w:val="13"/>
                <w:szCs w:val="13"/>
                <w:color w:val="64A70B"/>
              </w:rPr>
              <w:t>u</w:t>
            </w:r>
          </w:p>
        </w:tc>
        <w:tc>
          <w:tcPr>
            <w:tcW w:w="3620" w:type="dxa"/>
            <w:vAlign w:val="bottom"/>
            <w:shd w:val="clear" w:color="auto" w:fill="CED6E3"/>
          </w:tcPr>
          <w:p>
            <w:pPr>
              <w:ind w:left="40"/>
              <w:spacing w:after="0"/>
              <w:rPr>
                <w:sz w:val="20"/>
                <w:szCs w:val="20"/>
                <w:color w:val="auto"/>
              </w:rPr>
            </w:pPr>
            <w:r>
              <w:rPr>
                <w:rFonts w:ascii="Arial" w:cs="Arial" w:eastAsia="Arial" w:hAnsi="Arial"/>
                <w:sz w:val="16"/>
                <w:szCs w:val="16"/>
                <w:color w:val="auto"/>
              </w:rPr>
              <w:t>Nordson Corp (NDSN)</w:t>
            </w:r>
          </w:p>
        </w:tc>
      </w:tr>
      <w:tr>
        <w:trPr>
          <w:trHeight w:val="216"/>
        </w:trPr>
        <w:tc>
          <w:tcPr>
            <w:tcW w:w="340" w:type="dxa"/>
            <w:vAlign w:val="bottom"/>
            <w:shd w:val="clear" w:color="auto" w:fill="CED6E3"/>
          </w:tcPr>
          <w:p>
            <w:pPr>
              <w:ind w:left="220"/>
              <w:spacing w:after="0"/>
              <w:rPr>
                <w:sz w:val="20"/>
                <w:szCs w:val="20"/>
                <w:color w:val="auto"/>
              </w:rPr>
            </w:pPr>
            <w:r>
              <w:rPr>
                <w:rFonts w:ascii="Arial" w:cs="Arial" w:eastAsia="Arial" w:hAnsi="Arial"/>
                <w:sz w:val="13"/>
                <w:szCs w:val="13"/>
                <w:color w:val="64A70B"/>
              </w:rPr>
              <w:t>u</w:t>
            </w:r>
          </w:p>
        </w:tc>
        <w:tc>
          <w:tcPr>
            <w:tcW w:w="3400" w:type="dxa"/>
            <w:vAlign w:val="bottom"/>
            <w:shd w:val="clear" w:color="auto" w:fill="CED6E3"/>
          </w:tcPr>
          <w:p>
            <w:pPr>
              <w:ind w:left="40"/>
              <w:spacing w:after="0"/>
              <w:rPr>
                <w:sz w:val="20"/>
                <w:szCs w:val="20"/>
                <w:color w:val="auto"/>
              </w:rPr>
            </w:pPr>
            <w:r>
              <w:rPr>
                <w:rFonts w:ascii="Arial" w:cs="Arial" w:eastAsia="Arial" w:hAnsi="Arial"/>
                <w:sz w:val="16"/>
                <w:szCs w:val="16"/>
                <w:color w:val="auto"/>
              </w:rPr>
              <w:t>A.O. Smith Corporation (AOS)</w:t>
            </w:r>
          </w:p>
        </w:tc>
        <w:tc>
          <w:tcPr>
            <w:tcW w:w="140" w:type="dxa"/>
            <w:vAlign w:val="bottom"/>
            <w:shd w:val="clear" w:color="auto" w:fill="CED6E3"/>
          </w:tcPr>
          <w:p>
            <w:pPr>
              <w:ind w:left="20"/>
              <w:spacing w:after="0"/>
              <w:rPr>
                <w:sz w:val="20"/>
                <w:szCs w:val="20"/>
                <w:color w:val="auto"/>
              </w:rPr>
            </w:pPr>
            <w:r>
              <w:rPr>
                <w:rFonts w:ascii="Arial" w:cs="Arial" w:eastAsia="Arial" w:hAnsi="Arial"/>
                <w:sz w:val="13"/>
                <w:szCs w:val="13"/>
                <w:color w:val="64A70B"/>
              </w:rPr>
              <w:t>u</w:t>
            </w:r>
          </w:p>
        </w:tc>
        <w:tc>
          <w:tcPr>
            <w:tcW w:w="3600" w:type="dxa"/>
            <w:vAlign w:val="bottom"/>
            <w:shd w:val="clear" w:color="auto" w:fill="CED6E3"/>
          </w:tcPr>
          <w:p>
            <w:pPr>
              <w:ind w:left="40"/>
              <w:spacing w:after="0"/>
              <w:rPr>
                <w:sz w:val="20"/>
                <w:szCs w:val="20"/>
                <w:color w:val="auto"/>
              </w:rPr>
            </w:pPr>
            <w:r>
              <w:rPr>
                <w:rFonts w:ascii="Arial" w:cs="Arial" w:eastAsia="Arial" w:hAnsi="Arial"/>
                <w:sz w:val="16"/>
                <w:szCs w:val="16"/>
                <w:color w:val="auto"/>
              </w:rPr>
              <w:t>IDEX Corporation (IEX)</w:t>
            </w:r>
          </w:p>
        </w:tc>
        <w:tc>
          <w:tcPr>
            <w:tcW w:w="140" w:type="dxa"/>
            <w:vAlign w:val="bottom"/>
            <w:shd w:val="clear" w:color="auto" w:fill="CED6E3"/>
          </w:tcPr>
          <w:p>
            <w:pPr>
              <w:ind w:left="20"/>
              <w:spacing w:after="0"/>
              <w:rPr>
                <w:sz w:val="20"/>
                <w:szCs w:val="20"/>
                <w:color w:val="auto"/>
              </w:rPr>
            </w:pPr>
            <w:r>
              <w:rPr>
                <w:rFonts w:ascii="Arial" w:cs="Arial" w:eastAsia="Arial" w:hAnsi="Arial"/>
                <w:sz w:val="13"/>
                <w:szCs w:val="13"/>
                <w:color w:val="64A70B"/>
              </w:rPr>
              <w:t>u</w:t>
            </w:r>
          </w:p>
        </w:tc>
        <w:tc>
          <w:tcPr>
            <w:tcW w:w="3620" w:type="dxa"/>
            <w:vAlign w:val="bottom"/>
            <w:shd w:val="clear" w:color="auto" w:fill="CED6E3"/>
          </w:tcPr>
          <w:p>
            <w:pPr>
              <w:ind w:left="40"/>
              <w:spacing w:after="0"/>
              <w:rPr>
                <w:sz w:val="20"/>
                <w:szCs w:val="20"/>
                <w:color w:val="auto"/>
              </w:rPr>
            </w:pPr>
            <w:r>
              <w:rPr>
                <w:rFonts w:ascii="Arial" w:cs="Arial" w:eastAsia="Arial" w:hAnsi="Arial"/>
                <w:sz w:val="16"/>
                <w:szCs w:val="16"/>
                <w:color w:val="auto"/>
              </w:rPr>
              <w:t>Owens Corning (OC)</w:t>
            </w:r>
          </w:p>
        </w:tc>
      </w:tr>
      <w:tr>
        <w:trPr>
          <w:trHeight w:val="229"/>
        </w:trPr>
        <w:tc>
          <w:tcPr>
            <w:tcW w:w="340" w:type="dxa"/>
            <w:vAlign w:val="bottom"/>
            <w:shd w:val="clear" w:color="auto" w:fill="CED6E3"/>
          </w:tcPr>
          <w:p>
            <w:pPr>
              <w:ind w:left="220"/>
              <w:spacing w:after="0"/>
              <w:rPr>
                <w:sz w:val="20"/>
                <w:szCs w:val="20"/>
                <w:color w:val="auto"/>
              </w:rPr>
            </w:pPr>
            <w:r>
              <w:rPr>
                <w:rFonts w:ascii="Arial" w:cs="Arial" w:eastAsia="Arial" w:hAnsi="Arial"/>
                <w:sz w:val="13"/>
                <w:szCs w:val="13"/>
                <w:color w:val="64A70B"/>
              </w:rPr>
              <w:t>u</w:t>
            </w:r>
          </w:p>
        </w:tc>
        <w:tc>
          <w:tcPr>
            <w:tcW w:w="3400" w:type="dxa"/>
            <w:vAlign w:val="bottom"/>
            <w:shd w:val="clear" w:color="auto" w:fill="CED6E3"/>
          </w:tcPr>
          <w:p>
            <w:pPr>
              <w:ind w:left="40"/>
              <w:spacing w:after="0"/>
              <w:rPr>
                <w:sz w:val="20"/>
                <w:szCs w:val="20"/>
                <w:color w:val="auto"/>
              </w:rPr>
            </w:pPr>
            <w:r>
              <w:rPr>
                <w:rFonts w:ascii="Arial" w:cs="Arial" w:eastAsia="Arial" w:hAnsi="Arial"/>
                <w:sz w:val="16"/>
                <w:szCs w:val="16"/>
                <w:color w:val="auto"/>
              </w:rPr>
              <w:t>Crane Company (CR)</w:t>
            </w:r>
          </w:p>
        </w:tc>
        <w:tc>
          <w:tcPr>
            <w:tcW w:w="140" w:type="dxa"/>
            <w:vAlign w:val="bottom"/>
            <w:shd w:val="clear" w:color="auto" w:fill="CED6E3"/>
          </w:tcPr>
          <w:p>
            <w:pPr>
              <w:ind w:left="20"/>
              <w:spacing w:after="0"/>
              <w:rPr>
                <w:sz w:val="20"/>
                <w:szCs w:val="20"/>
                <w:color w:val="auto"/>
              </w:rPr>
            </w:pPr>
            <w:r>
              <w:rPr>
                <w:rFonts w:ascii="Arial" w:cs="Arial" w:eastAsia="Arial" w:hAnsi="Arial"/>
                <w:sz w:val="13"/>
                <w:szCs w:val="13"/>
                <w:color w:val="64A70B"/>
              </w:rPr>
              <w:t>u</w:t>
            </w:r>
          </w:p>
        </w:tc>
        <w:tc>
          <w:tcPr>
            <w:tcW w:w="3600" w:type="dxa"/>
            <w:vAlign w:val="bottom"/>
            <w:shd w:val="clear" w:color="auto" w:fill="CED6E3"/>
          </w:tcPr>
          <w:p>
            <w:pPr>
              <w:ind w:left="40"/>
              <w:spacing w:after="0"/>
              <w:rPr>
                <w:sz w:val="20"/>
                <w:szCs w:val="20"/>
                <w:color w:val="auto"/>
              </w:rPr>
            </w:pPr>
            <w:r>
              <w:rPr>
                <w:rFonts w:ascii="Arial" w:cs="Arial" w:eastAsia="Arial" w:hAnsi="Arial"/>
                <w:sz w:val="16"/>
                <w:szCs w:val="16"/>
                <w:color w:val="auto"/>
              </w:rPr>
              <w:t>Ingersoll Rand Inc. (IR)</w:t>
            </w:r>
          </w:p>
        </w:tc>
        <w:tc>
          <w:tcPr>
            <w:tcW w:w="140" w:type="dxa"/>
            <w:vAlign w:val="bottom"/>
            <w:shd w:val="clear" w:color="auto" w:fill="CED6E3"/>
          </w:tcPr>
          <w:p>
            <w:pPr>
              <w:ind w:left="20"/>
              <w:spacing w:after="0"/>
              <w:rPr>
                <w:sz w:val="20"/>
                <w:szCs w:val="20"/>
                <w:color w:val="auto"/>
              </w:rPr>
            </w:pPr>
            <w:r>
              <w:rPr>
                <w:rFonts w:ascii="Arial" w:cs="Arial" w:eastAsia="Arial" w:hAnsi="Arial"/>
                <w:sz w:val="13"/>
                <w:szCs w:val="13"/>
                <w:color w:val="64A70B"/>
              </w:rPr>
              <w:t>u</w:t>
            </w:r>
          </w:p>
        </w:tc>
        <w:tc>
          <w:tcPr>
            <w:tcW w:w="3620" w:type="dxa"/>
            <w:vAlign w:val="bottom"/>
            <w:shd w:val="clear" w:color="auto" w:fill="CED6E3"/>
          </w:tcPr>
          <w:p>
            <w:pPr>
              <w:ind w:left="40"/>
              <w:spacing w:after="0"/>
              <w:rPr>
                <w:sz w:val="20"/>
                <w:szCs w:val="20"/>
                <w:color w:val="auto"/>
              </w:rPr>
            </w:pPr>
            <w:r>
              <w:rPr>
                <w:rFonts w:ascii="Arial" w:cs="Arial" w:eastAsia="Arial" w:hAnsi="Arial"/>
                <w:sz w:val="16"/>
                <w:szCs w:val="16"/>
                <w:color w:val="auto"/>
              </w:rPr>
              <w:t>Rockwell Automation, Inc. (ROK)</w:t>
            </w:r>
          </w:p>
        </w:tc>
      </w:tr>
      <w:tr>
        <w:trPr>
          <w:trHeight w:val="216"/>
        </w:trPr>
        <w:tc>
          <w:tcPr>
            <w:tcW w:w="340" w:type="dxa"/>
            <w:vAlign w:val="bottom"/>
            <w:shd w:val="clear" w:color="auto" w:fill="CED6E3"/>
          </w:tcPr>
          <w:p>
            <w:pPr>
              <w:ind w:left="220"/>
              <w:spacing w:after="0"/>
              <w:rPr>
                <w:sz w:val="20"/>
                <w:szCs w:val="20"/>
                <w:color w:val="auto"/>
              </w:rPr>
            </w:pPr>
            <w:r>
              <w:rPr>
                <w:rFonts w:ascii="Arial" w:cs="Arial" w:eastAsia="Arial" w:hAnsi="Arial"/>
                <w:sz w:val="13"/>
                <w:szCs w:val="13"/>
                <w:color w:val="64A70B"/>
              </w:rPr>
              <w:t>u</w:t>
            </w:r>
          </w:p>
        </w:tc>
        <w:tc>
          <w:tcPr>
            <w:tcW w:w="3400" w:type="dxa"/>
            <w:vAlign w:val="bottom"/>
            <w:shd w:val="clear" w:color="auto" w:fill="CED6E3"/>
          </w:tcPr>
          <w:p>
            <w:pPr>
              <w:ind w:left="40"/>
              <w:spacing w:after="0"/>
              <w:rPr>
                <w:sz w:val="20"/>
                <w:szCs w:val="20"/>
                <w:color w:val="auto"/>
              </w:rPr>
            </w:pPr>
            <w:r>
              <w:rPr>
                <w:rFonts w:ascii="Arial" w:cs="Arial" w:eastAsia="Arial" w:hAnsi="Arial"/>
                <w:sz w:val="16"/>
                <w:szCs w:val="16"/>
                <w:color w:val="auto"/>
              </w:rPr>
              <w:t>Donaldson Company, Inc. (DCI)</w:t>
            </w:r>
          </w:p>
        </w:tc>
        <w:tc>
          <w:tcPr>
            <w:tcW w:w="140" w:type="dxa"/>
            <w:vAlign w:val="bottom"/>
            <w:shd w:val="clear" w:color="auto" w:fill="CED6E3"/>
          </w:tcPr>
          <w:p>
            <w:pPr>
              <w:ind w:left="20"/>
              <w:spacing w:after="0"/>
              <w:rPr>
                <w:sz w:val="20"/>
                <w:szCs w:val="20"/>
                <w:color w:val="auto"/>
              </w:rPr>
            </w:pPr>
            <w:r>
              <w:rPr>
                <w:rFonts w:ascii="Arial" w:cs="Arial" w:eastAsia="Arial" w:hAnsi="Arial"/>
                <w:sz w:val="13"/>
                <w:szCs w:val="13"/>
                <w:color w:val="64A70B"/>
              </w:rPr>
              <w:t>u</w:t>
            </w:r>
          </w:p>
        </w:tc>
        <w:tc>
          <w:tcPr>
            <w:tcW w:w="3600" w:type="dxa"/>
            <w:vAlign w:val="bottom"/>
            <w:shd w:val="clear" w:color="auto" w:fill="CED6E3"/>
          </w:tcPr>
          <w:p>
            <w:pPr>
              <w:ind w:left="40"/>
              <w:spacing w:after="0"/>
              <w:rPr>
                <w:sz w:val="20"/>
                <w:szCs w:val="20"/>
                <w:color w:val="auto"/>
              </w:rPr>
            </w:pPr>
            <w:r>
              <w:rPr>
                <w:rFonts w:ascii="Arial" w:cs="Arial" w:eastAsia="Arial" w:hAnsi="Arial"/>
                <w:sz w:val="16"/>
                <w:szCs w:val="16"/>
                <w:color w:val="auto"/>
              </w:rPr>
              <w:t>ITT Inc (ITT)</w:t>
            </w:r>
          </w:p>
        </w:tc>
        <w:tc>
          <w:tcPr>
            <w:tcW w:w="140" w:type="dxa"/>
            <w:vAlign w:val="bottom"/>
            <w:shd w:val="clear" w:color="auto" w:fill="CED6E3"/>
          </w:tcPr>
          <w:p>
            <w:pPr>
              <w:ind w:left="20"/>
              <w:spacing w:after="0"/>
              <w:rPr>
                <w:sz w:val="20"/>
                <w:szCs w:val="20"/>
                <w:color w:val="auto"/>
              </w:rPr>
            </w:pPr>
            <w:r>
              <w:rPr>
                <w:rFonts w:ascii="Arial" w:cs="Arial" w:eastAsia="Arial" w:hAnsi="Arial"/>
                <w:sz w:val="13"/>
                <w:szCs w:val="13"/>
                <w:color w:val="64A70B"/>
              </w:rPr>
              <w:t>u</w:t>
            </w:r>
          </w:p>
        </w:tc>
        <w:tc>
          <w:tcPr>
            <w:tcW w:w="3620" w:type="dxa"/>
            <w:vAlign w:val="bottom"/>
            <w:shd w:val="clear" w:color="auto" w:fill="CED6E3"/>
          </w:tcPr>
          <w:p>
            <w:pPr>
              <w:ind w:left="40"/>
              <w:spacing w:after="0"/>
              <w:rPr>
                <w:sz w:val="20"/>
                <w:szCs w:val="20"/>
                <w:color w:val="auto"/>
              </w:rPr>
            </w:pPr>
            <w:r>
              <w:rPr>
                <w:rFonts w:ascii="Arial" w:cs="Arial" w:eastAsia="Arial" w:hAnsi="Arial"/>
                <w:sz w:val="16"/>
                <w:szCs w:val="16"/>
                <w:color w:val="auto"/>
              </w:rPr>
              <w:t>Snap-on Incorporated (SNA)</w:t>
            </w:r>
          </w:p>
        </w:tc>
      </w:tr>
      <w:tr>
        <w:trPr>
          <w:trHeight w:val="230"/>
        </w:trPr>
        <w:tc>
          <w:tcPr>
            <w:tcW w:w="340" w:type="dxa"/>
            <w:vAlign w:val="bottom"/>
            <w:shd w:val="clear" w:color="auto" w:fill="CED6E3"/>
          </w:tcPr>
          <w:p>
            <w:pPr>
              <w:ind w:left="220"/>
              <w:spacing w:after="0"/>
              <w:rPr>
                <w:sz w:val="20"/>
                <w:szCs w:val="20"/>
                <w:color w:val="auto"/>
              </w:rPr>
            </w:pPr>
            <w:r>
              <w:rPr>
                <w:rFonts w:ascii="Arial" w:cs="Arial" w:eastAsia="Arial" w:hAnsi="Arial"/>
                <w:sz w:val="13"/>
                <w:szCs w:val="13"/>
                <w:color w:val="64A70B"/>
              </w:rPr>
              <w:t>u</w:t>
            </w:r>
          </w:p>
        </w:tc>
        <w:tc>
          <w:tcPr>
            <w:tcW w:w="3400" w:type="dxa"/>
            <w:vAlign w:val="bottom"/>
            <w:shd w:val="clear" w:color="auto" w:fill="CED6E3"/>
          </w:tcPr>
          <w:p>
            <w:pPr>
              <w:ind w:left="40"/>
              <w:spacing w:after="0"/>
              <w:rPr>
                <w:sz w:val="20"/>
                <w:szCs w:val="20"/>
                <w:color w:val="auto"/>
              </w:rPr>
            </w:pPr>
            <w:r>
              <w:rPr>
                <w:rFonts w:ascii="Arial" w:cs="Arial" w:eastAsia="Arial" w:hAnsi="Arial"/>
                <w:sz w:val="16"/>
                <w:szCs w:val="16"/>
                <w:color w:val="auto"/>
              </w:rPr>
              <w:t>Dover Corporation (DOV)</w:t>
            </w:r>
          </w:p>
        </w:tc>
        <w:tc>
          <w:tcPr>
            <w:tcW w:w="140" w:type="dxa"/>
            <w:vAlign w:val="bottom"/>
            <w:shd w:val="clear" w:color="auto" w:fill="CED6E3"/>
          </w:tcPr>
          <w:p>
            <w:pPr>
              <w:ind w:left="20"/>
              <w:spacing w:after="0"/>
              <w:rPr>
                <w:sz w:val="20"/>
                <w:szCs w:val="20"/>
                <w:color w:val="auto"/>
              </w:rPr>
            </w:pPr>
            <w:r>
              <w:rPr>
                <w:rFonts w:ascii="Arial" w:cs="Arial" w:eastAsia="Arial" w:hAnsi="Arial"/>
                <w:sz w:val="13"/>
                <w:szCs w:val="13"/>
                <w:color w:val="64A70B"/>
              </w:rPr>
              <w:t>u</w:t>
            </w:r>
          </w:p>
        </w:tc>
        <w:tc>
          <w:tcPr>
            <w:tcW w:w="3600" w:type="dxa"/>
            <w:vAlign w:val="bottom"/>
            <w:shd w:val="clear" w:color="auto" w:fill="CED6E3"/>
          </w:tcPr>
          <w:p>
            <w:pPr>
              <w:ind w:left="40"/>
              <w:spacing w:after="0"/>
              <w:rPr>
                <w:sz w:val="20"/>
                <w:szCs w:val="20"/>
                <w:color w:val="auto"/>
              </w:rPr>
            </w:pPr>
            <w:r>
              <w:rPr>
                <w:rFonts w:ascii="Arial" w:cs="Arial" w:eastAsia="Arial" w:hAnsi="Arial"/>
                <w:sz w:val="16"/>
                <w:szCs w:val="16"/>
                <w:color w:val="auto"/>
              </w:rPr>
              <w:t>Lennox International Inc. (LII)</w:t>
            </w:r>
          </w:p>
        </w:tc>
        <w:tc>
          <w:tcPr>
            <w:tcW w:w="140" w:type="dxa"/>
            <w:vAlign w:val="bottom"/>
            <w:shd w:val="clear" w:color="auto" w:fill="CED6E3"/>
          </w:tcPr>
          <w:p>
            <w:pPr>
              <w:ind w:left="20"/>
              <w:spacing w:after="0"/>
              <w:rPr>
                <w:sz w:val="20"/>
                <w:szCs w:val="20"/>
                <w:color w:val="auto"/>
              </w:rPr>
            </w:pPr>
            <w:r>
              <w:rPr>
                <w:rFonts w:ascii="Arial" w:cs="Arial" w:eastAsia="Arial" w:hAnsi="Arial"/>
                <w:sz w:val="13"/>
                <w:szCs w:val="13"/>
                <w:color w:val="64A70B"/>
              </w:rPr>
              <w:t>u</w:t>
            </w:r>
          </w:p>
        </w:tc>
        <w:tc>
          <w:tcPr>
            <w:tcW w:w="3620" w:type="dxa"/>
            <w:vAlign w:val="bottom"/>
            <w:shd w:val="clear" w:color="auto" w:fill="CED6E3"/>
          </w:tcPr>
          <w:p>
            <w:pPr>
              <w:ind w:left="40"/>
              <w:spacing w:after="0"/>
              <w:rPr>
                <w:sz w:val="20"/>
                <w:szCs w:val="20"/>
                <w:color w:val="auto"/>
              </w:rPr>
            </w:pPr>
            <w:r>
              <w:rPr>
                <w:rFonts w:ascii="Arial" w:cs="Arial" w:eastAsia="Arial" w:hAnsi="Arial"/>
                <w:sz w:val="16"/>
                <w:szCs w:val="16"/>
                <w:color w:val="auto"/>
              </w:rPr>
              <w:t>The Timken Company (TKR)</w:t>
            </w:r>
          </w:p>
        </w:tc>
      </w:tr>
      <w:tr>
        <w:trPr>
          <w:trHeight w:val="216"/>
        </w:trPr>
        <w:tc>
          <w:tcPr>
            <w:tcW w:w="340" w:type="dxa"/>
            <w:vAlign w:val="bottom"/>
            <w:shd w:val="clear" w:color="auto" w:fill="CED6E3"/>
          </w:tcPr>
          <w:p>
            <w:pPr>
              <w:ind w:left="220"/>
              <w:spacing w:after="0"/>
              <w:rPr>
                <w:sz w:val="20"/>
                <w:szCs w:val="20"/>
                <w:color w:val="auto"/>
              </w:rPr>
            </w:pPr>
            <w:r>
              <w:rPr>
                <w:rFonts w:ascii="Arial" w:cs="Arial" w:eastAsia="Arial" w:hAnsi="Arial"/>
                <w:sz w:val="13"/>
                <w:szCs w:val="13"/>
                <w:color w:val="64A70B"/>
              </w:rPr>
              <w:t>u</w:t>
            </w:r>
          </w:p>
        </w:tc>
        <w:tc>
          <w:tcPr>
            <w:tcW w:w="3400" w:type="dxa"/>
            <w:vAlign w:val="bottom"/>
            <w:shd w:val="clear" w:color="auto" w:fill="CED6E3"/>
          </w:tcPr>
          <w:p>
            <w:pPr>
              <w:ind w:left="40"/>
              <w:spacing w:after="0"/>
              <w:rPr>
                <w:sz w:val="20"/>
                <w:szCs w:val="20"/>
                <w:color w:val="auto"/>
              </w:rPr>
            </w:pPr>
            <w:r>
              <w:rPr>
                <w:rFonts w:ascii="Arial" w:cs="Arial" w:eastAsia="Arial" w:hAnsi="Arial"/>
                <w:sz w:val="16"/>
                <w:szCs w:val="16"/>
                <w:color w:val="auto"/>
              </w:rPr>
              <w:t>Flowserve Corporation (FLS)</w:t>
            </w:r>
          </w:p>
        </w:tc>
        <w:tc>
          <w:tcPr>
            <w:tcW w:w="140" w:type="dxa"/>
            <w:vAlign w:val="bottom"/>
            <w:shd w:val="clear" w:color="auto" w:fill="CED6E3"/>
          </w:tcPr>
          <w:p>
            <w:pPr>
              <w:ind w:left="20"/>
              <w:spacing w:after="0"/>
              <w:rPr>
                <w:sz w:val="20"/>
                <w:szCs w:val="20"/>
                <w:color w:val="auto"/>
              </w:rPr>
            </w:pPr>
            <w:r>
              <w:rPr>
                <w:rFonts w:ascii="Arial" w:cs="Arial" w:eastAsia="Arial" w:hAnsi="Arial"/>
                <w:sz w:val="13"/>
                <w:szCs w:val="13"/>
                <w:color w:val="64A70B"/>
              </w:rPr>
              <w:t>u</w:t>
            </w:r>
          </w:p>
        </w:tc>
        <w:tc>
          <w:tcPr>
            <w:tcW w:w="3600" w:type="dxa"/>
            <w:vAlign w:val="bottom"/>
            <w:shd w:val="clear" w:color="auto" w:fill="CED6E3"/>
          </w:tcPr>
          <w:p>
            <w:pPr>
              <w:ind w:left="40"/>
              <w:spacing w:after="0"/>
              <w:rPr>
                <w:sz w:val="20"/>
                <w:szCs w:val="20"/>
                <w:color w:val="auto"/>
              </w:rPr>
            </w:pPr>
            <w:r>
              <w:rPr>
                <w:rFonts w:ascii="Arial" w:cs="Arial" w:eastAsia="Arial" w:hAnsi="Arial"/>
                <w:sz w:val="16"/>
                <w:szCs w:val="16"/>
                <w:color w:val="auto"/>
              </w:rPr>
              <w:t>Lincoln Electric Holdings, Inc. (LECO)</w:t>
            </w:r>
          </w:p>
        </w:tc>
        <w:tc>
          <w:tcPr>
            <w:tcW w:w="140" w:type="dxa"/>
            <w:vAlign w:val="bottom"/>
            <w:shd w:val="clear" w:color="auto" w:fill="CED6E3"/>
          </w:tcPr>
          <w:p>
            <w:pPr>
              <w:ind w:left="20"/>
              <w:spacing w:after="0"/>
              <w:rPr>
                <w:sz w:val="20"/>
                <w:szCs w:val="20"/>
                <w:color w:val="auto"/>
              </w:rPr>
            </w:pPr>
            <w:r>
              <w:rPr>
                <w:rFonts w:ascii="Arial" w:cs="Arial" w:eastAsia="Arial" w:hAnsi="Arial"/>
                <w:sz w:val="13"/>
                <w:szCs w:val="13"/>
                <w:color w:val="64A70B"/>
              </w:rPr>
              <w:t>u</w:t>
            </w:r>
          </w:p>
        </w:tc>
        <w:tc>
          <w:tcPr>
            <w:tcW w:w="3620" w:type="dxa"/>
            <w:vAlign w:val="bottom"/>
            <w:shd w:val="clear" w:color="auto" w:fill="CED6E3"/>
          </w:tcPr>
          <w:p>
            <w:pPr>
              <w:ind w:left="40"/>
              <w:spacing w:after="0"/>
              <w:rPr>
                <w:sz w:val="20"/>
                <w:szCs w:val="20"/>
                <w:color w:val="auto"/>
              </w:rPr>
            </w:pPr>
            <w:r>
              <w:rPr>
                <w:rFonts w:ascii="Arial" w:cs="Arial" w:eastAsia="Arial" w:hAnsi="Arial"/>
                <w:sz w:val="16"/>
                <w:szCs w:val="16"/>
                <w:color w:val="auto"/>
              </w:rPr>
              <w:t>Valmont Industries, Inc. (VMI)</w:t>
            </w:r>
          </w:p>
        </w:tc>
      </w:tr>
      <w:tr>
        <w:trPr>
          <w:trHeight w:val="229"/>
        </w:trPr>
        <w:tc>
          <w:tcPr>
            <w:tcW w:w="340" w:type="dxa"/>
            <w:vAlign w:val="bottom"/>
            <w:shd w:val="clear" w:color="auto" w:fill="CED6E3"/>
          </w:tcPr>
          <w:p>
            <w:pPr>
              <w:ind w:left="220"/>
              <w:spacing w:after="0"/>
              <w:rPr>
                <w:sz w:val="20"/>
                <w:szCs w:val="20"/>
                <w:color w:val="auto"/>
              </w:rPr>
            </w:pPr>
            <w:r>
              <w:rPr>
                <w:rFonts w:ascii="Arial" w:cs="Arial" w:eastAsia="Arial" w:hAnsi="Arial"/>
                <w:sz w:val="13"/>
                <w:szCs w:val="13"/>
                <w:color w:val="64A70B"/>
              </w:rPr>
              <w:t>u</w:t>
            </w:r>
          </w:p>
        </w:tc>
        <w:tc>
          <w:tcPr>
            <w:tcW w:w="3400" w:type="dxa"/>
            <w:vAlign w:val="bottom"/>
            <w:shd w:val="clear" w:color="auto" w:fill="CED6E3"/>
          </w:tcPr>
          <w:p>
            <w:pPr>
              <w:ind w:left="40"/>
              <w:spacing w:after="0"/>
              <w:rPr>
                <w:sz w:val="20"/>
                <w:szCs w:val="20"/>
                <w:color w:val="auto"/>
              </w:rPr>
            </w:pPr>
            <w:r>
              <w:rPr>
                <w:rFonts w:ascii="Arial" w:cs="Arial" w:eastAsia="Arial" w:hAnsi="Arial"/>
                <w:sz w:val="16"/>
                <w:szCs w:val="16"/>
                <w:color w:val="auto"/>
              </w:rPr>
              <w:t>Fortive Corporation (FTV)</w:t>
            </w:r>
          </w:p>
        </w:tc>
        <w:tc>
          <w:tcPr>
            <w:tcW w:w="140" w:type="dxa"/>
            <w:vAlign w:val="bottom"/>
            <w:shd w:val="clear" w:color="auto" w:fill="CED6E3"/>
          </w:tcPr>
          <w:p>
            <w:pPr>
              <w:ind w:left="20"/>
              <w:spacing w:after="0"/>
              <w:rPr>
                <w:sz w:val="20"/>
                <w:szCs w:val="20"/>
                <w:color w:val="auto"/>
              </w:rPr>
            </w:pPr>
            <w:r>
              <w:rPr>
                <w:rFonts w:ascii="Arial" w:cs="Arial" w:eastAsia="Arial" w:hAnsi="Arial"/>
                <w:sz w:val="13"/>
                <w:szCs w:val="13"/>
                <w:color w:val="64A70B"/>
              </w:rPr>
              <w:t>u</w:t>
            </w:r>
          </w:p>
        </w:tc>
        <w:tc>
          <w:tcPr>
            <w:tcW w:w="3600" w:type="dxa"/>
            <w:vAlign w:val="bottom"/>
            <w:shd w:val="clear" w:color="auto" w:fill="CED6E3"/>
          </w:tcPr>
          <w:p>
            <w:pPr>
              <w:ind w:left="40"/>
              <w:spacing w:after="0"/>
              <w:rPr>
                <w:sz w:val="20"/>
                <w:szCs w:val="20"/>
                <w:color w:val="auto"/>
              </w:rPr>
            </w:pPr>
            <w:r>
              <w:rPr>
                <w:rFonts w:ascii="Arial" w:cs="Arial" w:eastAsia="Arial" w:hAnsi="Arial"/>
                <w:sz w:val="16"/>
                <w:szCs w:val="16"/>
                <w:color w:val="auto"/>
              </w:rPr>
              <w:t>Masco Corporation (MAS)</w:t>
            </w:r>
          </w:p>
        </w:tc>
        <w:tc>
          <w:tcPr>
            <w:tcW w:w="140" w:type="dxa"/>
            <w:vAlign w:val="bottom"/>
            <w:shd w:val="clear" w:color="auto" w:fill="CED6E3"/>
          </w:tcPr>
          <w:p>
            <w:pPr>
              <w:ind w:left="20"/>
              <w:spacing w:after="0"/>
              <w:rPr>
                <w:sz w:val="20"/>
                <w:szCs w:val="20"/>
                <w:color w:val="auto"/>
              </w:rPr>
            </w:pPr>
            <w:r>
              <w:rPr>
                <w:rFonts w:ascii="Arial" w:cs="Arial" w:eastAsia="Arial" w:hAnsi="Arial"/>
                <w:sz w:val="13"/>
                <w:szCs w:val="13"/>
                <w:color w:val="64A70B"/>
              </w:rPr>
              <w:t>u</w:t>
            </w:r>
          </w:p>
        </w:tc>
        <w:tc>
          <w:tcPr>
            <w:tcW w:w="3620" w:type="dxa"/>
            <w:vAlign w:val="bottom"/>
            <w:shd w:val="clear" w:color="auto" w:fill="CED6E3"/>
          </w:tcPr>
          <w:p>
            <w:pPr>
              <w:ind w:left="40"/>
              <w:spacing w:after="0"/>
              <w:rPr>
                <w:sz w:val="20"/>
                <w:szCs w:val="20"/>
                <w:color w:val="auto"/>
              </w:rPr>
            </w:pPr>
            <w:r>
              <w:rPr>
                <w:rFonts w:ascii="Arial" w:cs="Arial" w:eastAsia="Arial" w:hAnsi="Arial"/>
                <w:sz w:val="16"/>
                <w:szCs w:val="16"/>
                <w:color w:val="auto"/>
              </w:rPr>
              <w:t>Xylem Inc. (XYL)</w:t>
            </w:r>
          </w:p>
        </w:tc>
      </w:tr>
      <w:tr>
        <w:trPr>
          <w:trHeight w:val="216"/>
        </w:trPr>
        <w:tc>
          <w:tcPr>
            <w:tcW w:w="340" w:type="dxa"/>
            <w:vAlign w:val="bottom"/>
            <w:shd w:val="clear" w:color="auto" w:fill="CED6E3"/>
          </w:tcPr>
          <w:p>
            <w:pPr>
              <w:ind w:left="220"/>
              <w:spacing w:after="0"/>
              <w:rPr>
                <w:sz w:val="20"/>
                <w:szCs w:val="20"/>
                <w:color w:val="auto"/>
              </w:rPr>
            </w:pPr>
            <w:r>
              <w:rPr>
                <w:rFonts w:ascii="Arial" w:cs="Arial" w:eastAsia="Arial" w:hAnsi="Arial"/>
                <w:sz w:val="13"/>
                <w:szCs w:val="13"/>
                <w:color w:val="64A70B"/>
              </w:rPr>
              <w:t>u</w:t>
            </w:r>
          </w:p>
        </w:tc>
        <w:tc>
          <w:tcPr>
            <w:tcW w:w="3400" w:type="dxa"/>
            <w:vAlign w:val="bottom"/>
            <w:shd w:val="clear" w:color="auto" w:fill="CED6E3"/>
          </w:tcPr>
          <w:p>
            <w:pPr>
              <w:ind w:left="40"/>
              <w:spacing w:after="0"/>
              <w:rPr>
                <w:sz w:val="20"/>
                <w:szCs w:val="20"/>
                <w:color w:val="auto"/>
              </w:rPr>
            </w:pPr>
            <w:r>
              <w:rPr>
                <w:rFonts w:ascii="Arial" w:cs="Arial" w:eastAsia="Arial" w:hAnsi="Arial"/>
                <w:sz w:val="16"/>
                <w:szCs w:val="16"/>
                <w:color w:val="auto"/>
              </w:rPr>
              <w:t>Fortune Brands Innovations, Inc. (FBIN)</w:t>
            </w:r>
          </w:p>
        </w:tc>
        <w:tc>
          <w:tcPr>
            <w:tcW w:w="140" w:type="dxa"/>
            <w:vAlign w:val="bottom"/>
            <w:shd w:val="clear" w:color="auto" w:fill="CED6E3"/>
          </w:tcPr>
          <w:p>
            <w:pPr>
              <w:ind w:left="20"/>
              <w:spacing w:after="0"/>
              <w:rPr>
                <w:sz w:val="20"/>
                <w:szCs w:val="20"/>
                <w:color w:val="auto"/>
              </w:rPr>
            </w:pPr>
            <w:r>
              <w:rPr>
                <w:rFonts w:ascii="Arial" w:cs="Arial" w:eastAsia="Arial" w:hAnsi="Arial"/>
                <w:sz w:val="13"/>
                <w:szCs w:val="13"/>
                <w:color w:val="64A70B"/>
              </w:rPr>
              <w:t>u</w:t>
            </w:r>
          </w:p>
        </w:tc>
        <w:tc>
          <w:tcPr>
            <w:tcW w:w="3600" w:type="dxa"/>
            <w:vAlign w:val="bottom"/>
            <w:shd w:val="clear" w:color="auto" w:fill="CED6E3"/>
          </w:tcPr>
          <w:p>
            <w:pPr>
              <w:ind w:left="40"/>
              <w:spacing w:after="0"/>
              <w:rPr>
                <w:sz w:val="20"/>
                <w:szCs w:val="20"/>
                <w:color w:val="auto"/>
              </w:rPr>
            </w:pPr>
            <w:r>
              <w:rPr>
                <w:rFonts w:ascii="Arial" w:cs="Arial" w:eastAsia="Arial" w:hAnsi="Arial"/>
                <w:sz w:val="16"/>
                <w:szCs w:val="16"/>
                <w:color w:val="auto"/>
              </w:rPr>
              <w:t>Middleby Corp (MIDD)</w:t>
            </w:r>
          </w:p>
        </w:tc>
        <w:tc>
          <w:tcPr>
            <w:tcW w:w="140" w:type="dxa"/>
            <w:vAlign w:val="bottom"/>
            <w:shd w:val="clear" w:color="auto" w:fill="CED6E3"/>
          </w:tcPr>
          <w:p>
            <w:pPr>
              <w:spacing w:after="0"/>
              <w:rPr>
                <w:sz w:val="18"/>
                <w:szCs w:val="18"/>
                <w:color w:val="auto"/>
              </w:rPr>
            </w:pPr>
          </w:p>
        </w:tc>
        <w:tc>
          <w:tcPr>
            <w:tcW w:w="3620" w:type="dxa"/>
            <w:vAlign w:val="bottom"/>
            <w:shd w:val="clear" w:color="auto" w:fill="CED6E3"/>
          </w:tcPr>
          <w:p>
            <w:pPr>
              <w:spacing w:after="0"/>
              <w:rPr>
                <w:sz w:val="18"/>
                <w:szCs w:val="18"/>
                <w:color w:val="auto"/>
              </w:rPr>
            </w:pPr>
          </w:p>
        </w:tc>
      </w:tr>
      <w:tr>
        <w:trPr>
          <w:trHeight w:val="110"/>
        </w:trPr>
        <w:tc>
          <w:tcPr>
            <w:tcW w:w="340" w:type="dxa"/>
            <w:vAlign w:val="bottom"/>
            <w:shd w:val="clear" w:color="auto" w:fill="CED6E3"/>
          </w:tcPr>
          <w:p>
            <w:pPr>
              <w:spacing w:after="0"/>
              <w:rPr>
                <w:sz w:val="9"/>
                <w:szCs w:val="9"/>
                <w:color w:val="auto"/>
              </w:rPr>
            </w:pPr>
          </w:p>
        </w:tc>
        <w:tc>
          <w:tcPr>
            <w:tcW w:w="3400" w:type="dxa"/>
            <w:vAlign w:val="bottom"/>
            <w:shd w:val="clear" w:color="auto" w:fill="CED6E3"/>
          </w:tcPr>
          <w:p>
            <w:pPr>
              <w:spacing w:after="0"/>
              <w:rPr>
                <w:sz w:val="9"/>
                <w:szCs w:val="9"/>
                <w:color w:val="auto"/>
              </w:rPr>
            </w:pPr>
          </w:p>
        </w:tc>
        <w:tc>
          <w:tcPr>
            <w:tcW w:w="140" w:type="dxa"/>
            <w:vAlign w:val="bottom"/>
            <w:shd w:val="clear" w:color="auto" w:fill="CED6E3"/>
          </w:tcPr>
          <w:p>
            <w:pPr>
              <w:spacing w:after="0"/>
              <w:rPr>
                <w:sz w:val="9"/>
                <w:szCs w:val="9"/>
                <w:color w:val="auto"/>
              </w:rPr>
            </w:pPr>
          </w:p>
        </w:tc>
        <w:tc>
          <w:tcPr>
            <w:tcW w:w="3600" w:type="dxa"/>
            <w:vAlign w:val="bottom"/>
            <w:shd w:val="clear" w:color="auto" w:fill="CED6E3"/>
          </w:tcPr>
          <w:p>
            <w:pPr>
              <w:spacing w:after="0"/>
              <w:rPr>
                <w:sz w:val="9"/>
                <w:szCs w:val="9"/>
                <w:color w:val="auto"/>
              </w:rPr>
            </w:pPr>
          </w:p>
        </w:tc>
        <w:tc>
          <w:tcPr>
            <w:tcW w:w="140" w:type="dxa"/>
            <w:vAlign w:val="bottom"/>
            <w:shd w:val="clear" w:color="auto" w:fill="CED6E3"/>
          </w:tcPr>
          <w:p>
            <w:pPr>
              <w:spacing w:after="0"/>
              <w:rPr>
                <w:sz w:val="9"/>
                <w:szCs w:val="9"/>
                <w:color w:val="auto"/>
              </w:rPr>
            </w:pPr>
          </w:p>
        </w:tc>
        <w:tc>
          <w:tcPr>
            <w:tcW w:w="3620" w:type="dxa"/>
            <w:vAlign w:val="bottom"/>
            <w:shd w:val="clear" w:color="auto" w:fill="CED6E3"/>
          </w:tcPr>
          <w:p>
            <w:pPr>
              <w:spacing w:after="0"/>
              <w:rPr>
                <w:sz w:val="9"/>
                <w:szCs w:val="9"/>
                <w:color w:val="auto"/>
              </w:rPr>
            </w:pPr>
          </w:p>
        </w:tc>
      </w:tr>
    </w:tbl>
    <w:p>
      <w:pPr>
        <w:spacing w:after="0" w:line="170" w:lineRule="exact"/>
        <w:rPr>
          <w:sz w:val="20"/>
          <w:szCs w:val="20"/>
          <w:color w:val="auto"/>
        </w:rPr>
      </w:pPr>
    </w:p>
    <w:p>
      <w:pPr>
        <w:ind w:left="20"/>
        <w:spacing w:after="0"/>
        <w:rPr>
          <w:sz w:val="20"/>
          <w:szCs w:val="20"/>
          <w:color w:val="auto"/>
        </w:rPr>
      </w:pPr>
      <w:r>
        <w:rPr>
          <w:rFonts w:ascii="Arial" w:cs="Arial" w:eastAsia="Arial" w:hAnsi="Arial"/>
          <w:sz w:val="29"/>
          <w:szCs w:val="29"/>
          <w:color w:val="64A70B"/>
        </w:rPr>
        <w:t>Shareholder Outreach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32" w:lineRule="exact"/>
        <w:rPr>
          <w:sz w:val="20"/>
          <w:szCs w:val="20"/>
          <w:color w:val="auto"/>
        </w:rPr>
      </w:pPr>
    </w:p>
    <w:p>
      <w:pPr>
        <w:ind w:right="40"/>
        <w:spacing w:after="0" w:line="266" w:lineRule="auto"/>
        <w:rPr>
          <w:sz w:val="20"/>
          <w:szCs w:val="20"/>
          <w:color w:val="auto"/>
        </w:rPr>
      </w:pPr>
      <w:r>
        <w:rPr>
          <w:rFonts w:ascii="Arial" w:cs="Arial" w:eastAsia="Arial" w:hAnsi="Arial"/>
          <w:sz w:val="16"/>
          <w:szCs w:val="16"/>
          <w:color w:val="auto"/>
        </w:rPr>
        <w:t>The Compensation Committee believes it is important to maintain an open dialogue with our shareholders to gain input on their perspectives regarding our governance and our executive compensation program and to provide clarifying information enabling them to make informed decisions in our annual advisory shareholder vote on the compensation of our executive officers named in our Proxy Statement.</w:t>
      </w:r>
    </w:p>
    <w:p>
      <w:pPr>
        <w:spacing w:after="0" w:line="9" w:lineRule="exact"/>
        <w:rPr>
          <w:sz w:val="20"/>
          <w:szCs w:val="20"/>
          <w:color w:val="auto"/>
        </w:rPr>
      </w:pPr>
    </w:p>
    <w:p>
      <w:pPr>
        <w:ind w:right="540"/>
        <w:spacing w:after="0" w:line="272" w:lineRule="auto"/>
        <w:rPr>
          <w:sz w:val="20"/>
          <w:szCs w:val="20"/>
          <w:color w:val="auto"/>
        </w:rPr>
      </w:pPr>
      <w:r>
        <w:rPr>
          <w:rFonts w:ascii="Arial" w:cs="Arial" w:eastAsia="Arial" w:hAnsi="Arial"/>
          <w:sz w:val="16"/>
          <w:szCs w:val="16"/>
          <w:color w:val="auto"/>
        </w:rPr>
        <w:t>As described in the “Shareholder Engagement” section, in 2025, we maintained our shareholder outreach to gain additional insight, better understand shareholder perspectives, and evaluate any concerns regarding our executive compensation program.</w:t>
      </w:r>
    </w:p>
    <w:p>
      <w:pPr>
        <w:spacing w:after="0" w:line="1" w:lineRule="exact"/>
        <w:rPr>
          <w:sz w:val="20"/>
          <w:szCs w:val="20"/>
          <w:color w:val="auto"/>
        </w:rPr>
      </w:pPr>
    </w:p>
    <w:p>
      <w:pPr>
        <w:ind w:right="540"/>
        <w:spacing w:after="0" w:line="286" w:lineRule="auto"/>
        <w:rPr>
          <w:sz w:val="20"/>
          <w:szCs w:val="20"/>
          <w:color w:val="auto"/>
        </w:rPr>
      </w:pPr>
      <w:r>
        <w:rPr>
          <w:rFonts w:ascii="Arial" w:cs="Arial" w:eastAsia="Arial" w:hAnsi="Arial"/>
          <w:sz w:val="16"/>
          <w:szCs w:val="16"/>
          <w:color w:val="auto"/>
        </w:rPr>
        <w:t>The support of our shareholders for our executive compensation program was again reflected in the results of the say on pay vote at the 2025 Annual General Meeting, with 83.6% of votes cast in favor of our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151765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32320" cy="1517650"/>
                    </a:xfrm>
                    <a:prstGeom prst="rect">
                      <a:avLst/>
                    </a:prstGeom>
                    <a:noFill/>
                  </pic:spPr>
                </pic:pic>
              </a:graphicData>
            </a:graphic>
          </wp:anchor>
        </w:drawing>
      </w:r>
    </w:p>
    <w:p>
      <w:pPr>
        <w:spacing w:after="0" w:line="136" w:lineRule="exact"/>
        <w:rPr>
          <w:sz w:val="20"/>
          <w:szCs w:val="20"/>
          <w:color w:val="auto"/>
        </w:rPr>
      </w:pPr>
    </w:p>
    <w:p>
      <w:pPr>
        <w:ind w:left="180" w:right="220"/>
        <w:spacing w:after="0" w:line="253" w:lineRule="auto"/>
        <w:rPr>
          <w:sz w:val="20"/>
          <w:szCs w:val="20"/>
          <w:color w:val="auto"/>
        </w:rPr>
      </w:pPr>
      <w:r>
        <w:rPr>
          <w:rFonts w:ascii="Arial" w:cs="Arial" w:eastAsia="Arial" w:hAnsi="Arial"/>
          <w:sz w:val="16"/>
          <w:szCs w:val="16"/>
          <w:color w:val="auto"/>
        </w:rPr>
        <w:t>Shareholder feedback is an important factor in how we approach and evaluate our executive compensation program. Consistent with the strong vote of shareholder approval, and support from our shareholders, we did not make any material changes to our compensation programs in 2025 in response to the say on pay vote. However, for 2026, we added a third metric, revenue, to our long-term incentive plan measures. We expect to carry forward the following general themes:</w:t>
      </w:r>
    </w:p>
    <w:p>
      <w:pPr>
        <w:spacing w:after="0" w:line="21" w:lineRule="exact"/>
        <w:rPr>
          <w:sz w:val="20"/>
          <w:szCs w:val="20"/>
          <w:color w:val="auto"/>
        </w:rPr>
      </w:pPr>
    </w:p>
    <w:p>
      <w:pPr>
        <w:ind w:left="380" w:hanging="160"/>
        <w:spacing w:after="0"/>
        <w:tabs>
          <w:tab w:leader="none" w:pos="380" w:val="left"/>
        </w:tabs>
        <w:numPr>
          <w:ilvl w:val="0"/>
          <w:numId w:val="82"/>
        </w:numPr>
        <w:rPr>
          <w:rFonts w:ascii="Arial" w:cs="Arial" w:eastAsia="Arial" w:hAnsi="Arial"/>
          <w:sz w:val="13"/>
          <w:szCs w:val="13"/>
          <w:color w:val="64A70B"/>
        </w:rPr>
      </w:pPr>
      <w:r>
        <w:rPr>
          <w:rFonts w:ascii="Arial" w:cs="Arial" w:eastAsia="Arial" w:hAnsi="Arial"/>
          <w:sz w:val="16"/>
          <w:szCs w:val="16"/>
          <w:color w:val="auto"/>
        </w:rPr>
        <w:t>Current executive compensation programs viewed positively and reflect balanced market practices with alignment to Pentair’s strategic objectives.</w:t>
      </w:r>
    </w:p>
    <w:p>
      <w:pPr>
        <w:spacing w:after="0" w:line="45" w:lineRule="exact"/>
        <w:rPr>
          <w:rFonts w:ascii="Arial" w:cs="Arial" w:eastAsia="Arial" w:hAnsi="Arial"/>
          <w:sz w:val="13"/>
          <w:szCs w:val="13"/>
          <w:color w:val="64A70B"/>
        </w:rPr>
      </w:pPr>
    </w:p>
    <w:p>
      <w:pPr>
        <w:ind w:left="420" w:right="240" w:hanging="200"/>
        <w:spacing w:after="0" w:line="264" w:lineRule="auto"/>
        <w:tabs>
          <w:tab w:leader="none" w:pos="377" w:val="left"/>
        </w:tabs>
        <w:numPr>
          <w:ilvl w:val="0"/>
          <w:numId w:val="82"/>
        </w:numPr>
        <w:rPr>
          <w:rFonts w:ascii="Arial" w:cs="Arial" w:eastAsia="Arial" w:hAnsi="Arial"/>
          <w:sz w:val="13"/>
          <w:szCs w:val="13"/>
          <w:color w:val="64A70B"/>
        </w:rPr>
      </w:pPr>
      <w:r>
        <w:rPr>
          <w:rFonts w:ascii="Arial" w:cs="Arial" w:eastAsia="Arial" w:hAnsi="Arial"/>
          <w:sz w:val="16"/>
          <w:szCs w:val="16"/>
          <w:color w:val="auto"/>
        </w:rPr>
        <w:t>Our executive compensation program demonstrates a pay-for-performance linkage and shareholder alignment, and is appropriately incentive-based, balancing annual and long-term performance.</w:t>
      </w:r>
    </w:p>
    <w:p>
      <w:pPr>
        <w:ind w:left="420" w:right="520" w:hanging="200"/>
        <w:spacing w:after="0" w:line="281" w:lineRule="auto"/>
        <w:tabs>
          <w:tab w:leader="none" w:pos="377" w:val="left"/>
        </w:tabs>
        <w:numPr>
          <w:ilvl w:val="0"/>
          <w:numId w:val="82"/>
        </w:numPr>
        <w:rPr>
          <w:rFonts w:ascii="Arial" w:cs="Arial" w:eastAsia="Arial" w:hAnsi="Arial"/>
          <w:sz w:val="13"/>
          <w:szCs w:val="13"/>
          <w:color w:val="64A70B"/>
        </w:rPr>
      </w:pPr>
      <w:r>
        <w:rPr>
          <w:rFonts w:ascii="Arial" w:cs="Arial" w:eastAsia="Arial" w:hAnsi="Arial"/>
          <w:sz w:val="16"/>
          <w:szCs w:val="16"/>
          <w:color w:val="auto"/>
        </w:rPr>
        <w:t>Our annual incentive plan measures of income, revenue, and free cash flow, and long-term incentive plan measures of adjusted EPS, ROIC and, beginning in 2026, revenue, are aligned with shareholder interests.</w:t>
      </w:r>
    </w:p>
    <w:p>
      <w:pPr>
        <w:spacing w:after="0" w:line="1" w:lineRule="exact"/>
        <w:rPr>
          <w:sz w:val="20"/>
          <w:szCs w:val="20"/>
          <w:color w:val="auto"/>
        </w:rPr>
      </w:pPr>
    </w:p>
    <w:p>
      <w:pPr>
        <w:ind w:left="180" w:right="260"/>
        <w:spacing w:after="0" w:line="268" w:lineRule="auto"/>
        <w:rPr>
          <w:sz w:val="20"/>
          <w:szCs w:val="20"/>
          <w:color w:val="auto"/>
        </w:rPr>
      </w:pPr>
      <w:r>
        <w:rPr>
          <w:rFonts w:ascii="Arial" w:cs="Arial" w:eastAsia="Arial" w:hAnsi="Arial"/>
          <w:sz w:val="16"/>
          <w:szCs w:val="16"/>
          <w:color w:val="auto"/>
        </w:rPr>
        <w:t>Additionally, consistent with previous feedback from shareholders, we incorporated a modifier for our social responsibility strategic targets in the annual incentive plan for executive officers, designed to recognize achievement well above or well below overall expected progress.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600" w:hanging="574"/>
        <w:spacing w:after="0"/>
        <w:tabs>
          <w:tab w:leader="none" w:pos="600" w:val="left"/>
        </w:tabs>
        <w:numPr>
          <w:ilvl w:val="0"/>
          <w:numId w:val="83"/>
        </w:numPr>
        <w:rPr>
          <w:rFonts w:ascii="Arial" w:cs="Arial" w:eastAsia="Arial" w:hAnsi="Arial"/>
          <w:sz w:val="16"/>
          <w:szCs w:val="16"/>
          <w:b w:val="1"/>
          <w:bCs w:val="1"/>
          <w:color w:val="auto"/>
        </w:rPr>
      </w:pPr>
      <w:r>
        <w:rPr>
          <w:rFonts w:ascii="Arial" w:cs="Arial" w:eastAsia="Arial" w:hAnsi="Arial"/>
          <w:sz w:val="16"/>
          <w:szCs w:val="16"/>
          <w:color w:val="auto"/>
        </w:rPr>
        <w:t xml:space="preserve">Pentair </w:t>
      </w:r>
      <w:r>
        <w:rPr>
          <w:rFonts w:ascii="Arial" w:cs="Arial" w:eastAsia="Arial" w:hAnsi="Arial"/>
          <w:sz w:val="16"/>
          <w:szCs w:val="16"/>
          <w:b w:val="1"/>
          <w:bCs w:val="1"/>
          <w:color w:val="0C3471"/>
        </w:rPr>
        <w:t>|</w:t>
      </w:r>
      <w:r>
        <w:rPr>
          <w:rFonts w:ascii="Arial" w:cs="Arial" w:eastAsia="Arial" w:hAnsi="Arial"/>
          <w:sz w:val="16"/>
          <w:szCs w:val="16"/>
          <w:color w:val="auto"/>
        </w:rPr>
        <w:t xml:space="preserve"> </w:t>
      </w:r>
      <w:r>
        <w:rPr>
          <w:rFonts w:ascii="Arial" w:cs="Arial" w:eastAsia="Arial" w:hAnsi="Arial"/>
          <w:sz w:val="16"/>
          <w:szCs w:val="16"/>
          <w:b w:val="1"/>
          <w:bCs w:val="1"/>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213995</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42" w:name="page43"/>
    <w:bookmarkEnd w:id="42"/>
    <w:p>
      <w:pPr>
        <w:jc w:val="right"/>
        <w:ind w:right="20"/>
        <w:spacing w:after="0"/>
        <w:rPr>
          <w:sz w:val="20"/>
          <w:szCs w:val="20"/>
          <w:color w:val="auto"/>
        </w:rPr>
      </w:pPr>
      <w:r>
        <w:rPr>
          <w:rFonts w:ascii="Arial" w:cs="Arial" w:eastAsia="Arial" w:hAnsi="Arial"/>
          <w:sz w:val="16"/>
          <w:szCs w:val="16"/>
          <w:b w:val="1"/>
          <w:bCs w:val="1"/>
          <w:color w:val="auto"/>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4659630</wp:posOffset>
            </wp:positionH>
            <wp:positionV relativeFrom="paragraph">
              <wp:posOffset>-107315</wp:posOffset>
            </wp:positionV>
            <wp:extent cx="102870" cy="11176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02870" cy="111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32"/>
          <w:szCs w:val="32"/>
          <w:color w:val="0C3471"/>
        </w:rPr>
        <w:t>Elements and Payouts of 2025 NEO Compensation</w:t>
      </w:r>
    </w:p>
    <w:p>
      <w:pPr>
        <w:spacing w:after="0" w:line="357" w:lineRule="exact"/>
        <w:rPr>
          <w:sz w:val="20"/>
          <w:szCs w:val="20"/>
          <w:color w:val="auto"/>
        </w:rPr>
      </w:pPr>
    </w:p>
    <w:p>
      <w:pPr>
        <w:ind w:left="20"/>
        <w:spacing w:after="0"/>
        <w:rPr>
          <w:sz w:val="20"/>
          <w:szCs w:val="20"/>
          <w:color w:val="auto"/>
        </w:rPr>
      </w:pPr>
      <w:r>
        <w:rPr>
          <w:rFonts w:ascii="Arial" w:cs="Arial" w:eastAsia="Arial" w:hAnsi="Arial"/>
          <w:sz w:val="29"/>
          <w:szCs w:val="29"/>
          <w:color w:val="64A70B"/>
        </w:rPr>
        <w:t>2025 Compensation Program Elements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Our NEO Compensation has Four Principal Components: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7115175"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226060</wp:posOffset>
            </wp:positionV>
            <wp:extent cx="282575" cy="28321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282575" cy="283210"/>
                    </a:xfrm>
                    <a:prstGeom prst="rect">
                      <a:avLst/>
                    </a:prstGeom>
                    <a:noFill/>
                  </pic:spPr>
                </pic:pic>
              </a:graphicData>
            </a:graphic>
          </wp:anchor>
        </w:drawing>
        <w:drawing>
          <wp:anchor simplePos="0" relativeHeight="251657728" behindDoc="1" locked="0" layoutInCell="0" allowOverlap="1">
            <wp:simplePos x="0" y="0"/>
            <wp:positionH relativeFrom="column">
              <wp:posOffset>1788160</wp:posOffset>
            </wp:positionH>
            <wp:positionV relativeFrom="paragraph">
              <wp:posOffset>226060</wp:posOffset>
            </wp:positionV>
            <wp:extent cx="282575" cy="28321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282575" cy="283210"/>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226060</wp:posOffset>
            </wp:positionV>
            <wp:extent cx="282575" cy="28321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282575" cy="28321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226060</wp:posOffset>
            </wp:positionV>
            <wp:extent cx="282575" cy="28321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282575" cy="283210"/>
                    </a:xfrm>
                    <a:prstGeom prst="rect">
                      <a:avLst/>
                    </a:prstGeom>
                    <a:noFill/>
                  </pic:spPr>
                </pic:pic>
              </a:graphicData>
            </a:graphic>
          </wp:anchor>
        </w:drawing>
      </w:r>
    </w:p>
    <w:p>
      <w:pPr>
        <w:spacing w:after="0" w:line="358" w:lineRule="exact"/>
        <w:rPr>
          <w:sz w:val="20"/>
          <w:szCs w:val="20"/>
          <w:color w:val="auto"/>
        </w:rPr>
      </w:pPr>
    </w:p>
    <w:tbl>
      <w:tblPr>
        <w:tblLayout w:type="fixed"/>
        <w:tblInd w:w="780" w:type="dxa"/>
        <w:tblCellMar>
          <w:top w:w="0" w:type="dxa"/>
          <w:left w:w="0" w:type="dxa"/>
          <w:bottom w:w="0" w:type="dxa"/>
          <w:right w:w="0" w:type="dxa"/>
        </w:tblCellMar>
      </w:tblPr>
      <w:tr>
        <w:trPr>
          <w:trHeight w:val="229"/>
        </w:trPr>
        <w:tc>
          <w:tcPr>
            <w:tcW w:w="1780" w:type="dxa"/>
            <w:vAlign w:val="bottom"/>
          </w:tcPr>
          <w:p>
            <w:pPr>
              <w:spacing w:after="0"/>
              <w:rPr>
                <w:sz w:val="20"/>
                <w:szCs w:val="20"/>
                <w:color w:val="auto"/>
              </w:rPr>
            </w:pPr>
            <w:r>
              <w:rPr>
                <w:rFonts w:ascii="Arial" w:cs="Arial" w:eastAsia="Arial" w:hAnsi="Arial"/>
                <w:sz w:val="18"/>
                <w:szCs w:val="18"/>
                <w:b w:val="1"/>
                <w:bCs w:val="1"/>
                <w:color w:val="auto"/>
              </w:rPr>
              <w:t>BASE</w:t>
            </w:r>
          </w:p>
        </w:tc>
        <w:tc>
          <w:tcPr>
            <w:tcW w:w="3220" w:type="dxa"/>
            <w:vAlign w:val="bottom"/>
          </w:tcPr>
          <w:p>
            <w:pPr>
              <w:ind w:left="1040"/>
              <w:spacing w:after="0"/>
              <w:rPr>
                <w:sz w:val="20"/>
                <w:szCs w:val="20"/>
                <w:color w:val="auto"/>
              </w:rPr>
            </w:pPr>
            <w:r>
              <w:rPr>
                <w:rFonts w:ascii="Arial" w:cs="Arial" w:eastAsia="Arial" w:hAnsi="Arial"/>
                <w:sz w:val="18"/>
                <w:szCs w:val="18"/>
                <w:b w:val="1"/>
                <w:bCs w:val="1"/>
                <w:color w:val="auto"/>
              </w:rPr>
              <w:t>ANNUAL</w:t>
            </w:r>
          </w:p>
        </w:tc>
        <w:tc>
          <w:tcPr>
            <w:tcW w:w="2880" w:type="dxa"/>
            <w:vAlign w:val="bottom"/>
          </w:tcPr>
          <w:p>
            <w:pPr>
              <w:ind w:left="700"/>
              <w:spacing w:after="0"/>
              <w:rPr>
                <w:sz w:val="20"/>
                <w:szCs w:val="20"/>
                <w:color w:val="auto"/>
              </w:rPr>
            </w:pPr>
            <w:r>
              <w:rPr>
                <w:rFonts w:ascii="Arial" w:cs="Arial" w:eastAsia="Arial" w:hAnsi="Arial"/>
                <w:sz w:val="18"/>
                <w:szCs w:val="18"/>
                <w:b w:val="1"/>
                <w:bCs w:val="1"/>
                <w:color w:val="auto"/>
              </w:rPr>
              <w:t>LONG-TERM</w:t>
            </w:r>
          </w:p>
        </w:tc>
        <w:tc>
          <w:tcPr>
            <w:tcW w:w="2040" w:type="dxa"/>
            <w:vAlign w:val="bottom"/>
          </w:tcPr>
          <w:p>
            <w:pPr>
              <w:ind w:left="720"/>
              <w:spacing w:after="0"/>
              <w:rPr>
                <w:sz w:val="20"/>
                <w:szCs w:val="20"/>
                <w:color w:val="auto"/>
              </w:rPr>
            </w:pPr>
            <w:r>
              <w:rPr>
                <w:rFonts w:ascii="Arial" w:cs="Arial" w:eastAsia="Arial" w:hAnsi="Arial"/>
                <w:sz w:val="18"/>
                <w:szCs w:val="18"/>
                <w:b w:val="1"/>
                <w:bCs w:val="1"/>
                <w:color w:val="auto"/>
              </w:rPr>
              <w:t>ADDITIONAL</w:t>
            </w:r>
          </w:p>
        </w:tc>
      </w:tr>
      <w:tr>
        <w:trPr>
          <w:trHeight w:val="243"/>
        </w:trPr>
        <w:tc>
          <w:tcPr>
            <w:tcW w:w="1780" w:type="dxa"/>
            <w:vAlign w:val="bottom"/>
          </w:tcPr>
          <w:p>
            <w:pPr>
              <w:spacing w:after="0"/>
              <w:rPr>
                <w:sz w:val="20"/>
                <w:szCs w:val="20"/>
                <w:color w:val="auto"/>
              </w:rPr>
            </w:pPr>
            <w:r>
              <w:rPr>
                <w:rFonts w:ascii="Arial" w:cs="Arial" w:eastAsia="Arial" w:hAnsi="Arial"/>
                <w:sz w:val="18"/>
                <w:szCs w:val="18"/>
                <w:b w:val="1"/>
                <w:bCs w:val="1"/>
                <w:color w:val="auto"/>
              </w:rPr>
              <w:t>SALARY</w:t>
            </w:r>
          </w:p>
        </w:tc>
        <w:tc>
          <w:tcPr>
            <w:tcW w:w="3220" w:type="dxa"/>
            <w:vAlign w:val="bottom"/>
          </w:tcPr>
          <w:p>
            <w:pPr>
              <w:ind w:left="1040"/>
              <w:spacing w:after="0"/>
              <w:rPr>
                <w:sz w:val="20"/>
                <w:szCs w:val="20"/>
                <w:color w:val="auto"/>
              </w:rPr>
            </w:pPr>
            <w:r>
              <w:rPr>
                <w:rFonts w:ascii="Arial" w:cs="Arial" w:eastAsia="Arial" w:hAnsi="Arial"/>
                <w:sz w:val="18"/>
                <w:szCs w:val="18"/>
                <w:b w:val="1"/>
                <w:bCs w:val="1"/>
                <w:color w:val="auto"/>
              </w:rPr>
              <w:t>INCENTIVE</w:t>
            </w:r>
          </w:p>
        </w:tc>
        <w:tc>
          <w:tcPr>
            <w:tcW w:w="2880" w:type="dxa"/>
            <w:vAlign w:val="bottom"/>
          </w:tcPr>
          <w:p>
            <w:pPr>
              <w:ind w:left="700"/>
              <w:spacing w:after="0"/>
              <w:rPr>
                <w:sz w:val="20"/>
                <w:szCs w:val="20"/>
                <w:color w:val="auto"/>
              </w:rPr>
            </w:pPr>
            <w:r>
              <w:rPr>
                <w:rFonts w:ascii="Arial" w:cs="Arial" w:eastAsia="Arial" w:hAnsi="Arial"/>
                <w:sz w:val="18"/>
                <w:szCs w:val="18"/>
                <w:b w:val="1"/>
                <w:bCs w:val="1"/>
                <w:color w:val="auto"/>
              </w:rPr>
              <w:t>INCENTIVE</w:t>
            </w:r>
          </w:p>
        </w:tc>
        <w:tc>
          <w:tcPr>
            <w:tcW w:w="2040" w:type="dxa"/>
            <w:vAlign w:val="bottom"/>
          </w:tcPr>
          <w:p>
            <w:pPr>
              <w:ind w:left="720"/>
              <w:spacing w:after="0"/>
              <w:rPr>
                <w:sz w:val="20"/>
                <w:szCs w:val="20"/>
                <w:color w:val="auto"/>
              </w:rPr>
            </w:pPr>
            <w:r>
              <w:rPr>
                <w:rFonts w:ascii="Arial" w:cs="Arial" w:eastAsia="Arial" w:hAnsi="Arial"/>
                <w:sz w:val="18"/>
                <w:szCs w:val="18"/>
                <w:b w:val="1"/>
                <w:bCs w:val="1"/>
                <w:color w:val="auto"/>
                <w:w w:val="97"/>
              </w:rPr>
              <w:t>BENEFITS AND</w:t>
            </w:r>
          </w:p>
        </w:tc>
      </w:tr>
      <w:tr>
        <w:trPr>
          <w:trHeight w:val="247"/>
        </w:trPr>
        <w:tc>
          <w:tcPr>
            <w:tcW w:w="1780" w:type="dxa"/>
            <w:vAlign w:val="bottom"/>
          </w:tcPr>
          <w:p>
            <w:pPr>
              <w:spacing w:after="0"/>
              <w:rPr>
                <w:sz w:val="21"/>
                <w:szCs w:val="21"/>
                <w:color w:val="auto"/>
              </w:rPr>
            </w:pPr>
          </w:p>
        </w:tc>
        <w:tc>
          <w:tcPr>
            <w:tcW w:w="3220" w:type="dxa"/>
            <w:vAlign w:val="bottom"/>
          </w:tcPr>
          <w:p>
            <w:pPr>
              <w:ind w:left="1040"/>
              <w:spacing w:after="0"/>
              <w:rPr>
                <w:sz w:val="20"/>
                <w:szCs w:val="20"/>
                <w:color w:val="auto"/>
              </w:rPr>
            </w:pPr>
            <w:r>
              <w:rPr>
                <w:rFonts w:ascii="Arial" w:cs="Arial" w:eastAsia="Arial" w:hAnsi="Arial"/>
                <w:sz w:val="18"/>
                <w:szCs w:val="18"/>
                <w:b w:val="1"/>
                <w:bCs w:val="1"/>
                <w:color w:val="auto"/>
              </w:rPr>
              <w:t>COMPENSATION</w:t>
            </w:r>
          </w:p>
        </w:tc>
        <w:tc>
          <w:tcPr>
            <w:tcW w:w="2880" w:type="dxa"/>
            <w:vAlign w:val="bottom"/>
          </w:tcPr>
          <w:p>
            <w:pPr>
              <w:ind w:left="700"/>
              <w:spacing w:after="0"/>
              <w:rPr>
                <w:sz w:val="20"/>
                <w:szCs w:val="20"/>
                <w:color w:val="auto"/>
              </w:rPr>
            </w:pPr>
            <w:r>
              <w:rPr>
                <w:rFonts w:ascii="Arial" w:cs="Arial" w:eastAsia="Arial" w:hAnsi="Arial"/>
                <w:sz w:val="18"/>
                <w:szCs w:val="18"/>
                <w:b w:val="1"/>
                <w:bCs w:val="1"/>
                <w:color w:val="auto"/>
              </w:rPr>
              <w:t>COMPENSATION</w:t>
            </w:r>
          </w:p>
        </w:tc>
        <w:tc>
          <w:tcPr>
            <w:tcW w:w="2040" w:type="dxa"/>
            <w:vAlign w:val="bottom"/>
          </w:tcPr>
          <w:p>
            <w:pPr>
              <w:ind w:left="720"/>
              <w:spacing w:after="0"/>
              <w:rPr>
                <w:sz w:val="20"/>
                <w:szCs w:val="20"/>
                <w:color w:val="auto"/>
              </w:rPr>
            </w:pPr>
            <w:r>
              <w:rPr>
                <w:rFonts w:ascii="Arial" w:cs="Arial" w:eastAsia="Arial" w:hAnsi="Arial"/>
                <w:sz w:val="18"/>
                <w:szCs w:val="18"/>
                <w:b w:val="1"/>
                <w:bCs w:val="1"/>
                <w:color w:val="auto"/>
              </w:rPr>
              <w:t>PERQUISITES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266700</wp:posOffset>
            </wp:positionV>
            <wp:extent cx="282575" cy="28321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282575" cy="28321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720"/>
        <w:spacing w:after="0"/>
        <w:rPr>
          <w:sz w:val="20"/>
          <w:szCs w:val="20"/>
          <w:color w:val="auto"/>
        </w:rPr>
      </w:pPr>
      <w:r>
        <w:rPr>
          <w:rFonts w:ascii="Arial" w:cs="Arial" w:eastAsia="Arial" w:hAnsi="Arial"/>
          <w:sz w:val="29"/>
          <w:szCs w:val="29"/>
          <w:color w:val="64A70B"/>
        </w:rPr>
        <w:t>Base Salary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3232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Purpose</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color w:val="auto"/>
        </w:rPr>
        <w:t>We provide each Named Executive Officer with a fixed base salary to be competitive in the marketplace.</w:t>
      </w:r>
    </w:p>
    <w:p>
      <w:pPr>
        <w:spacing w:after="0" w:line="265"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How We Set Salary</w:t>
      </w:r>
    </w:p>
    <w:p>
      <w:pPr>
        <w:spacing w:after="0" w:line="128" w:lineRule="exact"/>
        <w:rPr>
          <w:sz w:val="20"/>
          <w:szCs w:val="20"/>
          <w:color w:val="auto"/>
        </w:rPr>
      </w:pPr>
    </w:p>
    <w:p>
      <w:pPr>
        <w:jc w:val="both"/>
        <w:ind w:right="80"/>
        <w:spacing w:after="0" w:line="292" w:lineRule="auto"/>
        <w:rPr>
          <w:sz w:val="20"/>
          <w:szCs w:val="20"/>
          <w:color w:val="auto"/>
        </w:rPr>
      </w:pPr>
      <w:r>
        <w:rPr>
          <w:rFonts w:ascii="Arial" w:cs="Arial" w:eastAsia="Arial" w:hAnsi="Arial"/>
          <w:sz w:val="16"/>
          <w:szCs w:val="16"/>
          <w:color w:val="auto"/>
        </w:rPr>
        <w:t>In setting base salaries, the Compensation Committee generally references comparable positions at peer companies based on available market data, which includes published survey data and proxy statement data for our Comparator Group. The Compensation Committee considers compensation at comparable companies but does not set base salaries based on a particular peer group benchmark or any single factor.</w:t>
      </w:r>
    </w:p>
    <w:p>
      <w:pPr>
        <w:spacing w:after="0" w:line="71" w:lineRule="exact"/>
        <w:rPr>
          <w:sz w:val="20"/>
          <w:szCs w:val="20"/>
          <w:color w:val="auto"/>
        </w:rPr>
      </w:pPr>
    </w:p>
    <w:p>
      <w:pPr>
        <w:ind w:right="60"/>
        <w:spacing w:after="0" w:line="292" w:lineRule="auto"/>
        <w:rPr>
          <w:sz w:val="20"/>
          <w:szCs w:val="20"/>
          <w:color w:val="auto"/>
        </w:rPr>
      </w:pPr>
      <w:r>
        <w:rPr>
          <w:rFonts w:ascii="Arial" w:cs="Arial" w:eastAsia="Arial" w:hAnsi="Arial"/>
          <w:sz w:val="16"/>
          <w:szCs w:val="16"/>
          <w:color w:val="auto"/>
        </w:rPr>
        <w:t>Base salaries for the Named Executive Officers are determined by the Compensation Committee based on numerous factors such as competitive conditions for the Named Executive Officer’s position within the Comparator Group and in the broader employment market, as well as the Named Executive Officer’s level of responsibility, experience and individual performance.</w:t>
      </w:r>
    </w:p>
    <w:p>
      <w:pPr>
        <w:spacing w:after="0" w:line="209"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Changes from 2024</w:t>
      </w:r>
    </w:p>
    <w:p>
      <w:pPr>
        <w:spacing w:after="0" w:line="128" w:lineRule="exact"/>
        <w:rPr>
          <w:sz w:val="20"/>
          <w:szCs w:val="20"/>
          <w:color w:val="auto"/>
        </w:rPr>
      </w:pPr>
    </w:p>
    <w:p>
      <w:pPr>
        <w:ind w:right="60"/>
        <w:spacing w:after="0" w:line="292" w:lineRule="auto"/>
        <w:rPr>
          <w:sz w:val="20"/>
          <w:szCs w:val="20"/>
          <w:color w:val="auto"/>
        </w:rPr>
      </w:pPr>
      <w:r>
        <w:rPr>
          <w:rFonts w:ascii="Arial" w:cs="Arial" w:eastAsia="Arial" w:hAnsi="Arial"/>
          <w:sz w:val="16"/>
          <w:szCs w:val="16"/>
          <w:color w:val="auto"/>
        </w:rPr>
        <w:t>In December 2024, the Compensation Committee undertook its annual review of base salaries for executive officers in accordance with its normal procedures. Following a review with Aon Consulting, the Compensation Committee approved annual salary increases ranging from 2.3% to 9.1%. Increases became effective January 1, 2025, as set forth in the table below.</w:t>
      </w:r>
    </w:p>
    <w:p>
      <w:pPr>
        <w:spacing w:after="0" w:line="19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2025 Base Salary</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680" w:type="dxa"/>
            <w:vAlign w:val="bottom"/>
          </w:tcPr>
          <w:p>
            <w:pPr>
              <w:spacing w:after="0"/>
              <w:rPr>
                <w:sz w:val="15"/>
                <w:szCs w:val="15"/>
                <w:color w:val="auto"/>
              </w:rPr>
            </w:pPr>
          </w:p>
        </w:tc>
        <w:tc>
          <w:tcPr>
            <w:tcW w:w="4220" w:type="dxa"/>
            <w:vAlign w:val="bottom"/>
          </w:tcPr>
          <w:p>
            <w:pPr>
              <w:jc w:val="right"/>
              <w:ind w:right="142"/>
              <w:spacing w:after="0"/>
              <w:rPr>
                <w:sz w:val="20"/>
                <w:szCs w:val="20"/>
                <w:color w:val="auto"/>
              </w:rPr>
            </w:pPr>
            <w:r>
              <w:rPr>
                <w:rFonts w:ascii="Arial" w:cs="Arial" w:eastAsia="Arial" w:hAnsi="Arial"/>
                <w:sz w:val="14"/>
                <w:szCs w:val="14"/>
                <w:b w:val="1"/>
                <w:bCs w:val="1"/>
                <w:color w:val="auto"/>
              </w:rPr>
              <w:t>2025 Base</w:t>
            </w:r>
          </w:p>
        </w:tc>
        <w:tc>
          <w:tcPr>
            <w:tcW w:w="1160" w:type="dxa"/>
            <w:vAlign w:val="bottom"/>
          </w:tcPr>
          <w:p>
            <w:pPr>
              <w:jc w:val="right"/>
              <w:ind w:right="102"/>
              <w:spacing w:after="0"/>
              <w:rPr>
                <w:sz w:val="20"/>
                <w:szCs w:val="20"/>
                <w:color w:val="auto"/>
              </w:rPr>
            </w:pPr>
            <w:r>
              <w:rPr>
                <w:rFonts w:ascii="Arial" w:cs="Arial" w:eastAsia="Arial" w:hAnsi="Arial"/>
                <w:sz w:val="14"/>
                <w:szCs w:val="14"/>
                <w:b w:val="1"/>
                <w:bCs w:val="1"/>
                <w:color w:val="auto"/>
              </w:rPr>
              <w:t>2024 Base</w:t>
            </w:r>
          </w:p>
        </w:tc>
        <w:tc>
          <w:tcPr>
            <w:tcW w:w="11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Increase From</w:t>
            </w:r>
          </w:p>
        </w:tc>
        <w:tc>
          <w:tcPr>
            <w:tcW w:w="0" w:type="dxa"/>
            <w:vAlign w:val="bottom"/>
          </w:tcPr>
          <w:p>
            <w:pPr>
              <w:spacing w:after="0"/>
              <w:rPr>
                <w:sz w:val="1"/>
                <w:szCs w:val="1"/>
                <w:color w:val="auto"/>
              </w:rPr>
            </w:pPr>
          </w:p>
        </w:tc>
      </w:tr>
      <w:tr>
        <w:trPr>
          <w:trHeight w:val="162"/>
        </w:trPr>
        <w:tc>
          <w:tcPr>
            <w:tcW w:w="4680" w:type="dxa"/>
            <w:vAlign w:val="bottom"/>
          </w:tcPr>
          <w:p>
            <w:pPr>
              <w:spacing w:after="0"/>
              <w:rPr>
                <w:sz w:val="14"/>
                <w:szCs w:val="14"/>
                <w:color w:val="auto"/>
              </w:rPr>
            </w:pPr>
          </w:p>
        </w:tc>
        <w:tc>
          <w:tcPr>
            <w:tcW w:w="4220" w:type="dxa"/>
            <w:vAlign w:val="bottom"/>
          </w:tcPr>
          <w:p>
            <w:pPr>
              <w:jc w:val="right"/>
              <w:ind w:right="142"/>
              <w:spacing w:after="0"/>
              <w:rPr>
                <w:sz w:val="20"/>
                <w:szCs w:val="20"/>
                <w:color w:val="auto"/>
              </w:rPr>
            </w:pPr>
            <w:r>
              <w:rPr>
                <w:rFonts w:ascii="Arial" w:cs="Arial" w:eastAsia="Arial" w:hAnsi="Arial"/>
                <w:sz w:val="14"/>
                <w:szCs w:val="14"/>
                <w:b w:val="1"/>
                <w:bCs w:val="1"/>
                <w:color w:val="auto"/>
              </w:rPr>
              <w:t>Salary</w:t>
            </w:r>
          </w:p>
        </w:tc>
        <w:tc>
          <w:tcPr>
            <w:tcW w:w="1160" w:type="dxa"/>
            <w:vAlign w:val="bottom"/>
          </w:tcPr>
          <w:p>
            <w:pPr>
              <w:jc w:val="right"/>
              <w:ind w:right="102"/>
              <w:spacing w:after="0"/>
              <w:rPr>
                <w:sz w:val="20"/>
                <w:szCs w:val="20"/>
                <w:color w:val="auto"/>
              </w:rPr>
            </w:pPr>
            <w:r>
              <w:rPr>
                <w:rFonts w:ascii="Arial" w:cs="Arial" w:eastAsia="Arial" w:hAnsi="Arial"/>
                <w:sz w:val="14"/>
                <w:szCs w:val="14"/>
                <w:b w:val="1"/>
                <w:bCs w:val="1"/>
                <w:color w:val="auto"/>
              </w:rPr>
              <w:t>Salary</w:t>
            </w:r>
          </w:p>
        </w:tc>
        <w:tc>
          <w:tcPr>
            <w:tcW w:w="11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4680" w:type="dxa"/>
            <w:vAlign w:val="bottom"/>
            <w:tcBorders>
              <w:bottom w:val="single" w:sz="8" w:color="0C3471"/>
            </w:tcBorders>
          </w:tcPr>
          <w:p>
            <w:pPr>
              <w:spacing w:after="0"/>
              <w:rPr>
                <w:sz w:val="17"/>
                <w:szCs w:val="17"/>
                <w:color w:val="auto"/>
              </w:rPr>
            </w:pPr>
          </w:p>
        </w:tc>
        <w:tc>
          <w:tcPr>
            <w:tcW w:w="4220" w:type="dxa"/>
            <w:vAlign w:val="bottom"/>
            <w:tcBorders>
              <w:bottom w:val="single" w:sz="8" w:color="0C3471"/>
            </w:tcBorders>
          </w:tcPr>
          <w:p>
            <w:pPr>
              <w:jc w:val="right"/>
              <w:ind w:right="142"/>
              <w:spacing w:after="0"/>
              <w:rPr>
                <w:sz w:val="20"/>
                <w:szCs w:val="20"/>
                <w:color w:val="auto"/>
              </w:rPr>
            </w:pPr>
            <w:r>
              <w:rPr>
                <w:rFonts w:ascii="Arial" w:cs="Arial" w:eastAsia="Arial" w:hAnsi="Arial"/>
                <w:sz w:val="14"/>
                <w:szCs w:val="14"/>
                <w:b w:val="1"/>
                <w:bCs w:val="1"/>
                <w:color w:val="auto"/>
              </w:rPr>
              <w:t>($)</w:t>
            </w:r>
          </w:p>
        </w:tc>
        <w:tc>
          <w:tcPr>
            <w:tcW w:w="1160" w:type="dxa"/>
            <w:vAlign w:val="bottom"/>
            <w:tcBorders>
              <w:bottom w:val="single" w:sz="8" w:color="0C3471"/>
            </w:tcBorders>
          </w:tcPr>
          <w:p>
            <w:pPr>
              <w:jc w:val="right"/>
              <w:ind w:right="102"/>
              <w:spacing w:after="0"/>
              <w:rPr>
                <w:sz w:val="20"/>
                <w:szCs w:val="20"/>
                <w:color w:val="auto"/>
              </w:rPr>
            </w:pPr>
            <w:r>
              <w:rPr>
                <w:rFonts w:ascii="Arial" w:cs="Arial" w:eastAsia="Arial" w:hAnsi="Arial"/>
                <w:sz w:val="14"/>
                <w:szCs w:val="14"/>
                <w:b w:val="1"/>
                <w:bCs w:val="1"/>
                <w:color w:val="auto"/>
              </w:rPr>
              <w:t>($)</w:t>
            </w:r>
          </w:p>
        </w:tc>
        <w:tc>
          <w:tcPr>
            <w:tcW w:w="1180" w:type="dxa"/>
            <w:vAlign w:val="bottom"/>
            <w:tcBorders>
              <w:bottom w:val="single" w:sz="8" w:color="0C3471"/>
            </w:tcBorders>
            <w:gridSpan w:val="2"/>
          </w:tcPr>
          <w:p>
            <w:pPr>
              <w:jc w:val="right"/>
              <w:spacing w:after="0"/>
              <w:rPr>
                <w:sz w:val="20"/>
                <w:szCs w:val="20"/>
                <w:color w:val="auto"/>
              </w:rPr>
            </w:pPr>
            <w:r>
              <w:rPr>
                <w:rFonts w:ascii="Arial" w:cs="Arial" w:eastAsia="Arial" w:hAnsi="Arial"/>
                <w:sz w:val="14"/>
                <w:szCs w:val="14"/>
                <w:b w:val="1"/>
                <w:bCs w:val="1"/>
                <w:color w:val="auto"/>
              </w:rPr>
              <w:t>2024 to 2025</w:t>
            </w:r>
          </w:p>
        </w:tc>
        <w:tc>
          <w:tcPr>
            <w:tcW w:w="0" w:type="dxa"/>
            <w:vAlign w:val="bottom"/>
          </w:tcPr>
          <w:p>
            <w:pPr>
              <w:spacing w:after="0"/>
              <w:rPr>
                <w:sz w:val="1"/>
                <w:szCs w:val="1"/>
                <w:color w:val="auto"/>
              </w:rPr>
            </w:pPr>
          </w:p>
        </w:tc>
      </w:tr>
      <w:tr>
        <w:trPr>
          <w:trHeight w:val="266"/>
        </w:trPr>
        <w:tc>
          <w:tcPr>
            <w:tcW w:w="4680" w:type="dxa"/>
            <w:vAlign w:val="bottom"/>
            <w:tcBorders>
              <w:bottom w:val="single" w:sz="8" w:color="BCBEC0"/>
            </w:tcBorders>
          </w:tcPr>
          <w:p>
            <w:pPr>
              <w:ind w:left="20"/>
              <w:spacing w:after="0"/>
              <w:rPr>
                <w:sz w:val="20"/>
                <w:szCs w:val="20"/>
                <w:color w:val="auto"/>
              </w:rPr>
            </w:pPr>
            <w:r>
              <w:rPr>
                <w:rFonts w:ascii="Arial" w:cs="Arial" w:eastAsia="Arial" w:hAnsi="Arial"/>
                <w:sz w:val="16"/>
                <w:szCs w:val="16"/>
                <w:b w:val="1"/>
                <w:bCs w:val="1"/>
                <w:color w:val="0C3471"/>
              </w:rPr>
              <w:t>John L. Stauch</w:t>
            </w:r>
          </w:p>
        </w:tc>
        <w:tc>
          <w:tcPr>
            <w:tcW w:w="4220" w:type="dxa"/>
            <w:vAlign w:val="bottom"/>
            <w:tcBorders>
              <w:bottom w:val="single" w:sz="8" w:color="BCBEC0"/>
            </w:tcBorders>
          </w:tcPr>
          <w:p>
            <w:pPr>
              <w:jc w:val="right"/>
              <w:ind w:right="202"/>
              <w:spacing w:after="0"/>
              <w:rPr>
                <w:sz w:val="20"/>
                <w:szCs w:val="20"/>
                <w:color w:val="auto"/>
              </w:rPr>
            </w:pPr>
            <w:r>
              <w:rPr>
                <w:rFonts w:ascii="Arial" w:cs="Arial" w:eastAsia="Arial" w:hAnsi="Arial"/>
                <w:sz w:val="16"/>
                <w:szCs w:val="16"/>
                <w:color w:val="auto"/>
              </w:rPr>
              <w:t>1,160,000</w:t>
            </w:r>
          </w:p>
        </w:tc>
        <w:tc>
          <w:tcPr>
            <w:tcW w:w="1160" w:type="dxa"/>
            <w:vAlign w:val="bottom"/>
            <w:tcBorders>
              <w:bottom w:val="single" w:sz="8" w:color="BCBEC0"/>
            </w:tcBorders>
          </w:tcPr>
          <w:p>
            <w:pPr>
              <w:jc w:val="right"/>
              <w:ind w:right="142"/>
              <w:spacing w:after="0"/>
              <w:rPr>
                <w:sz w:val="20"/>
                <w:szCs w:val="20"/>
                <w:color w:val="auto"/>
              </w:rPr>
            </w:pPr>
            <w:r>
              <w:rPr>
                <w:rFonts w:ascii="Arial" w:cs="Arial" w:eastAsia="Arial" w:hAnsi="Arial"/>
                <w:sz w:val="16"/>
                <w:szCs w:val="16"/>
                <w:color w:val="auto"/>
              </w:rPr>
              <w:t>1,115,000</w:t>
            </w:r>
          </w:p>
        </w:tc>
        <w:tc>
          <w:tcPr>
            <w:tcW w:w="660" w:type="dxa"/>
            <w:vAlign w:val="bottom"/>
            <w:tcBorders>
              <w:bottom w:val="single" w:sz="8" w:color="BCBEC0"/>
            </w:tcBorders>
          </w:tcPr>
          <w:p>
            <w:pPr>
              <w:spacing w:after="0"/>
              <w:rPr>
                <w:sz w:val="23"/>
                <w:szCs w:val="23"/>
                <w:color w:val="auto"/>
              </w:rPr>
            </w:pPr>
          </w:p>
        </w:tc>
        <w:tc>
          <w:tcPr>
            <w:tcW w:w="520" w:type="dxa"/>
            <w:vAlign w:val="bottom"/>
            <w:tcBorders>
              <w:bottom w:val="single" w:sz="8" w:color="BCBEC0"/>
            </w:tcBorders>
          </w:tcPr>
          <w:p>
            <w:pPr>
              <w:jc w:val="right"/>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263"/>
        </w:trPr>
        <w:tc>
          <w:tcPr>
            <w:tcW w:w="4680" w:type="dxa"/>
            <w:vAlign w:val="bottom"/>
            <w:tcBorders>
              <w:bottom w:val="single" w:sz="8" w:color="BCBEC0"/>
            </w:tcBorders>
          </w:tcPr>
          <w:p>
            <w:pPr>
              <w:ind w:left="20"/>
              <w:spacing w:after="0"/>
              <w:rPr>
                <w:sz w:val="20"/>
                <w:szCs w:val="20"/>
                <w:color w:val="auto"/>
              </w:rPr>
            </w:pPr>
            <w:r>
              <w:rPr>
                <w:rFonts w:ascii="Arial" w:cs="Arial" w:eastAsia="Arial" w:hAnsi="Arial"/>
                <w:sz w:val="16"/>
                <w:szCs w:val="16"/>
                <w:b w:val="1"/>
                <w:bCs w:val="1"/>
                <w:color w:val="0C3471"/>
              </w:rPr>
              <w:t>Robert P. Fishman</w:t>
            </w:r>
          </w:p>
        </w:tc>
        <w:tc>
          <w:tcPr>
            <w:tcW w:w="4220" w:type="dxa"/>
            <w:vAlign w:val="bottom"/>
            <w:tcBorders>
              <w:bottom w:val="single" w:sz="8" w:color="BCBEC0"/>
            </w:tcBorders>
          </w:tcPr>
          <w:p>
            <w:pPr>
              <w:jc w:val="right"/>
              <w:ind w:right="182"/>
              <w:spacing w:after="0"/>
              <w:rPr>
                <w:sz w:val="20"/>
                <w:szCs w:val="20"/>
                <w:color w:val="auto"/>
              </w:rPr>
            </w:pPr>
            <w:r>
              <w:rPr>
                <w:rFonts w:ascii="Arial" w:cs="Arial" w:eastAsia="Arial" w:hAnsi="Arial"/>
                <w:sz w:val="16"/>
                <w:szCs w:val="16"/>
                <w:color w:val="auto"/>
              </w:rPr>
              <w:t>745,000</w:t>
            </w:r>
          </w:p>
        </w:tc>
        <w:tc>
          <w:tcPr>
            <w:tcW w:w="1160" w:type="dxa"/>
            <w:vAlign w:val="bottom"/>
            <w:tcBorders>
              <w:bottom w:val="single" w:sz="8" w:color="BCBEC0"/>
            </w:tcBorders>
          </w:tcPr>
          <w:p>
            <w:pPr>
              <w:jc w:val="right"/>
              <w:ind w:right="142"/>
              <w:spacing w:after="0"/>
              <w:rPr>
                <w:sz w:val="20"/>
                <w:szCs w:val="20"/>
                <w:color w:val="auto"/>
              </w:rPr>
            </w:pPr>
            <w:r>
              <w:rPr>
                <w:rFonts w:ascii="Arial" w:cs="Arial" w:eastAsia="Arial" w:hAnsi="Arial"/>
                <w:sz w:val="16"/>
                <w:szCs w:val="16"/>
                <w:color w:val="auto"/>
              </w:rPr>
              <w:t>725,000</w:t>
            </w:r>
          </w:p>
        </w:tc>
        <w:tc>
          <w:tcPr>
            <w:tcW w:w="660" w:type="dxa"/>
            <w:vAlign w:val="bottom"/>
            <w:tcBorders>
              <w:bottom w:val="single" w:sz="8" w:color="BCBEC0"/>
            </w:tcBorders>
          </w:tcPr>
          <w:p>
            <w:pPr>
              <w:spacing w:after="0"/>
              <w:rPr>
                <w:sz w:val="22"/>
                <w:szCs w:val="22"/>
                <w:color w:val="auto"/>
              </w:rPr>
            </w:pPr>
          </w:p>
        </w:tc>
        <w:tc>
          <w:tcPr>
            <w:tcW w:w="520" w:type="dxa"/>
            <w:vAlign w:val="bottom"/>
            <w:tcBorders>
              <w:bottom w:val="single" w:sz="8" w:color="BCBEC0"/>
            </w:tcBorders>
          </w:tcPr>
          <w:p>
            <w:pPr>
              <w:jc w:val="right"/>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63"/>
        </w:trPr>
        <w:tc>
          <w:tcPr>
            <w:tcW w:w="4680" w:type="dxa"/>
            <w:vAlign w:val="bottom"/>
            <w:tcBorders>
              <w:bottom w:val="single" w:sz="8" w:color="BCBEC0"/>
            </w:tcBorders>
          </w:tcPr>
          <w:p>
            <w:pPr>
              <w:ind w:left="20"/>
              <w:spacing w:after="0"/>
              <w:rPr>
                <w:sz w:val="20"/>
                <w:szCs w:val="20"/>
                <w:color w:val="auto"/>
              </w:rPr>
            </w:pPr>
            <w:r>
              <w:rPr>
                <w:rFonts w:ascii="Arial" w:cs="Arial" w:eastAsia="Arial" w:hAnsi="Arial"/>
                <w:sz w:val="16"/>
                <w:szCs w:val="16"/>
                <w:b w:val="1"/>
                <w:bCs w:val="1"/>
                <w:color w:val="0C3471"/>
              </w:rPr>
              <w:t>Jerome O. Pedretti</w:t>
            </w:r>
          </w:p>
        </w:tc>
        <w:tc>
          <w:tcPr>
            <w:tcW w:w="4220" w:type="dxa"/>
            <w:vAlign w:val="bottom"/>
            <w:tcBorders>
              <w:bottom w:val="single" w:sz="8" w:color="BCBEC0"/>
            </w:tcBorders>
          </w:tcPr>
          <w:p>
            <w:pPr>
              <w:jc w:val="right"/>
              <w:ind w:right="182"/>
              <w:spacing w:after="0"/>
              <w:rPr>
                <w:sz w:val="20"/>
                <w:szCs w:val="20"/>
                <w:color w:val="auto"/>
              </w:rPr>
            </w:pPr>
            <w:r>
              <w:rPr>
                <w:rFonts w:ascii="Arial" w:cs="Arial" w:eastAsia="Arial" w:hAnsi="Arial"/>
                <w:sz w:val="16"/>
                <w:szCs w:val="16"/>
                <w:color w:val="auto"/>
              </w:rPr>
              <w:t>675,000</w:t>
            </w:r>
          </w:p>
        </w:tc>
        <w:tc>
          <w:tcPr>
            <w:tcW w:w="1160" w:type="dxa"/>
            <w:vAlign w:val="bottom"/>
            <w:tcBorders>
              <w:bottom w:val="single" w:sz="8" w:color="BCBEC0"/>
            </w:tcBorders>
          </w:tcPr>
          <w:p>
            <w:pPr>
              <w:jc w:val="right"/>
              <w:ind w:right="142"/>
              <w:spacing w:after="0"/>
              <w:rPr>
                <w:sz w:val="20"/>
                <w:szCs w:val="20"/>
                <w:color w:val="auto"/>
              </w:rPr>
            </w:pPr>
            <w:r>
              <w:rPr>
                <w:rFonts w:ascii="Arial" w:cs="Arial" w:eastAsia="Arial" w:hAnsi="Arial"/>
                <w:sz w:val="16"/>
                <w:szCs w:val="16"/>
                <w:color w:val="auto"/>
              </w:rPr>
              <w:t>660,000</w:t>
            </w:r>
          </w:p>
        </w:tc>
        <w:tc>
          <w:tcPr>
            <w:tcW w:w="660" w:type="dxa"/>
            <w:vAlign w:val="bottom"/>
            <w:tcBorders>
              <w:bottom w:val="single" w:sz="8" w:color="BCBEC0"/>
            </w:tcBorders>
          </w:tcPr>
          <w:p>
            <w:pPr>
              <w:spacing w:after="0"/>
              <w:rPr>
                <w:sz w:val="22"/>
                <w:szCs w:val="22"/>
                <w:color w:val="auto"/>
              </w:rPr>
            </w:pPr>
          </w:p>
        </w:tc>
        <w:tc>
          <w:tcPr>
            <w:tcW w:w="520" w:type="dxa"/>
            <w:vAlign w:val="bottom"/>
            <w:tcBorders>
              <w:bottom w:val="single" w:sz="8" w:color="BCBEC0"/>
            </w:tcBorders>
          </w:tcPr>
          <w:p>
            <w:pPr>
              <w:jc w:val="right"/>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64"/>
        </w:trPr>
        <w:tc>
          <w:tcPr>
            <w:tcW w:w="4680" w:type="dxa"/>
            <w:vAlign w:val="bottom"/>
            <w:tcBorders>
              <w:bottom w:val="single" w:sz="8" w:color="BCBEC0"/>
            </w:tcBorders>
          </w:tcPr>
          <w:p>
            <w:pPr>
              <w:ind w:left="20"/>
              <w:spacing w:after="0"/>
              <w:rPr>
                <w:sz w:val="20"/>
                <w:szCs w:val="20"/>
                <w:color w:val="auto"/>
              </w:rPr>
            </w:pPr>
            <w:r>
              <w:rPr>
                <w:rFonts w:ascii="Arial" w:cs="Arial" w:eastAsia="Arial" w:hAnsi="Arial"/>
                <w:sz w:val="16"/>
                <w:szCs w:val="16"/>
                <w:b w:val="1"/>
                <w:bCs w:val="1"/>
                <w:color w:val="0C3471"/>
              </w:rPr>
              <w:t>De'Mon L. Wiggins</w:t>
            </w:r>
          </w:p>
        </w:tc>
        <w:tc>
          <w:tcPr>
            <w:tcW w:w="4220" w:type="dxa"/>
            <w:vAlign w:val="bottom"/>
            <w:tcBorders>
              <w:bottom w:val="single" w:sz="8" w:color="BCBEC0"/>
            </w:tcBorders>
          </w:tcPr>
          <w:p>
            <w:pPr>
              <w:jc w:val="right"/>
              <w:ind w:right="182"/>
              <w:spacing w:after="0"/>
              <w:rPr>
                <w:sz w:val="20"/>
                <w:szCs w:val="20"/>
                <w:color w:val="auto"/>
              </w:rPr>
            </w:pPr>
            <w:r>
              <w:rPr>
                <w:rFonts w:ascii="Arial" w:cs="Arial" w:eastAsia="Arial" w:hAnsi="Arial"/>
                <w:sz w:val="16"/>
                <w:szCs w:val="16"/>
                <w:color w:val="auto"/>
              </w:rPr>
              <w:t>600,000</w:t>
            </w:r>
          </w:p>
        </w:tc>
        <w:tc>
          <w:tcPr>
            <w:tcW w:w="1160" w:type="dxa"/>
            <w:vAlign w:val="bottom"/>
            <w:tcBorders>
              <w:bottom w:val="single" w:sz="8" w:color="BCBEC0"/>
            </w:tcBorders>
          </w:tcPr>
          <w:p>
            <w:pPr>
              <w:jc w:val="right"/>
              <w:ind w:right="142"/>
              <w:spacing w:after="0"/>
              <w:rPr>
                <w:sz w:val="20"/>
                <w:szCs w:val="20"/>
                <w:color w:val="auto"/>
              </w:rPr>
            </w:pPr>
            <w:r>
              <w:rPr>
                <w:rFonts w:ascii="Arial" w:cs="Arial" w:eastAsia="Arial" w:hAnsi="Arial"/>
                <w:sz w:val="16"/>
                <w:szCs w:val="16"/>
                <w:color w:val="auto"/>
              </w:rPr>
              <w:t>550,000</w:t>
            </w:r>
          </w:p>
        </w:tc>
        <w:tc>
          <w:tcPr>
            <w:tcW w:w="660" w:type="dxa"/>
            <w:vAlign w:val="bottom"/>
            <w:tcBorders>
              <w:bottom w:val="single" w:sz="8" w:color="BCBEC0"/>
            </w:tcBorders>
          </w:tcPr>
          <w:p>
            <w:pPr>
              <w:spacing w:after="0"/>
              <w:rPr>
                <w:sz w:val="22"/>
                <w:szCs w:val="22"/>
                <w:color w:val="auto"/>
              </w:rPr>
            </w:pPr>
          </w:p>
        </w:tc>
        <w:tc>
          <w:tcPr>
            <w:tcW w:w="520" w:type="dxa"/>
            <w:vAlign w:val="bottom"/>
            <w:tcBorders>
              <w:bottom w:val="single" w:sz="8" w:color="BCBEC0"/>
            </w:tcBorders>
          </w:tcPr>
          <w:p>
            <w:pPr>
              <w:jc w:val="right"/>
              <w:spacing w:after="0"/>
              <w:rPr>
                <w:sz w:val="20"/>
                <w:szCs w:val="20"/>
                <w:color w:val="auto"/>
              </w:rPr>
            </w:pPr>
            <w:r>
              <w:rPr>
                <w:rFonts w:ascii="Arial" w:cs="Arial" w:eastAsia="Arial" w:hAnsi="Arial"/>
                <w:sz w:val="16"/>
                <w:szCs w:val="16"/>
                <w:color w:val="auto"/>
              </w:rPr>
              <w:t>9.1%</w:t>
            </w:r>
          </w:p>
        </w:tc>
        <w:tc>
          <w:tcPr>
            <w:tcW w:w="0" w:type="dxa"/>
            <w:vAlign w:val="bottom"/>
          </w:tcPr>
          <w:p>
            <w:pPr>
              <w:spacing w:after="0"/>
              <w:rPr>
                <w:sz w:val="1"/>
                <w:szCs w:val="1"/>
                <w:color w:val="auto"/>
              </w:rPr>
            </w:pPr>
          </w:p>
        </w:tc>
      </w:tr>
      <w:tr>
        <w:trPr>
          <w:trHeight w:val="264"/>
        </w:trPr>
        <w:tc>
          <w:tcPr>
            <w:tcW w:w="4680" w:type="dxa"/>
            <w:vAlign w:val="bottom"/>
            <w:tcBorders>
              <w:bottom w:val="single" w:sz="8" w:color="0C3471"/>
            </w:tcBorders>
          </w:tcPr>
          <w:p>
            <w:pPr>
              <w:ind w:left="20"/>
              <w:spacing w:after="0"/>
              <w:rPr>
                <w:sz w:val="20"/>
                <w:szCs w:val="20"/>
                <w:color w:val="auto"/>
              </w:rPr>
            </w:pPr>
            <w:r>
              <w:rPr>
                <w:rFonts w:ascii="Arial" w:cs="Arial" w:eastAsia="Arial" w:hAnsi="Arial"/>
                <w:sz w:val="16"/>
                <w:szCs w:val="16"/>
                <w:b w:val="1"/>
                <w:bCs w:val="1"/>
                <w:color w:val="0C3471"/>
              </w:rPr>
              <w:t>Adrian C. Chiu</w:t>
            </w:r>
          </w:p>
        </w:tc>
        <w:tc>
          <w:tcPr>
            <w:tcW w:w="4220" w:type="dxa"/>
            <w:vAlign w:val="bottom"/>
            <w:tcBorders>
              <w:bottom w:val="single" w:sz="8" w:color="0C3471"/>
            </w:tcBorders>
          </w:tcPr>
          <w:p>
            <w:pPr>
              <w:jc w:val="right"/>
              <w:ind w:right="182"/>
              <w:spacing w:after="0"/>
              <w:rPr>
                <w:sz w:val="20"/>
                <w:szCs w:val="20"/>
                <w:color w:val="auto"/>
              </w:rPr>
            </w:pPr>
            <w:r>
              <w:rPr>
                <w:rFonts w:ascii="Arial" w:cs="Arial" w:eastAsia="Arial" w:hAnsi="Arial"/>
                <w:sz w:val="16"/>
                <w:szCs w:val="16"/>
                <w:color w:val="auto"/>
              </w:rPr>
              <w:t>600,000</w:t>
            </w:r>
          </w:p>
        </w:tc>
        <w:tc>
          <w:tcPr>
            <w:tcW w:w="1160" w:type="dxa"/>
            <w:vAlign w:val="bottom"/>
            <w:tcBorders>
              <w:bottom w:val="single" w:sz="8" w:color="0C3471"/>
            </w:tcBorders>
          </w:tcPr>
          <w:p>
            <w:pPr>
              <w:jc w:val="right"/>
              <w:ind w:right="142"/>
              <w:spacing w:after="0"/>
              <w:rPr>
                <w:sz w:val="20"/>
                <w:szCs w:val="20"/>
                <w:color w:val="auto"/>
              </w:rPr>
            </w:pPr>
            <w:r>
              <w:rPr>
                <w:rFonts w:ascii="Arial" w:cs="Arial" w:eastAsia="Arial" w:hAnsi="Arial"/>
                <w:sz w:val="16"/>
                <w:szCs w:val="16"/>
                <w:color w:val="auto"/>
              </w:rPr>
              <w:t>550,000</w:t>
            </w:r>
          </w:p>
        </w:tc>
        <w:tc>
          <w:tcPr>
            <w:tcW w:w="660" w:type="dxa"/>
            <w:vAlign w:val="bottom"/>
            <w:tcBorders>
              <w:bottom w:val="single" w:sz="8" w:color="0C3471"/>
            </w:tcBorders>
          </w:tcPr>
          <w:p>
            <w:pPr>
              <w:spacing w:after="0"/>
              <w:rPr>
                <w:sz w:val="22"/>
                <w:szCs w:val="22"/>
                <w:color w:val="auto"/>
              </w:rPr>
            </w:pPr>
          </w:p>
        </w:tc>
        <w:tc>
          <w:tcPr>
            <w:tcW w:w="520" w:type="dxa"/>
            <w:vAlign w:val="bottom"/>
            <w:tcBorders>
              <w:bottom w:val="single" w:sz="8" w:color="0C3471"/>
            </w:tcBorders>
          </w:tcPr>
          <w:p>
            <w:pPr>
              <w:jc w:val="right"/>
              <w:spacing w:after="0"/>
              <w:rPr>
                <w:sz w:val="20"/>
                <w:szCs w:val="20"/>
                <w:color w:val="auto"/>
              </w:rPr>
            </w:pPr>
            <w:r>
              <w:rPr>
                <w:rFonts w:ascii="Arial" w:cs="Arial" w:eastAsia="Arial" w:hAnsi="Arial"/>
                <w:sz w:val="16"/>
                <w:szCs w:val="16"/>
                <w:color w:val="auto"/>
              </w:rPr>
              <w:t>9.1%</w:t>
            </w:r>
          </w:p>
        </w:tc>
        <w:tc>
          <w:tcPr>
            <w:tcW w:w="0" w:type="dxa"/>
            <w:vAlign w:val="bottom"/>
          </w:tcPr>
          <w:p>
            <w:pPr>
              <w:spacing w:after="0"/>
              <w:rPr>
                <w:sz w:val="1"/>
                <w:szCs w:val="1"/>
                <w:color w:val="auto"/>
              </w:rPr>
            </w:pPr>
          </w:p>
        </w:tc>
      </w:tr>
      <w:tr>
        <w:trPr>
          <w:trHeight w:val="948"/>
        </w:trPr>
        <w:tc>
          <w:tcPr>
            <w:tcW w:w="4680" w:type="dxa"/>
            <w:vAlign w:val="bottom"/>
          </w:tcPr>
          <w:p>
            <w:pPr>
              <w:spacing w:after="0"/>
              <w:rPr>
                <w:sz w:val="24"/>
                <w:szCs w:val="24"/>
                <w:color w:val="auto"/>
              </w:rPr>
            </w:pPr>
          </w:p>
        </w:tc>
        <w:tc>
          <w:tcPr>
            <w:tcW w:w="6040" w:type="dxa"/>
            <w:vAlign w:val="bottom"/>
            <w:gridSpan w:val="3"/>
          </w:tcPr>
          <w:p>
            <w:pPr>
              <w:ind w:left="3580"/>
              <w:spacing w:after="0"/>
              <w:rPr>
                <w:sz w:val="20"/>
                <w:szCs w:val="20"/>
                <w:color w:val="auto"/>
              </w:rPr>
            </w:pPr>
            <w:r>
              <w:rPr>
                <w:rFonts w:ascii="Arial" w:cs="Arial" w:eastAsia="Arial" w:hAnsi="Arial"/>
                <w:sz w:val="16"/>
                <w:szCs w:val="16"/>
                <w:b w:val="1"/>
                <w:bCs w:val="1"/>
                <w:color w:val="auto"/>
              </w:rPr>
              <w:t xml:space="preserve">2026 Proxy Statement </w:t>
            </w:r>
            <w:r>
              <w:rPr>
                <w:rFonts w:ascii="Arial" w:cs="Arial" w:eastAsia="Arial" w:hAnsi="Arial"/>
                <w:sz w:val="16"/>
                <w:szCs w:val="16"/>
                <w:b w:val="1"/>
                <w:bCs w:val="1"/>
                <w:color w:val="0C3471"/>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Pentair</w:t>
            </w:r>
          </w:p>
        </w:tc>
        <w:tc>
          <w:tcPr>
            <w:tcW w:w="520" w:type="dxa"/>
            <w:vAlign w:val="bottom"/>
          </w:tcPr>
          <w:p>
            <w:pPr>
              <w:jc w:val="right"/>
              <w:spacing w:after="0"/>
              <w:rPr>
                <w:sz w:val="20"/>
                <w:szCs w:val="20"/>
                <w:color w:val="auto"/>
              </w:rPr>
            </w:pPr>
            <w:r>
              <w:rPr>
                <w:rFonts w:ascii="Arial" w:cs="Arial" w:eastAsia="Arial" w:hAnsi="Arial"/>
                <w:sz w:val="16"/>
                <w:szCs w:val="16"/>
                <w:b w:val="1"/>
                <w:bCs w:val="1"/>
                <w:color w:val="auto"/>
              </w:rPr>
              <w:t>41</w:t>
            </w:r>
          </w:p>
        </w:tc>
        <w:tc>
          <w:tcPr>
            <w:tcW w:w="0" w:type="dxa"/>
            <w:vAlign w:val="bottom"/>
          </w:tcPr>
          <w:p>
            <w:pPr>
              <w:spacing w:after="0"/>
              <w:rPr>
                <w:sz w:val="1"/>
                <w:szCs w:val="1"/>
                <w:color w:val="auto"/>
              </w:rPr>
            </w:pPr>
          </w:p>
        </w:tc>
      </w:tr>
      <w:tr>
        <w:trPr>
          <w:trHeight w:val="311"/>
        </w:trPr>
        <w:tc>
          <w:tcPr>
            <w:tcW w:w="4680" w:type="dxa"/>
            <w:vAlign w:val="bottom"/>
            <w:tcBorders>
              <w:bottom w:val="single" w:sz="8" w:color="9A9A9A"/>
            </w:tcBorders>
          </w:tcPr>
          <w:p>
            <w:pPr>
              <w:spacing w:after="0"/>
              <w:rPr>
                <w:sz w:val="24"/>
                <w:szCs w:val="24"/>
                <w:color w:val="auto"/>
              </w:rPr>
            </w:pPr>
          </w:p>
        </w:tc>
        <w:tc>
          <w:tcPr>
            <w:tcW w:w="422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43" w:name="page44"/>
    <w:bookmarkEnd w:id="43"/>
    <w:p>
      <w:pPr>
        <w:ind w:left="36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216535</wp:posOffset>
            </wp:positionH>
            <wp:positionV relativeFrom="page">
              <wp:posOffset>106045</wp:posOffset>
            </wp:positionV>
            <wp:extent cx="102870" cy="11176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clrChange>
                        <a:clrFrom>
                          <a:srgbClr val="FFFFFF"/>
                        </a:clrFrom>
                        <a:clrTo>
                          <a:srgbClr val="FFFFFF">
                            <a:alpha val="0"/>
                          </a:srgbClr>
                        </a:clrTo>
                      </a:clrChange>
                      <a:extLst>
                        <a:ext uri="{28A0092B-C50C-407E-A947-70E740481C1C}"/>
                      </a:extLst>
                    </a:blip>
                    <a:srcRect/>
                    <a:stretch>
                      <a:fillRect/>
                    </a:stretch>
                  </pic:blipFill>
                  <pic:spPr bwMode="auto">
                    <a:xfrm>
                      <a:off x="0" y="0"/>
                      <a:ext cx="102870" cy="111760"/>
                    </a:xfrm>
                    <a:prstGeom prst="rect">
                      <a:avLst/>
                    </a:prstGeom>
                    <a:noFill/>
                  </pic:spPr>
                </pic:pic>
              </a:graphicData>
            </a:graphic>
          </wp:anchor>
        </w:drawing>
        <w:t>Compensation Discussion and Analysis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720"/>
        <w:spacing w:after="0"/>
        <w:rPr>
          <w:sz w:val="20"/>
          <w:szCs w:val="20"/>
          <w:color w:val="auto"/>
        </w:rPr>
      </w:pPr>
      <w:r>
        <w:rPr>
          <w:rFonts w:ascii="Arial" w:cs="Arial" w:eastAsia="Arial" w:hAnsi="Arial"/>
          <w:sz w:val="29"/>
          <w:szCs w:val="29"/>
          <w:color w:val="64A70B"/>
        </w:rPr>
        <w:t>Annual Incentive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-190500</wp:posOffset>
            </wp:positionV>
            <wp:extent cx="282575" cy="28321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282575" cy="283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Purpose</w:t>
      </w:r>
    </w:p>
    <w:p>
      <w:pPr>
        <w:spacing w:after="0" w:line="141" w:lineRule="exact"/>
        <w:rPr>
          <w:sz w:val="20"/>
          <w:szCs w:val="20"/>
          <w:color w:val="auto"/>
        </w:rPr>
      </w:pPr>
    </w:p>
    <w:p>
      <w:pPr>
        <w:ind w:right="580"/>
        <w:spacing w:after="0" w:line="283" w:lineRule="auto"/>
        <w:rPr>
          <w:sz w:val="20"/>
          <w:szCs w:val="20"/>
          <w:color w:val="auto"/>
        </w:rPr>
      </w:pPr>
      <w:r>
        <w:rPr>
          <w:rFonts w:ascii="Arial" w:cs="Arial" w:eastAsia="Arial" w:hAnsi="Arial"/>
          <w:sz w:val="16"/>
          <w:szCs w:val="16"/>
          <w:color w:val="auto"/>
        </w:rPr>
        <w:t>To provide competitive compensation to attract and retain top talent while linking pay to annual performance, we pay a portion of our executives’ cash compensation as incentive compensation tied to annual business performance as measured against annual goals established by the Compensation Committee. In 2025, we provided a cash annual incentive compensation opportunity to each of our executive officers, including the Named Executive Officers, under our Management Incentive Plan.</w:t>
      </w:r>
    </w:p>
    <w:p>
      <w:pPr>
        <w:spacing w:after="0" w:line="215"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How We Set Award Values</w:t>
      </w:r>
    </w:p>
    <w:p>
      <w:pPr>
        <w:spacing w:after="0" w:line="128" w:lineRule="exact"/>
        <w:rPr>
          <w:sz w:val="20"/>
          <w:szCs w:val="20"/>
          <w:color w:val="auto"/>
        </w:rPr>
      </w:pPr>
    </w:p>
    <w:p>
      <w:pPr>
        <w:ind w:right="260"/>
        <w:spacing w:after="0" w:line="287" w:lineRule="auto"/>
        <w:rPr>
          <w:sz w:val="20"/>
          <w:szCs w:val="20"/>
          <w:color w:val="auto"/>
        </w:rPr>
      </w:pPr>
      <w:r>
        <w:rPr>
          <w:rFonts w:ascii="Arial" w:cs="Arial" w:eastAsia="Arial" w:hAnsi="Arial"/>
          <w:sz w:val="16"/>
          <w:szCs w:val="16"/>
          <w:color w:val="auto"/>
        </w:rPr>
        <w:t>The Compensation Committee determines a percentage of each executive officer’s base salary as a targeted level of incentive compensation opportunity under the MIP, based on the Compensation Committee’s review of Aon Consulting’s recommendations, relevant survey data, and in the case of executive officers other than the Chief Executive Officer, the recommendations of the Chief Executive Officer. The Compensation Committee generally sets each executive officer’s target incentive compensation opportunity taking into consideration the Comparator Group’s target payouts but does not set target incentive compensation opportunities based on a particular peer group benchmark or any single factor.</w:t>
      </w:r>
    </w:p>
    <w:p>
      <w:pPr>
        <w:spacing w:after="0" w:line="61" w:lineRule="exact"/>
        <w:rPr>
          <w:sz w:val="20"/>
          <w:szCs w:val="20"/>
          <w:color w:val="auto"/>
        </w:rPr>
      </w:pPr>
    </w:p>
    <w:p>
      <w:pPr>
        <w:ind w:right="200"/>
        <w:spacing w:after="0" w:line="289" w:lineRule="auto"/>
        <w:rPr>
          <w:sz w:val="20"/>
          <w:szCs w:val="20"/>
          <w:color w:val="auto"/>
        </w:rPr>
      </w:pPr>
      <w:r>
        <w:rPr>
          <w:rFonts w:ascii="Arial" w:cs="Arial" w:eastAsia="Arial" w:hAnsi="Arial"/>
          <w:sz w:val="16"/>
          <w:szCs w:val="16"/>
          <w:color w:val="auto"/>
        </w:rPr>
        <w:t>The actual target incentive compensation opportunity set by the Compensation Committee for each executive officer varies depending on a wide range of factors, including competitive conditions for the executive officer’s position within the Comparator Group and in the broader employment market, as well as the executive officer’s performance, level of responsibility and experience. An executive officer’s base salary multiplied by the incentive compensation opportunity percentage establishes the target incentive compensation for which the executive officer is eligible.</w:t>
      </w:r>
    </w:p>
    <w:p>
      <w:pPr>
        <w:sectPr>
          <w:pgSz w:w="11900" w:h="16838" w:orient="portrait"/>
          <w:cols w:equalWidth="0" w:num="1">
            <w:col w:w="11260"/>
          </w:cols>
          <w:pgMar w:left="320" w:top="179" w:right="319" w:bottom="1440" w:gutter="0" w:footer="0" w:header="0"/>
        </w:sectPr>
      </w:pP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Company-wide </w:t>
      </w:r>
      <w:r>
        <w:rPr>
          <w:rFonts w:ascii="Arial" w:cs="Arial" w:eastAsia="Arial" w:hAnsi="Arial"/>
          <w:sz w:val="17"/>
          <w:szCs w:val="17"/>
          <w:b w:val="1"/>
          <w:bCs w:val="1"/>
          <w:color w:val="auto"/>
        </w:rPr>
        <w:t>(Stauch and Fishman)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2768600" cy="6686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2768600" cy="668655"/>
                    </a:xfrm>
                    <a:prstGeom prst="rect">
                      <a:avLst/>
                    </a:prstGeom>
                    <a:noFill/>
                  </pic:spPr>
                </pic:pic>
              </a:graphicData>
            </a:graphic>
          </wp:anchor>
        </w:drawing>
      </w:r>
    </w:p>
    <w:p>
      <w:pPr>
        <w:spacing w:after="0" w:line="214" w:lineRule="exact"/>
        <w:rPr>
          <w:sz w:val="20"/>
          <w:szCs w:val="20"/>
          <w:color w:val="auto"/>
        </w:rPr>
      </w:pPr>
    </w:p>
    <w:p>
      <w:pPr>
        <w:ind w:left="120"/>
        <w:spacing w:after="0" w:line="277" w:lineRule="auto"/>
        <w:rPr>
          <w:sz w:val="20"/>
          <w:szCs w:val="20"/>
          <w:color w:val="auto"/>
        </w:rPr>
      </w:pPr>
      <w:r>
        <w:rPr>
          <w:rFonts w:ascii="Arial" w:cs="Arial" w:eastAsia="Arial" w:hAnsi="Arial"/>
          <w:sz w:val="16"/>
          <w:szCs w:val="16"/>
          <w:b w:val="1"/>
          <w:bCs w:val="1"/>
          <w:color w:val="FFFFFF"/>
        </w:rPr>
        <w:t>Pentair Adjusted Operating Income (50% weight) + Pentair Revenue (30% weight) +</w:t>
      </w:r>
    </w:p>
    <w:p>
      <w:pPr>
        <w:ind w:left="120"/>
        <w:spacing w:after="0"/>
        <w:rPr>
          <w:sz w:val="20"/>
          <w:szCs w:val="20"/>
          <w:color w:val="auto"/>
        </w:rPr>
      </w:pPr>
      <w:r>
        <w:rPr>
          <w:rFonts w:ascii="Arial" w:cs="Arial" w:eastAsia="Arial" w:hAnsi="Arial"/>
          <w:sz w:val="16"/>
          <w:szCs w:val="16"/>
          <w:b w:val="1"/>
          <w:bCs w:val="1"/>
          <w:color w:val="FFFFFF"/>
        </w:rPr>
        <w:t>Pentair Cash Flow (20% weight)</w:t>
      </w:r>
    </w:p>
    <w:p>
      <w:pPr>
        <w:spacing w:after="0" w:line="28"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FFFFFF"/>
        </w:rPr>
        <w:t>(0-200%)*</w:t>
      </w:r>
    </w:p>
    <w:p>
      <w:pPr>
        <w:spacing w:after="0" w:line="39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Pool </w:t>
      </w:r>
      <w:r>
        <w:rPr>
          <w:rFonts w:ascii="Arial" w:cs="Arial" w:eastAsia="Arial" w:hAnsi="Arial"/>
          <w:sz w:val="17"/>
          <w:szCs w:val="17"/>
          <w:b w:val="1"/>
          <w:bCs w:val="1"/>
          <w:color w:val="auto"/>
        </w:rPr>
        <w:t>(Pedretti)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2768600" cy="80581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2768600" cy="805815"/>
                    </a:xfrm>
                    <a:prstGeom prst="rect">
                      <a:avLst/>
                    </a:prstGeom>
                    <a:noFill/>
                  </pic:spPr>
                </pic:pic>
              </a:graphicData>
            </a:graphic>
          </wp:anchor>
        </w:drawing>
      </w:r>
    </w:p>
    <w:p>
      <w:pPr>
        <w:spacing w:after="0" w:line="241"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FFFFFF"/>
        </w:rPr>
        <w:t>Pool Income (40% weight) +</w:t>
      </w:r>
    </w:p>
    <w:p>
      <w:pPr>
        <w:spacing w:after="0" w:line="39"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FFFFFF"/>
        </w:rPr>
        <w:t>Pool Revenue (20% weight) +</w:t>
      </w:r>
    </w:p>
    <w:p>
      <w:pPr>
        <w:spacing w:after="0" w:line="28"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FFFFFF"/>
        </w:rPr>
        <w:t>Pentair Free Cash Flow (20% weight) +</w:t>
      </w:r>
    </w:p>
    <w:p>
      <w:pPr>
        <w:spacing w:after="0" w:line="23" w:lineRule="exact"/>
        <w:rPr>
          <w:sz w:val="20"/>
          <w:szCs w:val="20"/>
          <w:color w:val="auto"/>
        </w:rPr>
      </w:pPr>
    </w:p>
    <w:p>
      <w:pPr>
        <w:ind w:left="120" w:right="140"/>
        <w:spacing w:after="0" w:line="323" w:lineRule="auto"/>
        <w:rPr>
          <w:sz w:val="20"/>
          <w:szCs w:val="20"/>
          <w:color w:val="auto"/>
        </w:rPr>
      </w:pPr>
      <w:r>
        <w:rPr>
          <w:rFonts w:ascii="Arial" w:cs="Arial" w:eastAsia="Arial" w:hAnsi="Arial"/>
          <w:sz w:val="16"/>
          <w:szCs w:val="16"/>
          <w:b w:val="1"/>
          <w:bCs w:val="1"/>
          <w:color w:val="FFFFFF"/>
        </w:rPr>
        <w:t>Pentair Adjusted Operating Income (20% weight) (0-200%)*</w:t>
      </w:r>
    </w:p>
    <w:p>
      <w:pPr>
        <w:spacing w:after="0" w:line="3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Flow </w:t>
      </w:r>
      <w:r>
        <w:rPr>
          <w:rFonts w:ascii="Arial" w:cs="Arial" w:eastAsia="Arial" w:hAnsi="Arial"/>
          <w:sz w:val="17"/>
          <w:szCs w:val="17"/>
          <w:b w:val="1"/>
          <w:bCs w:val="1"/>
          <w:color w:val="auto"/>
        </w:rPr>
        <w:t>(Wiggins)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2768600" cy="80581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2768600" cy="805815"/>
                    </a:xfrm>
                    <a:prstGeom prst="rect">
                      <a:avLst/>
                    </a:prstGeom>
                    <a:noFill/>
                  </pic:spPr>
                </pic:pic>
              </a:graphicData>
            </a:graphic>
          </wp:anchor>
        </w:drawing>
      </w:r>
    </w:p>
    <w:p>
      <w:pPr>
        <w:spacing w:after="0" w:line="241"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FFFFFF"/>
        </w:rPr>
        <w:t>Flow Income (40% weight) +</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FFFFFF"/>
        </w:rPr>
        <w:t>Flow Revenue (20% weight) +</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FFFFFF"/>
        </w:rPr>
        <w:t>Pentair Free Cash Flow (20% weight) +</w:t>
      </w:r>
    </w:p>
    <w:p>
      <w:pPr>
        <w:spacing w:after="0" w:line="28" w:lineRule="exact"/>
        <w:rPr>
          <w:sz w:val="20"/>
          <w:szCs w:val="20"/>
          <w:color w:val="auto"/>
        </w:rPr>
      </w:pPr>
    </w:p>
    <w:p>
      <w:pPr>
        <w:ind w:left="120" w:right="140"/>
        <w:spacing w:after="0" w:line="311" w:lineRule="auto"/>
        <w:rPr>
          <w:sz w:val="20"/>
          <w:szCs w:val="20"/>
          <w:color w:val="auto"/>
        </w:rPr>
      </w:pPr>
      <w:r>
        <w:rPr>
          <w:rFonts w:ascii="Arial" w:cs="Arial" w:eastAsia="Arial" w:hAnsi="Arial"/>
          <w:sz w:val="16"/>
          <w:szCs w:val="16"/>
          <w:b w:val="1"/>
          <w:bCs w:val="1"/>
          <w:color w:val="FFFFFF"/>
        </w:rPr>
        <w:t>Pentair Adjusted Operating Income (20% weight) (0-200%)*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1" w:lineRule="exact"/>
        <w:rPr>
          <w:sz w:val="20"/>
          <w:szCs w:val="20"/>
          <w:color w:val="auto"/>
        </w:rPr>
      </w:pPr>
    </w:p>
    <w:p>
      <w:pPr>
        <w:ind w:left="701" w:hanging="701"/>
        <w:spacing w:after="0"/>
        <w:tabs>
          <w:tab w:leader="none" w:pos="701" w:val="left"/>
        </w:tabs>
        <w:numPr>
          <w:ilvl w:val="0"/>
          <w:numId w:val="84"/>
        </w:numPr>
        <w:rPr>
          <w:rFonts w:ascii="Arial" w:cs="Arial" w:eastAsia="Arial" w:hAnsi="Arial"/>
          <w:sz w:val="39"/>
          <w:szCs w:val="39"/>
          <w:b w:val="1"/>
          <w:bCs w:val="1"/>
          <w:color w:val="64A70B"/>
          <w:vertAlign w:val="subscript"/>
        </w:rPr>
      </w:pPr>
      <w:r>
        <w:rPr>
          <w:rFonts w:ascii="Arial" w:cs="Arial" w:eastAsia="Arial" w:hAnsi="Arial"/>
          <w:sz w:val="15"/>
          <w:szCs w:val="15"/>
          <w:b w:val="1"/>
          <w:bCs w:val="1"/>
          <w:color w:val="FFFFFF"/>
        </w:rPr>
        <w:t>Target Award</w:t>
      </w:r>
    </w:p>
    <w:p>
      <w:pPr>
        <w:ind w:left="781"/>
        <w:spacing w:after="0"/>
        <w:rPr>
          <w:rFonts w:ascii="Arial" w:cs="Arial" w:eastAsia="Arial" w:hAnsi="Arial"/>
          <w:sz w:val="39"/>
          <w:szCs w:val="39"/>
          <w:b w:val="1"/>
          <w:bCs w:val="1"/>
          <w:color w:val="64A70B"/>
          <w:vertAlign w:val="subscript"/>
        </w:rPr>
      </w:pPr>
      <w:r>
        <w:rPr>
          <w:rFonts w:ascii="Arial" w:cs="Arial" w:eastAsia="Arial" w:hAnsi="Arial"/>
          <w:sz w:val="16"/>
          <w:szCs w:val="16"/>
          <w:b w:val="1"/>
          <w:bCs w:val="1"/>
          <w:color w:val="FFFFFF"/>
        </w:rPr>
        <w:t>Amount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222250</wp:posOffset>
            </wp:positionH>
            <wp:positionV relativeFrom="paragraph">
              <wp:posOffset>-426085</wp:posOffset>
            </wp:positionV>
            <wp:extent cx="1088390" cy="6686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088390" cy="668655"/>
                    </a:xfrm>
                    <a:prstGeom prst="rect">
                      <a:avLst/>
                    </a:prstGeom>
                    <a:noFill/>
                  </pic:spPr>
                </pic:pic>
              </a:graphicData>
            </a:graphic>
          </wp:anchor>
        </w:drawing>
        <w:drawing>
          <wp:anchor simplePos="0" relativeHeight="251657728" behindDoc="1" locked="0" layoutInCell="0" allowOverlap="1">
            <wp:simplePos x="0" y="0"/>
            <wp:positionH relativeFrom="column">
              <wp:posOffset>222250</wp:posOffset>
            </wp:positionH>
            <wp:positionV relativeFrom="paragraph">
              <wp:posOffset>670560</wp:posOffset>
            </wp:positionV>
            <wp:extent cx="1088390" cy="80581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088390" cy="805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701" w:hanging="701"/>
        <w:spacing w:after="0"/>
        <w:tabs>
          <w:tab w:leader="none" w:pos="701" w:val="left"/>
        </w:tabs>
        <w:numPr>
          <w:ilvl w:val="0"/>
          <w:numId w:val="85"/>
        </w:numPr>
        <w:rPr>
          <w:rFonts w:ascii="Arial" w:cs="Arial" w:eastAsia="Arial" w:hAnsi="Arial"/>
          <w:sz w:val="39"/>
          <w:szCs w:val="39"/>
          <w:b w:val="1"/>
          <w:bCs w:val="1"/>
          <w:color w:val="64A70B"/>
          <w:vertAlign w:val="subscript"/>
        </w:rPr>
      </w:pPr>
      <w:r>
        <w:rPr>
          <w:rFonts w:ascii="Arial" w:cs="Arial" w:eastAsia="Arial" w:hAnsi="Arial"/>
          <w:sz w:val="15"/>
          <w:szCs w:val="15"/>
          <w:b w:val="1"/>
          <w:bCs w:val="1"/>
          <w:color w:val="FFFFFF"/>
        </w:rPr>
        <w:t>Target Award</w:t>
      </w:r>
    </w:p>
    <w:p>
      <w:pPr>
        <w:spacing w:after="0" w:line="9" w:lineRule="exact"/>
        <w:rPr>
          <w:rFonts w:ascii="Arial" w:cs="Arial" w:eastAsia="Arial" w:hAnsi="Arial"/>
          <w:sz w:val="39"/>
          <w:szCs w:val="39"/>
          <w:b w:val="1"/>
          <w:bCs w:val="1"/>
          <w:color w:val="64A70B"/>
          <w:vertAlign w:val="subscript"/>
        </w:rPr>
      </w:pPr>
    </w:p>
    <w:p>
      <w:pPr>
        <w:ind w:left="781"/>
        <w:spacing w:after="0"/>
        <w:rPr>
          <w:rFonts w:ascii="Arial" w:cs="Arial" w:eastAsia="Arial" w:hAnsi="Arial"/>
          <w:sz w:val="39"/>
          <w:szCs w:val="39"/>
          <w:b w:val="1"/>
          <w:bCs w:val="1"/>
          <w:color w:val="64A70B"/>
          <w:vertAlign w:val="subscript"/>
        </w:rPr>
      </w:pPr>
      <w:r>
        <w:rPr>
          <w:rFonts w:ascii="Arial" w:cs="Arial" w:eastAsia="Arial" w:hAnsi="Arial"/>
          <w:sz w:val="16"/>
          <w:szCs w:val="16"/>
          <w:b w:val="1"/>
          <w:bCs w:val="1"/>
          <w:color w:val="FFFFFF"/>
        </w:rPr>
        <w:t>Amount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222250</wp:posOffset>
            </wp:positionH>
            <wp:positionV relativeFrom="paragraph">
              <wp:posOffset>739140</wp:posOffset>
            </wp:positionV>
            <wp:extent cx="1088390" cy="80581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088390" cy="805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701" w:hanging="701"/>
        <w:spacing w:after="0"/>
        <w:tabs>
          <w:tab w:leader="none" w:pos="701" w:val="left"/>
        </w:tabs>
        <w:numPr>
          <w:ilvl w:val="0"/>
          <w:numId w:val="86"/>
        </w:numPr>
        <w:rPr>
          <w:rFonts w:ascii="Arial" w:cs="Arial" w:eastAsia="Arial" w:hAnsi="Arial"/>
          <w:sz w:val="39"/>
          <w:szCs w:val="39"/>
          <w:b w:val="1"/>
          <w:bCs w:val="1"/>
          <w:color w:val="64A70B"/>
          <w:vertAlign w:val="subscript"/>
        </w:rPr>
      </w:pPr>
      <w:r>
        <w:rPr>
          <w:rFonts w:ascii="Arial" w:cs="Arial" w:eastAsia="Arial" w:hAnsi="Arial"/>
          <w:sz w:val="15"/>
          <w:szCs w:val="15"/>
          <w:b w:val="1"/>
          <w:bCs w:val="1"/>
          <w:color w:val="FFFFFF"/>
        </w:rPr>
        <w:t>Target Award</w:t>
      </w:r>
    </w:p>
    <w:p>
      <w:pPr>
        <w:ind w:left="781"/>
        <w:spacing w:after="0"/>
        <w:rPr>
          <w:rFonts w:ascii="Arial" w:cs="Arial" w:eastAsia="Arial" w:hAnsi="Arial"/>
          <w:sz w:val="39"/>
          <w:szCs w:val="39"/>
          <w:b w:val="1"/>
          <w:bCs w:val="1"/>
          <w:color w:val="64A70B"/>
          <w:vertAlign w:val="subscript"/>
        </w:rPr>
      </w:pPr>
      <w:r>
        <w:rPr>
          <w:rFonts w:ascii="Arial" w:cs="Arial" w:eastAsia="Arial" w:hAnsi="Arial"/>
          <w:sz w:val="16"/>
          <w:szCs w:val="16"/>
          <w:b w:val="1"/>
          <w:bCs w:val="1"/>
          <w:color w:val="FFFFFF"/>
        </w:rPr>
        <w:t>Amount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64"/>
        </w:trPr>
        <w:tc>
          <w:tcPr>
            <w:tcW w:w="360" w:type="dxa"/>
            <w:vAlign w:val="bottom"/>
            <w:tcBorders>
              <w:right w:val="single" w:sz="8" w:color="0C3471"/>
            </w:tcBorders>
            <w:vMerge w:val="restart"/>
          </w:tcPr>
          <w:p>
            <w:pPr>
              <w:spacing w:after="0"/>
              <w:rPr>
                <w:sz w:val="20"/>
                <w:szCs w:val="20"/>
                <w:color w:val="auto"/>
              </w:rPr>
            </w:pPr>
            <w:r>
              <w:rPr>
                <w:rFonts w:ascii="Arial" w:cs="Arial" w:eastAsia="Arial" w:hAnsi="Arial"/>
                <w:sz w:val="22"/>
                <w:szCs w:val="22"/>
                <w:b w:val="1"/>
                <w:bCs w:val="1"/>
                <w:color w:val="64A70B"/>
              </w:rPr>
              <w:t>x</w:t>
            </w:r>
          </w:p>
        </w:tc>
        <w:tc>
          <w:tcPr>
            <w:tcW w:w="1700" w:type="dxa"/>
            <w:vAlign w:val="bottom"/>
            <w:tcBorders>
              <w:top w:val="single" w:sz="8" w:color="0C3471"/>
              <w:right w:val="single" w:sz="8" w:color="0C3471"/>
            </w:tcBorders>
            <w:shd w:val="clear" w:color="auto" w:fill="6D85AA"/>
          </w:tcPr>
          <w:p>
            <w:pPr>
              <w:jc w:val="center"/>
              <w:spacing w:after="0"/>
              <w:rPr>
                <w:sz w:val="20"/>
                <w:szCs w:val="20"/>
                <w:color w:val="auto"/>
              </w:rPr>
            </w:pPr>
            <w:r>
              <w:rPr>
                <w:rFonts w:ascii="Arial" w:cs="Arial" w:eastAsia="Arial" w:hAnsi="Arial"/>
                <w:sz w:val="16"/>
                <w:szCs w:val="16"/>
                <w:b w:val="1"/>
                <w:bCs w:val="1"/>
                <w:color w:val="FFFFFF"/>
                <w:w w:val="99"/>
              </w:rPr>
              <w:t>Sustainability</w:t>
            </w:r>
          </w:p>
        </w:tc>
        <w:tc>
          <w:tcPr>
            <w:tcW w:w="600" w:type="dxa"/>
            <w:vAlign w:val="bottom"/>
            <w:tcBorders>
              <w:right w:val="single" w:sz="8" w:color="64A70B"/>
            </w:tcBorders>
            <w:vMerge w:val="restart"/>
          </w:tcPr>
          <w:p>
            <w:pPr>
              <w:jc w:val="right"/>
              <w:ind w:right="132"/>
              <w:spacing w:after="0"/>
              <w:rPr>
                <w:sz w:val="20"/>
                <w:szCs w:val="20"/>
                <w:color w:val="auto"/>
              </w:rPr>
            </w:pPr>
            <w:r>
              <w:rPr>
                <w:rFonts w:ascii="Arial" w:cs="Arial" w:eastAsia="Arial" w:hAnsi="Arial"/>
                <w:sz w:val="22"/>
                <w:szCs w:val="22"/>
                <w:b w:val="1"/>
                <w:bCs w:val="1"/>
                <w:color w:val="64A70B"/>
              </w:rPr>
              <w:t>=</w:t>
            </w:r>
          </w:p>
        </w:tc>
        <w:tc>
          <w:tcPr>
            <w:tcW w:w="1700" w:type="dxa"/>
            <w:vAlign w:val="bottom"/>
            <w:tcBorders>
              <w:top w:val="single" w:sz="8" w:color="64A70B"/>
              <w:right w:val="single" w:sz="8" w:color="64A70B"/>
            </w:tcBorders>
            <w:shd w:val="clear" w:color="auto" w:fill="0C3471"/>
          </w:tcPr>
          <w:p>
            <w:pPr>
              <w:jc w:val="center"/>
              <w:spacing w:after="0"/>
              <w:rPr>
                <w:sz w:val="20"/>
                <w:szCs w:val="20"/>
                <w:color w:val="auto"/>
              </w:rPr>
            </w:pPr>
            <w:r>
              <w:rPr>
                <w:rFonts w:ascii="Arial" w:cs="Arial" w:eastAsia="Arial" w:hAnsi="Arial"/>
                <w:sz w:val="16"/>
                <w:szCs w:val="16"/>
                <w:b w:val="1"/>
                <w:bCs w:val="1"/>
                <w:color w:val="FFFFFF"/>
              </w:rPr>
              <w:t>Annual</w:t>
            </w:r>
          </w:p>
        </w:tc>
        <w:tc>
          <w:tcPr>
            <w:tcW w:w="0" w:type="dxa"/>
            <w:vAlign w:val="bottom"/>
          </w:tcPr>
          <w:p>
            <w:pPr>
              <w:spacing w:after="0"/>
              <w:rPr>
                <w:sz w:val="1"/>
                <w:szCs w:val="1"/>
                <w:color w:val="auto"/>
              </w:rPr>
            </w:pPr>
          </w:p>
        </w:tc>
      </w:tr>
      <w:tr>
        <w:trPr>
          <w:trHeight w:val="216"/>
        </w:trPr>
        <w:tc>
          <w:tcPr>
            <w:tcW w:w="360" w:type="dxa"/>
            <w:vAlign w:val="bottom"/>
            <w:tcBorders>
              <w:right w:val="single" w:sz="8" w:color="0C3471"/>
            </w:tcBorders>
            <w:vMerge w:val="continue"/>
          </w:tcPr>
          <w:p>
            <w:pPr>
              <w:spacing w:after="0"/>
              <w:rPr>
                <w:sz w:val="18"/>
                <w:szCs w:val="18"/>
                <w:color w:val="auto"/>
              </w:rPr>
            </w:pPr>
          </w:p>
        </w:tc>
        <w:tc>
          <w:tcPr>
            <w:tcW w:w="1700" w:type="dxa"/>
            <w:vAlign w:val="bottom"/>
            <w:tcBorders>
              <w:right w:val="single" w:sz="8" w:color="0C3471"/>
            </w:tcBorders>
            <w:shd w:val="clear" w:color="auto" w:fill="6D85AA"/>
          </w:tcPr>
          <w:p>
            <w:pPr>
              <w:jc w:val="center"/>
              <w:spacing w:after="0"/>
              <w:rPr>
                <w:sz w:val="20"/>
                <w:szCs w:val="20"/>
                <w:color w:val="auto"/>
              </w:rPr>
            </w:pPr>
            <w:r>
              <w:rPr>
                <w:rFonts w:ascii="Arial" w:cs="Arial" w:eastAsia="Arial" w:hAnsi="Arial"/>
                <w:sz w:val="16"/>
                <w:szCs w:val="16"/>
                <w:b w:val="1"/>
                <w:bCs w:val="1"/>
                <w:color w:val="FFFFFF"/>
              </w:rPr>
              <w:t>Modifier</w:t>
            </w:r>
          </w:p>
        </w:tc>
        <w:tc>
          <w:tcPr>
            <w:tcW w:w="600" w:type="dxa"/>
            <w:vAlign w:val="bottom"/>
            <w:tcBorders>
              <w:right w:val="single" w:sz="8" w:color="64A70B"/>
            </w:tcBorders>
            <w:vMerge w:val="continue"/>
          </w:tcPr>
          <w:p>
            <w:pPr>
              <w:spacing w:after="0"/>
              <w:rPr>
                <w:sz w:val="18"/>
                <w:szCs w:val="18"/>
                <w:color w:val="auto"/>
              </w:rPr>
            </w:pPr>
          </w:p>
        </w:tc>
        <w:tc>
          <w:tcPr>
            <w:tcW w:w="1700" w:type="dxa"/>
            <w:vAlign w:val="bottom"/>
            <w:tcBorders>
              <w:right w:val="single" w:sz="8" w:color="64A70B"/>
            </w:tcBorders>
            <w:shd w:val="clear" w:color="auto" w:fill="0C3471"/>
          </w:tcPr>
          <w:p>
            <w:pPr>
              <w:jc w:val="center"/>
              <w:spacing w:after="0"/>
              <w:rPr>
                <w:sz w:val="20"/>
                <w:szCs w:val="20"/>
                <w:color w:val="auto"/>
              </w:rPr>
            </w:pPr>
            <w:r>
              <w:rPr>
                <w:rFonts w:ascii="Arial" w:cs="Arial" w:eastAsia="Arial" w:hAnsi="Arial"/>
                <w:sz w:val="16"/>
                <w:szCs w:val="16"/>
                <w:b w:val="1"/>
                <w:bCs w:val="1"/>
                <w:color w:val="FFFFFF"/>
              </w:rPr>
              <w:t>Incentive</w:t>
            </w:r>
          </w:p>
        </w:tc>
        <w:tc>
          <w:tcPr>
            <w:tcW w:w="0" w:type="dxa"/>
            <w:vAlign w:val="bottom"/>
          </w:tcPr>
          <w:p>
            <w:pPr>
              <w:spacing w:after="0"/>
              <w:rPr>
                <w:sz w:val="1"/>
                <w:szCs w:val="1"/>
                <w:color w:val="auto"/>
              </w:rPr>
            </w:pPr>
          </w:p>
        </w:tc>
      </w:tr>
      <w:tr>
        <w:trPr>
          <w:trHeight w:val="223"/>
        </w:trPr>
        <w:tc>
          <w:tcPr>
            <w:tcW w:w="360" w:type="dxa"/>
            <w:vAlign w:val="bottom"/>
            <w:tcBorders>
              <w:right w:val="single" w:sz="8" w:color="0C3471"/>
            </w:tcBorders>
          </w:tcPr>
          <w:p>
            <w:pPr>
              <w:spacing w:after="0"/>
              <w:rPr>
                <w:sz w:val="19"/>
                <w:szCs w:val="19"/>
                <w:color w:val="auto"/>
              </w:rPr>
            </w:pPr>
          </w:p>
        </w:tc>
        <w:tc>
          <w:tcPr>
            <w:tcW w:w="1700" w:type="dxa"/>
            <w:vAlign w:val="bottom"/>
            <w:tcBorders>
              <w:right w:val="single" w:sz="8" w:color="0C3471"/>
            </w:tcBorders>
            <w:shd w:val="clear" w:color="auto" w:fill="6D85AA"/>
          </w:tcPr>
          <w:p>
            <w:pPr>
              <w:jc w:val="center"/>
              <w:spacing w:after="0"/>
              <w:rPr>
                <w:sz w:val="20"/>
                <w:szCs w:val="20"/>
                <w:color w:val="auto"/>
              </w:rPr>
            </w:pPr>
            <w:r>
              <w:rPr>
                <w:rFonts w:ascii="Arial" w:cs="Arial" w:eastAsia="Arial" w:hAnsi="Arial"/>
                <w:sz w:val="16"/>
                <w:szCs w:val="16"/>
                <w:b w:val="1"/>
                <w:bCs w:val="1"/>
                <w:color w:val="FFFFFF"/>
              </w:rPr>
              <w:t>(+/- 10%)</w:t>
            </w:r>
          </w:p>
        </w:tc>
        <w:tc>
          <w:tcPr>
            <w:tcW w:w="600" w:type="dxa"/>
            <w:vAlign w:val="bottom"/>
            <w:tcBorders>
              <w:right w:val="single" w:sz="8" w:color="64A70B"/>
            </w:tcBorders>
          </w:tcPr>
          <w:p>
            <w:pPr>
              <w:spacing w:after="0"/>
              <w:rPr>
                <w:sz w:val="19"/>
                <w:szCs w:val="19"/>
                <w:color w:val="auto"/>
              </w:rPr>
            </w:pPr>
          </w:p>
        </w:tc>
        <w:tc>
          <w:tcPr>
            <w:tcW w:w="1700" w:type="dxa"/>
            <w:vAlign w:val="bottom"/>
            <w:tcBorders>
              <w:right w:val="single" w:sz="8" w:color="64A70B"/>
            </w:tcBorders>
            <w:shd w:val="clear" w:color="auto" w:fill="0C3471"/>
          </w:tcPr>
          <w:p>
            <w:pPr>
              <w:jc w:val="center"/>
              <w:spacing w:after="0"/>
              <w:rPr>
                <w:sz w:val="20"/>
                <w:szCs w:val="20"/>
                <w:color w:val="auto"/>
              </w:rPr>
            </w:pPr>
            <w:r>
              <w:rPr>
                <w:rFonts w:ascii="Arial" w:cs="Arial" w:eastAsia="Arial" w:hAnsi="Arial"/>
                <w:sz w:val="16"/>
                <w:szCs w:val="16"/>
                <w:b w:val="1"/>
                <w:bCs w:val="1"/>
                <w:color w:val="FFFFFF"/>
                <w:w w:val="98"/>
              </w:rPr>
              <w:t>Award</w:t>
            </w:r>
          </w:p>
        </w:tc>
        <w:tc>
          <w:tcPr>
            <w:tcW w:w="0" w:type="dxa"/>
            <w:vAlign w:val="bottom"/>
          </w:tcPr>
          <w:p>
            <w:pPr>
              <w:spacing w:after="0"/>
              <w:rPr>
                <w:sz w:val="1"/>
                <w:szCs w:val="1"/>
                <w:color w:val="auto"/>
              </w:rPr>
            </w:pPr>
          </w:p>
        </w:tc>
      </w:tr>
      <w:tr>
        <w:trPr>
          <w:trHeight w:val="237"/>
        </w:trPr>
        <w:tc>
          <w:tcPr>
            <w:tcW w:w="360" w:type="dxa"/>
            <w:vAlign w:val="bottom"/>
            <w:tcBorders>
              <w:right w:val="single" w:sz="8" w:color="0C3471"/>
            </w:tcBorders>
          </w:tcPr>
          <w:p>
            <w:pPr>
              <w:spacing w:after="0"/>
              <w:rPr>
                <w:sz w:val="20"/>
                <w:szCs w:val="20"/>
                <w:color w:val="auto"/>
              </w:rPr>
            </w:pPr>
          </w:p>
        </w:tc>
        <w:tc>
          <w:tcPr>
            <w:tcW w:w="1700" w:type="dxa"/>
            <w:vAlign w:val="bottom"/>
            <w:tcBorders>
              <w:bottom w:val="single" w:sz="8" w:color="0C3471"/>
              <w:right w:val="single" w:sz="8" w:color="0C3471"/>
            </w:tcBorders>
            <w:shd w:val="clear" w:color="auto" w:fill="6D85AA"/>
          </w:tcPr>
          <w:p>
            <w:pPr>
              <w:spacing w:after="0"/>
              <w:rPr>
                <w:sz w:val="20"/>
                <w:szCs w:val="20"/>
                <w:color w:val="auto"/>
              </w:rPr>
            </w:pPr>
          </w:p>
        </w:tc>
        <w:tc>
          <w:tcPr>
            <w:tcW w:w="600" w:type="dxa"/>
            <w:vAlign w:val="bottom"/>
            <w:tcBorders>
              <w:right w:val="single" w:sz="8" w:color="64A70B"/>
            </w:tcBorders>
          </w:tcPr>
          <w:p>
            <w:pPr>
              <w:spacing w:after="0"/>
              <w:rPr>
                <w:sz w:val="20"/>
                <w:szCs w:val="20"/>
                <w:color w:val="auto"/>
              </w:rPr>
            </w:pPr>
          </w:p>
        </w:tc>
        <w:tc>
          <w:tcPr>
            <w:tcW w:w="1700" w:type="dxa"/>
            <w:vAlign w:val="bottom"/>
            <w:tcBorders>
              <w:bottom w:val="single" w:sz="8" w:color="64A70B"/>
              <w:right w:val="single" w:sz="8" w:color="64A70B"/>
            </w:tcBorders>
            <w:shd w:val="clear" w:color="auto" w:fill="0C3471"/>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485"/>
        </w:trPr>
        <w:tc>
          <w:tcPr>
            <w:tcW w:w="360" w:type="dxa"/>
            <w:vAlign w:val="bottom"/>
            <w:tcBorders>
              <w:right w:val="single" w:sz="8" w:color="0C3471"/>
            </w:tcBorders>
            <w:vMerge w:val="restart"/>
          </w:tcPr>
          <w:p>
            <w:pPr>
              <w:spacing w:after="0"/>
              <w:rPr>
                <w:sz w:val="20"/>
                <w:szCs w:val="20"/>
                <w:color w:val="auto"/>
              </w:rPr>
            </w:pPr>
            <w:r>
              <w:rPr>
                <w:rFonts w:ascii="Arial" w:cs="Arial" w:eastAsia="Arial" w:hAnsi="Arial"/>
                <w:sz w:val="22"/>
                <w:szCs w:val="22"/>
                <w:b w:val="1"/>
                <w:bCs w:val="1"/>
                <w:color w:val="64A70B"/>
              </w:rPr>
              <w:t>x</w:t>
            </w:r>
          </w:p>
        </w:tc>
        <w:tc>
          <w:tcPr>
            <w:tcW w:w="1700" w:type="dxa"/>
            <w:vAlign w:val="bottom"/>
            <w:tcBorders>
              <w:top w:val="single" w:sz="8" w:color="0C3471"/>
              <w:right w:val="single" w:sz="8" w:color="0C3471"/>
            </w:tcBorders>
            <w:shd w:val="clear" w:color="auto" w:fill="6D85AA"/>
          </w:tcPr>
          <w:p>
            <w:pPr>
              <w:jc w:val="center"/>
              <w:spacing w:after="0"/>
              <w:rPr>
                <w:sz w:val="20"/>
                <w:szCs w:val="20"/>
                <w:color w:val="auto"/>
              </w:rPr>
            </w:pPr>
            <w:r>
              <w:rPr>
                <w:rFonts w:ascii="Arial" w:cs="Arial" w:eastAsia="Arial" w:hAnsi="Arial"/>
                <w:sz w:val="16"/>
                <w:szCs w:val="16"/>
                <w:b w:val="1"/>
                <w:bCs w:val="1"/>
                <w:color w:val="FFFFFF"/>
                <w:w w:val="99"/>
              </w:rPr>
              <w:t>Sustainability</w:t>
            </w:r>
          </w:p>
        </w:tc>
        <w:tc>
          <w:tcPr>
            <w:tcW w:w="600" w:type="dxa"/>
            <w:vAlign w:val="bottom"/>
            <w:tcBorders>
              <w:right w:val="single" w:sz="8" w:color="64A70B"/>
            </w:tcBorders>
            <w:vMerge w:val="restart"/>
          </w:tcPr>
          <w:p>
            <w:pPr>
              <w:jc w:val="right"/>
              <w:ind w:right="132"/>
              <w:spacing w:after="0"/>
              <w:rPr>
                <w:sz w:val="20"/>
                <w:szCs w:val="20"/>
                <w:color w:val="auto"/>
              </w:rPr>
            </w:pPr>
            <w:r>
              <w:rPr>
                <w:rFonts w:ascii="Arial" w:cs="Arial" w:eastAsia="Arial" w:hAnsi="Arial"/>
                <w:sz w:val="22"/>
                <w:szCs w:val="22"/>
                <w:b w:val="1"/>
                <w:bCs w:val="1"/>
                <w:color w:val="64A70B"/>
              </w:rPr>
              <w:t>=</w:t>
            </w:r>
          </w:p>
        </w:tc>
        <w:tc>
          <w:tcPr>
            <w:tcW w:w="1700" w:type="dxa"/>
            <w:vAlign w:val="bottom"/>
            <w:tcBorders>
              <w:top w:val="single" w:sz="8" w:color="64A70B"/>
              <w:right w:val="single" w:sz="8" w:color="64A70B"/>
            </w:tcBorders>
            <w:shd w:val="clear" w:color="auto" w:fill="0C3471"/>
          </w:tcPr>
          <w:p>
            <w:pPr>
              <w:jc w:val="center"/>
              <w:spacing w:after="0"/>
              <w:rPr>
                <w:sz w:val="20"/>
                <w:szCs w:val="20"/>
                <w:color w:val="auto"/>
              </w:rPr>
            </w:pPr>
            <w:r>
              <w:rPr>
                <w:rFonts w:ascii="Arial" w:cs="Arial" w:eastAsia="Arial" w:hAnsi="Arial"/>
                <w:sz w:val="16"/>
                <w:szCs w:val="16"/>
                <w:b w:val="1"/>
                <w:bCs w:val="1"/>
                <w:color w:val="FFFFFF"/>
              </w:rPr>
              <w:t>Annual</w:t>
            </w:r>
          </w:p>
        </w:tc>
        <w:tc>
          <w:tcPr>
            <w:tcW w:w="0" w:type="dxa"/>
            <w:vAlign w:val="bottom"/>
          </w:tcPr>
          <w:p>
            <w:pPr>
              <w:spacing w:after="0"/>
              <w:rPr>
                <w:sz w:val="1"/>
                <w:szCs w:val="1"/>
                <w:color w:val="auto"/>
              </w:rPr>
            </w:pPr>
          </w:p>
        </w:tc>
      </w:tr>
      <w:tr>
        <w:trPr>
          <w:trHeight w:val="203"/>
        </w:trPr>
        <w:tc>
          <w:tcPr>
            <w:tcW w:w="360" w:type="dxa"/>
            <w:vAlign w:val="bottom"/>
            <w:tcBorders>
              <w:right w:val="single" w:sz="8" w:color="0C3471"/>
            </w:tcBorders>
            <w:vMerge w:val="continue"/>
          </w:tcPr>
          <w:p>
            <w:pPr>
              <w:spacing w:after="0"/>
              <w:rPr>
                <w:sz w:val="17"/>
                <w:szCs w:val="17"/>
                <w:color w:val="auto"/>
              </w:rPr>
            </w:pPr>
          </w:p>
        </w:tc>
        <w:tc>
          <w:tcPr>
            <w:tcW w:w="1700" w:type="dxa"/>
            <w:vAlign w:val="bottom"/>
            <w:tcBorders>
              <w:right w:val="single" w:sz="8" w:color="0C3471"/>
            </w:tcBorders>
            <w:shd w:val="clear" w:color="auto" w:fill="6D85AA"/>
          </w:tcPr>
          <w:p>
            <w:pPr>
              <w:jc w:val="center"/>
              <w:spacing w:after="0"/>
              <w:rPr>
                <w:sz w:val="20"/>
                <w:szCs w:val="20"/>
                <w:color w:val="auto"/>
              </w:rPr>
            </w:pPr>
            <w:r>
              <w:rPr>
                <w:rFonts w:ascii="Arial" w:cs="Arial" w:eastAsia="Arial" w:hAnsi="Arial"/>
                <w:sz w:val="16"/>
                <w:szCs w:val="16"/>
                <w:b w:val="1"/>
                <w:bCs w:val="1"/>
                <w:color w:val="FFFFFF"/>
              </w:rPr>
              <w:t>Modifier</w:t>
            </w:r>
          </w:p>
        </w:tc>
        <w:tc>
          <w:tcPr>
            <w:tcW w:w="600" w:type="dxa"/>
            <w:vAlign w:val="bottom"/>
            <w:tcBorders>
              <w:right w:val="single" w:sz="8" w:color="64A70B"/>
            </w:tcBorders>
            <w:vMerge w:val="continue"/>
          </w:tcPr>
          <w:p>
            <w:pPr>
              <w:spacing w:after="0"/>
              <w:rPr>
                <w:sz w:val="17"/>
                <w:szCs w:val="17"/>
                <w:color w:val="auto"/>
              </w:rPr>
            </w:pPr>
          </w:p>
        </w:tc>
        <w:tc>
          <w:tcPr>
            <w:tcW w:w="1700" w:type="dxa"/>
            <w:vAlign w:val="bottom"/>
            <w:tcBorders>
              <w:right w:val="single" w:sz="8" w:color="64A70B"/>
            </w:tcBorders>
            <w:shd w:val="clear" w:color="auto" w:fill="0C3471"/>
          </w:tcPr>
          <w:p>
            <w:pPr>
              <w:jc w:val="center"/>
              <w:spacing w:after="0"/>
              <w:rPr>
                <w:sz w:val="20"/>
                <w:szCs w:val="20"/>
                <w:color w:val="auto"/>
              </w:rPr>
            </w:pPr>
            <w:r>
              <w:rPr>
                <w:rFonts w:ascii="Arial" w:cs="Arial" w:eastAsia="Arial" w:hAnsi="Arial"/>
                <w:sz w:val="16"/>
                <w:szCs w:val="16"/>
                <w:b w:val="1"/>
                <w:bCs w:val="1"/>
                <w:color w:val="FFFFFF"/>
              </w:rPr>
              <w:t>Incentive</w:t>
            </w:r>
          </w:p>
        </w:tc>
        <w:tc>
          <w:tcPr>
            <w:tcW w:w="0" w:type="dxa"/>
            <w:vAlign w:val="bottom"/>
          </w:tcPr>
          <w:p>
            <w:pPr>
              <w:spacing w:after="0"/>
              <w:rPr>
                <w:sz w:val="1"/>
                <w:szCs w:val="1"/>
                <w:color w:val="auto"/>
              </w:rPr>
            </w:pPr>
          </w:p>
        </w:tc>
      </w:tr>
      <w:tr>
        <w:trPr>
          <w:trHeight w:val="223"/>
        </w:trPr>
        <w:tc>
          <w:tcPr>
            <w:tcW w:w="360" w:type="dxa"/>
            <w:vAlign w:val="bottom"/>
            <w:tcBorders>
              <w:right w:val="single" w:sz="8" w:color="0C3471"/>
            </w:tcBorders>
          </w:tcPr>
          <w:p>
            <w:pPr>
              <w:spacing w:after="0"/>
              <w:rPr>
                <w:sz w:val="19"/>
                <w:szCs w:val="19"/>
                <w:color w:val="auto"/>
              </w:rPr>
            </w:pPr>
          </w:p>
        </w:tc>
        <w:tc>
          <w:tcPr>
            <w:tcW w:w="1700" w:type="dxa"/>
            <w:vAlign w:val="bottom"/>
            <w:tcBorders>
              <w:right w:val="single" w:sz="8" w:color="0C3471"/>
            </w:tcBorders>
            <w:shd w:val="clear" w:color="auto" w:fill="6D85AA"/>
          </w:tcPr>
          <w:p>
            <w:pPr>
              <w:jc w:val="center"/>
              <w:spacing w:after="0"/>
              <w:rPr>
                <w:sz w:val="20"/>
                <w:szCs w:val="20"/>
                <w:color w:val="auto"/>
              </w:rPr>
            </w:pPr>
            <w:r>
              <w:rPr>
                <w:rFonts w:ascii="Arial" w:cs="Arial" w:eastAsia="Arial" w:hAnsi="Arial"/>
                <w:sz w:val="16"/>
                <w:szCs w:val="16"/>
                <w:b w:val="1"/>
                <w:bCs w:val="1"/>
                <w:color w:val="FFFFFF"/>
              </w:rPr>
              <w:t>(+/- 10%)</w:t>
            </w:r>
          </w:p>
        </w:tc>
        <w:tc>
          <w:tcPr>
            <w:tcW w:w="600" w:type="dxa"/>
            <w:vAlign w:val="bottom"/>
            <w:tcBorders>
              <w:right w:val="single" w:sz="8" w:color="64A70B"/>
            </w:tcBorders>
          </w:tcPr>
          <w:p>
            <w:pPr>
              <w:spacing w:after="0"/>
              <w:rPr>
                <w:sz w:val="19"/>
                <w:szCs w:val="19"/>
                <w:color w:val="auto"/>
              </w:rPr>
            </w:pPr>
          </w:p>
        </w:tc>
        <w:tc>
          <w:tcPr>
            <w:tcW w:w="1700" w:type="dxa"/>
            <w:vAlign w:val="bottom"/>
            <w:tcBorders>
              <w:right w:val="single" w:sz="8" w:color="64A70B"/>
            </w:tcBorders>
            <w:shd w:val="clear" w:color="auto" w:fill="0C3471"/>
          </w:tcPr>
          <w:p>
            <w:pPr>
              <w:jc w:val="center"/>
              <w:spacing w:after="0"/>
              <w:rPr>
                <w:sz w:val="20"/>
                <w:szCs w:val="20"/>
                <w:color w:val="auto"/>
              </w:rPr>
            </w:pPr>
            <w:r>
              <w:rPr>
                <w:rFonts w:ascii="Arial" w:cs="Arial" w:eastAsia="Arial" w:hAnsi="Arial"/>
                <w:sz w:val="16"/>
                <w:szCs w:val="16"/>
                <w:b w:val="1"/>
                <w:bCs w:val="1"/>
                <w:color w:val="FFFFFF"/>
                <w:w w:val="98"/>
              </w:rPr>
              <w:t>Award</w:t>
            </w:r>
          </w:p>
        </w:tc>
        <w:tc>
          <w:tcPr>
            <w:tcW w:w="0" w:type="dxa"/>
            <w:vAlign w:val="bottom"/>
          </w:tcPr>
          <w:p>
            <w:pPr>
              <w:spacing w:after="0"/>
              <w:rPr>
                <w:sz w:val="1"/>
                <w:szCs w:val="1"/>
                <w:color w:val="auto"/>
              </w:rPr>
            </w:pPr>
          </w:p>
        </w:tc>
      </w:tr>
      <w:tr>
        <w:trPr>
          <w:trHeight w:val="345"/>
        </w:trPr>
        <w:tc>
          <w:tcPr>
            <w:tcW w:w="360" w:type="dxa"/>
            <w:vAlign w:val="bottom"/>
            <w:tcBorders>
              <w:right w:val="single" w:sz="8" w:color="0C3471"/>
            </w:tcBorders>
          </w:tcPr>
          <w:p>
            <w:pPr>
              <w:spacing w:after="0"/>
              <w:rPr>
                <w:sz w:val="24"/>
                <w:szCs w:val="24"/>
                <w:color w:val="auto"/>
              </w:rPr>
            </w:pPr>
          </w:p>
        </w:tc>
        <w:tc>
          <w:tcPr>
            <w:tcW w:w="1700" w:type="dxa"/>
            <w:vAlign w:val="bottom"/>
            <w:tcBorders>
              <w:bottom w:val="single" w:sz="8" w:color="0C3471"/>
              <w:right w:val="single" w:sz="8" w:color="0C3471"/>
            </w:tcBorders>
            <w:shd w:val="clear" w:color="auto" w:fill="6D85AA"/>
          </w:tcPr>
          <w:p>
            <w:pPr>
              <w:spacing w:after="0"/>
              <w:rPr>
                <w:sz w:val="24"/>
                <w:szCs w:val="24"/>
                <w:color w:val="auto"/>
              </w:rPr>
            </w:pPr>
          </w:p>
        </w:tc>
        <w:tc>
          <w:tcPr>
            <w:tcW w:w="600" w:type="dxa"/>
            <w:vAlign w:val="bottom"/>
            <w:tcBorders>
              <w:right w:val="single" w:sz="8" w:color="64A70B"/>
            </w:tcBorders>
          </w:tcPr>
          <w:p>
            <w:pPr>
              <w:spacing w:after="0"/>
              <w:rPr>
                <w:sz w:val="24"/>
                <w:szCs w:val="24"/>
                <w:color w:val="auto"/>
              </w:rPr>
            </w:pPr>
          </w:p>
        </w:tc>
        <w:tc>
          <w:tcPr>
            <w:tcW w:w="1700" w:type="dxa"/>
            <w:vAlign w:val="bottom"/>
            <w:tcBorders>
              <w:bottom w:val="single" w:sz="8" w:color="64A70B"/>
              <w:right w:val="single" w:sz="8" w:color="64A70B"/>
            </w:tcBorders>
            <w:shd w:val="clear" w:color="auto" w:fill="0C3471"/>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472"/>
        </w:trPr>
        <w:tc>
          <w:tcPr>
            <w:tcW w:w="360" w:type="dxa"/>
            <w:vAlign w:val="bottom"/>
            <w:tcBorders>
              <w:right w:val="single" w:sz="8" w:color="0C3471"/>
            </w:tcBorders>
            <w:vMerge w:val="restart"/>
          </w:tcPr>
          <w:p>
            <w:pPr>
              <w:spacing w:after="0"/>
              <w:rPr>
                <w:sz w:val="20"/>
                <w:szCs w:val="20"/>
                <w:color w:val="auto"/>
              </w:rPr>
            </w:pPr>
            <w:r>
              <w:rPr>
                <w:rFonts w:ascii="Arial" w:cs="Arial" w:eastAsia="Arial" w:hAnsi="Arial"/>
                <w:sz w:val="22"/>
                <w:szCs w:val="22"/>
                <w:b w:val="1"/>
                <w:bCs w:val="1"/>
                <w:color w:val="64A70B"/>
              </w:rPr>
              <w:t>x</w:t>
            </w:r>
          </w:p>
        </w:tc>
        <w:tc>
          <w:tcPr>
            <w:tcW w:w="1700" w:type="dxa"/>
            <w:vAlign w:val="bottom"/>
            <w:tcBorders>
              <w:top w:val="single" w:sz="8" w:color="0C3471"/>
              <w:right w:val="single" w:sz="8" w:color="0C3471"/>
            </w:tcBorders>
            <w:shd w:val="clear" w:color="auto" w:fill="6D85AA"/>
          </w:tcPr>
          <w:p>
            <w:pPr>
              <w:jc w:val="center"/>
              <w:spacing w:after="0"/>
              <w:rPr>
                <w:sz w:val="20"/>
                <w:szCs w:val="20"/>
                <w:color w:val="auto"/>
              </w:rPr>
            </w:pPr>
            <w:r>
              <w:rPr>
                <w:rFonts w:ascii="Arial" w:cs="Arial" w:eastAsia="Arial" w:hAnsi="Arial"/>
                <w:sz w:val="16"/>
                <w:szCs w:val="16"/>
                <w:b w:val="1"/>
                <w:bCs w:val="1"/>
                <w:color w:val="FFFFFF"/>
                <w:w w:val="99"/>
              </w:rPr>
              <w:t>Sustainability</w:t>
            </w:r>
          </w:p>
        </w:tc>
        <w:tc>
          <w:tcPr>
            <w:tcW w:w="600" w:type="dxa"/>
            <w:vAlign w:val="bottom"/>
            <w:tcBorders>
              <w:right w:val="single" w:sz="8" w:color="64A70B"/>
            </w:tcBorders>
            <w:vMerge w:val="restart"/>
          </w:tcPr>
          <w:p>
            <w:pPr>
              <w:jc w:val="right"/>
              <w:ind w:right="132"/>
              <w:spacing w:after="0"/>
              <w:rPr>
                <w:sz w:val="20"/>
                <w:szCs w:val="20"/>
                <w:color w:val="auto"/>
              </w:rPr>
            </w:pPr>
            <w:r>
              <w:rPr>
                <w:rFonts w:ascii="Arial" w:cs="Arial" w:eastAsia="Arial" w:hAnsi="Arial"/>
                <w:sz w:val="22"/>
                <w:szCs w:val="22"/>
                <w:b w:val="1"/>
                <w:bCs w:val="1"/>
                <w:color w:val="64A70B"/>
              </w:rPr>
              <w:t>=</w:t>
            </w:r>
          </w:p>
        </w:tc>
        <w:tc>
          <w:tcPr>
            <w:tcW w:w="1700" w:type="dxa"/>
            <w:vAlign w:val="bottom"/>
            <w:tcBorders>
              <w:top w:val="single" w:sz="8" w:color="64A70B"/>
              <w:right w:val="single" w:sz="8" w:color="64A70B"/>
            </w:tcBorders>
            <w:shd w:val="clear" w:color="auto" w:fill="0C3471"/>
          </w:tcPr>
          <w:p>
            <w:pPr>
              <w:jc w:val="center"/>
              <w:spacing w:after="0"/>
              <w:rPr>
                <w:sz w:val="20"/>
                <w:szCs w:val="20"/>
                <w:color w:val="auto"/>
              </w:rPr>
            </w:pPr>
            <w:r>
              <w:rPr>
                <w:rFonts w:ascii="Arial" w:cs="Arial" w:eastAsia="Arial" w:hAnsi="Arial"/>
                <w:sz w:val="16"/>
                <w:szCs w:val="16"/>
                <w:b w:val="1"/>
                <w:bCs w:val="1"/>
                <w:color w:val="FFFFFF"/>
              </w:rPr>
              <w:t>Annual</w:t>
            </w:r>
          </w:p>
        </w:tc>
        <w:tc>
          <w:tcPr>
            <w:tcW w:w="0" w:type="dxa"/>
            <w:vAlign w:val="bottom"/>
          </w:tcPr>
          <w:p>
            <w:pPr>
              <w:spacing w:after="0"/>
              <w:rPr>
                <w:sz w:val="1"/>
                <w:szCs w:val="1"/>
                <w:color w:val="auto"/>
              </w:rPr>
            </w:pPr>
          </w:p>
        </w:tc>
      </w:tr>
      <w:tr>
        <w:trPr>
          <w:trHeight w:val="216"/>
        </w:trPr>
        <w:tc>
          <w:tcPr>
            <w:tcW w:w="360" w:type="dxa"/>
            <w:vAlign w:val="bottom"/>
            <w:tcBorders>
              <w:right w:val="single" w:sz="8" w:color="0C3471"/>
            </w:tcBorders>
            <w:vMerge w:val="continue"/>
          </w:tcPr>
          <w:p>
            <w:pPr>
              <w:spacing w:after="0"/>
              <w:rPr>
                <w:sz w:val="18"/>
                <w:szCs w:val="18"/>
                <w:color w:val="auto"/>
              </w:rPr>
            </w:pPr>
          </w:p>
        </w:tc>
        <w:tc>
          <w:tcPr>
            <w:tcW w:w="1700" w:type="dxa"/>
            <w:vAlign w:val="bottom"/>
            <w:tcBorders>
              <w:right w:val="single" w:sz="8" w:color="0C3471"/>
            </w:tcBorders>
            <w:shd w:val="clear" w:color="auto" w:fill="6D85AA"/>
          </w:tcPr>
          <w:p>
            <w:pPr>
              <w:jc w:val="center"/>
              <w:spacing w:after="0"/>
              <w:rPr>
                <w:sz w:val="20"/>
                <w:szCs w:val="20"/>
                <w:color w:val="auto"/>
              </w:rPr>
            </w:pPr>
            <w:r>
              <w:rPr>
                <w:rFonts w:ascii="Arial" w:cs="Arial" w:eastAsia="Arial" w:hAnsi="Arial"/>
                <w:sz w:val="16"/>
                <w:szCs w:val="16"/>
                <w:b w:val="1"/>
                <w:bCs w:val="1"/>
                <w:color w:val="FFFFFF"/>
              </w:rPr>
              <w:t>Modifier</w:t>
            </w:r>
          </w:p>
        </w:tc>
        <w:tc>
          <w:tcPr>
            <w:tcW w:w="600" w:type="dxa"/>
            <w:vAlign w:val="bottom"/>
            <w:tcBorders>
              <w:right w:val="single" w:sz="8" w:color="64A70B"/>
            </w:tcBorders>
            <w:vMerge w:val="continue"/>
          </w:tcPr>
          <w:p>
            <w:pPr>
              <w:spacing w:after="0"/>
              <w:rPr>
                <w:sz w:val="18"/>
                <w:szCs w:val="18"/>
                <w:color w:val="auto"/>
              </w:rPr>
            </w:pPr>
          </w:p>
        </w:tc>
        <w:tc>
          <w:tcPr>
            <w:tcW w:w="1700" w:type="dxa"/>
            <w:vAlign w:val="bottom"/>
            <w:tcBorders>
              <w:right w:val="single" w:sz="8" w:color="64A70B"/>
            </w:tcBorders>
            <w:shd w:val="clear" w:color="auto" w:fill="0C3471"/>
          </w:tcPr>
          <w:p>
            <w:pPr>
              <w:jc w:val="center"/>
              <w:spacing w:after="0"/>
              <w:rPr>
                <w:sz w:val="20"/>
                <w:szCs w:val="20"/>
                <w:color w:val="auto"/>
              </w:rPr>
            </w:pPr>
            <w:r>
              <w:rPr>
                <w:rFonts w:ascii="Arial" w:cs="Arial" w:eastAsia="Arial" w:hAnsi="Arial"/>
                <w:sz w:val="16"/>
                <w:szCs w:val="16"/>
                <w:b w:val="1"/>
                <w:bCs w:val="1"/>
                <w:color w:val="FFFFFF"/>
              </w:rPr>
              <w:t>Incentive</w:t>
            </w:r>
          </w:p>
        </w:tc>
        <w:tc>
          <w:tcPr>
            <w:tcW w:w="0" w:type="dxa"/>
            <w:vAlign w:val="bottom"/>
          </w:tcPr>
          <w:p>
            <w:pPr>
              <w:spacing w:after="0"/>
              <w:rPr>
                <w:sz w:val="1"/>
                <w:szCs w:val="1"/>
                <w:color w:val="auto"/>
              </w:rPr>
            </w:pPr>
          </w:p>
        </w:tc>
      </w:tr>
      <w:tr>
        <w:trPr>
          <w:trHeight w:val="223"/>
        </w:trPr>
        <w:tc>
          <w:tcPr>
            <w:tcW w:w="360" w:type="dxa"/>
            <w:vAlign w:val="bottom"/>
            <w:tcBorders>
              <w:right w:val="single" w:sz="8" w:color="0C3471"/>
            </w:tcBorders>
          </w:tcPr>
          <w:p>
            <w:pPr>
              <w:spacing w:after="0"/>
              <w:rPr>
                <w:sz w:val="19"/>
                <w:szCs w:val="19"/>
                <w:color w:val="auto"/>
              </w:rPr>
            </w:pPr>
          </w:p>
        </w:tc>
        <w:tc>
          <w:tcPr>
            <w:tcW w:w="1700" w:type="dxa"/>
            <w:vAlign w:val="bottom"/>
            <w:tcBorders>
              <w:right w:val="single" w:sz="8" w:color="0C3471"/>
            </w:tcBorders>
            <w:shd w:val="clear" w:color="auto" w:fill="6D85AA"/>
          </w:tcPr>
          <w:p>
            <w:pPr>
              <w:jc w:val="center"/>
              <w:spacing w:after="0"/>
              <w:rPr>
                <w:sz w:val="20"/>
                <w:szCs w:val="20"/>
                <w:color w:val="auto"/>
              </w:rPr>
            </w:pPr>
            <w:r>
              <w:rPr>
                <w:rFonts w:ascii="Arial" w:cs="Arial" w:eastAsia="Arial" w:hAnsi="Arial"/>
                <w:sz w:val="16"/>
                <w:szCs w:val="16"/>
                <w:b w:val="1"/>
                <w:bCs w:val="1"/>
                <w:color w:val="FFFFFF"/>
              </w:rPr>
              <w:t>(+/- 10%)</w:t>
            </w:r>
          </w:p>
        </w:tc>
        <w:tc>
          <w:tcPr>
            <w:tcW w:w="600" w:type="dxa"/>
            <w:vAlign w:val="bottom"/>
            <w:tcBorders>
              <w:right w:val="single" w:sz="8" w:color="64A70B"/>
            </w:tcBorders>
          </w:tcPr>
          <w:p>
            <w:pPr>
              <w:spacing w:after="0"/>
              <w:rPr>
                <w:sz w:val="19"/>
                <w:szCs w:val="19"/>
                <w:color w:val="auto"/>
              </w:rPr>
            </w:pPr>
          </w:p>
        </w:tc>
        <w:tc>
          <w:tcPr>
            <w:tcW w:w="1700" w:type="dxa"/>
            <w:vAlign w:val="bottom"/>
            <w:tcBorders>
              <w:right w:val="single" w:sz="8" w:color="64A70B"/>
            </w:tcBorders>
            <w:shd w:val="clear" w:color="auto" w:fill="0C3471"/>
          </w:tcPr>
          <w:p>
            <w:pPr>
              <w:jc w:val="center"/>
              <w:spacing w:after="0"/>
              <w:rPr>
                <w:sz w:val="20"/>
                <w:szCs w:val="20"/>
                <w:color w:val="auto"/>
              </w:rPr>
            </w:pPr>
            <w:r>
              <w:rPr>
                <w:rFonts w:ascii="Arial" w:cs="Arial" w:eastAsia="Arial" w:hAnsi="Arial"/>
                <w:sz w:val="16"/>
                <w:szCs w:val="16"/>
                <w:b w:val="1"/>
                <w:bCs w:val="1"/>
                <w:color w:val="FFFFFF"/>
                <w:w w:val="98"/>
              </w:rPr>
              <w:t>Award</w:t>
            </w:r>
          </w:p>
        </w:tc>
        <w:tc>
          <w:tcPr>
            <w:tcW w:w="0" w:type="dxa"/>
            <w:vAlign w:val="bottom"/>
          </w:tcPr>
          <w:p>
            <w:pPr>
              <w:spacing w:after="0"/>
              <w:rPr>
                <w:sz w:val="1"/>
                <w:szCs w:val="1"/>
                <w:color w:val="auto"/>
              </w:rPr>
            </w:pPr>
          </w:p>
        </w:tc>
      </w:tr>
      <w:tr>
        <w:trPr>
          <w:trHeight w:val="345"/>
        </w:trPr>
        <w:tc>
          <w:tcPr>
            <w:tcW w:w="360" w:type="dxa"/>
            <w:vAlign w:val="bottom"/>
            <w:tcBorders>
              <w:right w:val="single" w:sz="8" w:color="0C3471"/>
            </w:tcBorders>
          </w:tcPr>
          <w:p>
            <w:pPr>
              <w:spacing w:after="0"/>
              <w:rPr>
                <w:sz w:val="24"/>
                <w:szCs w:val="24"/>
                <w:color w:val="auto"/>
              </w:rPr>
            </w:pPr>
          </w:p>
        </w:tc>
        <w:tc>
          <w:tcPr>
            <w:tcW w:w="1700" w:type="dxa"/>
            <w:vAlign w:val="bottom"/>
            <w:tcBorders>
              <w:bottom w:val="single" w:sz="8" w:color="0C3471"/>
              <w:right w:val="single" w:sz="8" w:color="0C3471"/>
            </w:tcBorders>
            <w:shd w:val="clear" w:color="auto" w:fill="6D85AA"/>
          </w:tcPr>
          <w:p>
            <w:pPr>
              <w:spacing w:after="0"/>
              <w:rPr>
                <w:sz w:val="24"/>
                <w:szCs w:val="24"/>
                <w:color w:val="auto"/>
              </w:rPr>
            </w:pPr>
          </w:p>
        </w:tc>
        <w:tc>
          <w:tcPr>
            <w:tcW w:w="600" w:type="dxa"/>
            <w:vAlign w:val="bottom"/>
            <w:tcBorders>
              <w:right w:val="single" w:sz="8" w:color="64A70B"/>
            </w:tcBorders>
          </w:tcPr>
          <w:p>
            <w:pPr>
              <w:spacing w:after="0"/>
              <w:rPr>
                <w:sz w:val="24"/>
                <w:szCs w:val="24"/>
                <w:color w:val="auto"/>
              </w:rPr>
            </w:pPr>
          </w:p>
        </w:tc>
        <w:tc>
          <w:tcPr>
            <w:tcW w:w="1700" w:type="dxa"/>
            <w:vAlign w:val="bottom"/>
            <w:tcBorders>
              <w:bottom w:val="single" w:sz="8" w:color="64A70B"/>
              <w:right w:val="single" w:sz="8" w:color="64A70B"/>
            </w:tcBorders>
            <w:shd w:val="clear" w:color="auto" w:fill="0C3471"/>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3">
            <w:col w:w="4000" w:space="599"/>
            <w:col w:w="1721" w:space="580"/>
            <w:col w:w="4360"/>
          </w:cols>
          <w:pgMar w:left="320" w:top="179" w:right="319" w:bottom="1440" w:gutter="0" w:footer="0" w:header="0"/>
          <w:type w:val="continuous"/>
        </w:sectPr>
      </w:pPr>
    </w:p>
    <w:p>
      <w:pPr>
        <w:spacing w:after="0" w:line="200" w:lineRule="exact"/>
        <w:rPr>
          <w:sz w:val="20"/>
          <w:szCs w:val="20"/>
          <w:color w:val="auto"/>
        </w:rPr>
      </w:pPr>
    </w:p>
    <w:p>
      <w:pPr>
        <w:spacing w:after="0" w:line="342" w:lineRule="exact"/>
        <w:rPr>
          <w:sz w:val="20"/>
          <w:szCs w:val="20"/>
          <w:color w:val="auto"/>
        </w:rPr>
      </w:pPr>
    </w:p>
    <w:p>
      <w:pPr>
        <w:ind w:left="600" w:hanging="574"/>
        <w:spacing w:after="0"/>
        <w:tabs>
          <w:tab w:leader="none" w:pos="600" w:val="left"/>
        </w:tabs>
        <w:numPr>
          <w:ilvl w:val="0"/>
          <w:numId w:val="87"/>
        </w:numPr>
        <w:rPr>
          <w:rFonts w:ascii="Arial" w:cs="Arial" w:eastAsia="Arial" w:hAnsi="Arial"/>
          <w:sz w:val="16"/>
          <w:szCs w:val="16"/>
          <w:b w:val="1"/>
          <w:bCs w:val="1"/>
          <w:color w:val="auto"/>
        </w:rPr>
      </w:pPr>
      <w:r>
        <w:rPr>
          <w:rFonts w:ascii="Arial" w:cs="Arial" w:eastAsia="Arial" w:hAnsi="Arial"/>
          <w:sz w:val="16"/>
          <w:szCs w:val="16"/>
          <w:color w:val="auto"/>
        </w:rPr>
        <w:t xml:space="preserve">Pentair </w:t>
      </w:r>
      <w:r>
        <w:rPr>
          <w:rFonts w:ascii="Arial" w:cs="Arial" w:eastAsia="Arial" w:hAnsi="Arial"/>
          <w:sz w:val="16"/>
          <w:szCs w:val="16"/>
          <w:b w:val="1"/>
          <w:bCs w:val="1"/>
          <w:color w:val="0C3471"/>
        </w:rPr>
        <w:t>|</w:t>
      </w:r>
      <w:r>
        <w:rPr>
          <w:rFonts w:ascii="Arial" w:cs="Arial" w:eastAsia="Arial" w:hAnsi="Arial"/>
          <w:sz w:val="16"/>
          <w:szCs w:val="16"/>
          <w:color w:val="auto"/>
        </w:rPr>
        <w:t xml:space="preserve"> </w:t>
      </w:r>
      <w:r>
        <w:rPr>
          <w:rFonts w:ascii="Arial" w:cs="Arial" w:eastAsia="Arial" w:hAnsi="Arial"/>
          <w:sz w:val="16"/>
          <w:szCs w:val="16"/>
          <w:b w:val="1"/>
          <w:bCs w:val="1"/>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205105</wp:posOffset>
            </wp:positionV>
            <wp:extent cx="71577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79" w:right="319" w:bottom="1440" w:gutter="0" w:footer="0" w:header="0"/>
          <w:type w:val="continuous"/>
        </w:sectPr>
      </w:pPr>
    </w:p>
    <w:bookmarkStart w:id="44" w:name="page45"/>
    <w:bookmarkEnd w:id="44"/>
    <w:p>
      <w:pPr>
        <w:jc w:val="right"/>
        <w:ind w:right="40"/>
        <w:spacing w:after="0"/>
        <w:rPr>
          <w:sz w:val="20"/>
          <w:szCs w:val="20"/>
          <w:color w:val="auto"/>
        </w:rPr>
      </w:pPr>
      <w:r>
        <w:rPr>
          <w:rFonts w:ascii="Arial" w:cs="Arial" w:eastAsia="Arial" w:hAnsi="Arial"/>
          <w:sz w:val="16"/>
          <w:szCs w:val="16"/>
          <w:b w:val="1"/>
          <w:bCs w:val="1"/>
          <w:color w:val="auto"/>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4659630</wp:posOffset>
            </wp:positionH>
            <wp:positionV relativeFrom="paragraph">
              <wp:posOffset>-107315</wp:posOffset>
            </wp:positionV>
            <wp:extent cx="102870" cy="11176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02870" cy="111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Water Solutions </w:t>
      </w:r>
      <w:r>
        <w:rPr>
          <w:rFonts w:ascii="Arial" w:cs="Arial" w:eastAsia="Arial" w:hAnsi="Arial"/>
          <w:sz w:val="17"/>
          <w:szCs w:val="17"/>
          <w:b w:val="1"/>
          <w:bCs w:val="1"/>
          <w:color w:val="auto"/>
        </w:rPr>
        <w:t>(Chiu)</w:t>
      </w:r>
    </w:p>
    <w:p>
      <w:pPr>
        <w:sectPr>
          <w:pgSz w:w="11900" w:h="16838" w:orient="portrait"/>
          <w:cols w:equalWidth="0" w:num="1">
            <w:col w:w="11260"/>
          </w:cols>
          <w:pgMar w:left="320" w:top="179" w:right="319" w:bottom="1440" w:gutter="0" w:footer="0" w:header="0"/>
        </w:sectPr>
      </w:pPr>
    </w:p>
    <w:p>
      <w:pPr>
        <w:spacing w:after="0" w:line="174" w:lineRule="exact"/>
        <w:rPr>
          <w:sz w:val="20"/>
          <w:szCs w:val="20"/>
          <w:color w:val="auto"/>
        </w:rPr>
      </w:pPr>
    </w:p>
    <w:tbl>
      <w:tblPr>
        <w:tblLayout w:type="fixed"/>
        <w:tblInd w:w="10" w:type="dxa"/>
        <w:tblCellMar>
          <w:top w:w="0" w:type="dxa"/>
          <w:left w:w="0" w:type="dxa"/>
          <w:bottom w:w="0" w:type="dxa"/>
          <w:right w:w="0" w:type="dxa"/>
        </w:tblCellMar>
      </w:tblPr>
      <w:tr>
        <w:trPr>
          <w:trHeight w:val="269"/>
        </w:trPr>
        <w:tc>
          <w:tcPr>
            <w:tcW w:w="4380" w:type="dxa"/>
            <w:vAlign w:val="bottom"/>
            <w:tcBorders>
              <w:top w:val="single" w:sz="8" w:color="0C3471"/>
              <w:left w:val="single" w:sz="8" w:color="0C3471"/>
              <w:right w:val="single" w:sz="8" w:color="0C3471"/>
            </w:tcBorders>
            <w:shd w:val="clear" w:color="auto" w:fill="6D85AA"/>
          </w:tcPr>
          <w:p>
            <w:pPr>
              <w:ind w:left="120"/>
              <w:spacing w:after="0"/>
              <w:rPr>
                <w:sz w:val="20"/>
                <w:szCs w:val="20"/>
                <w:color w:val="auto"/>
              </w:rPr>
            </w:pPr>
            <w:r>
              <w:rPr>
                <w:rFonts w:ascii="Arial" w:cs="Arial" w:eastAsia="Arial" w:hAnsi="Arial"/>
                <w:sz w:val="16"/>
                <w:szCs w:val="16"/>
                <w:b w:val="1"/>
                <w:bCs w:val="1"/>
                <w:color w:val="FFFFFF"/>
              </w:rPr>
              <w:t>Water Solutions Income (40% weight) +</w:t>
            </w:r>
          </w:p>
        </w:tc>
        <w:tc>
          <w:tcPr>
            <w:tcW w:w="540" w:type="dxa"/>
            <w:vAlign w:val="bottom"/>
            <w:tcBorders>
              <w:right w:val="single" w:sz="8" w:color="0C3471"/>
            </w:tcBorders>
          </w:tcPr>
          <w:p>
            <w:pPr>
              <w:spacing w:after="0"/>
              <w:rPr>
                <w:sz w:val="23"/>
                <w:szCs w:val="23"/>
                <w:color w:val="auto"/>
              </w:rPr>
            </w:pPr>
          </w:p>
        </w:tc>
        <w:tc>
          <w:tcPr>
            <w:tcW w:w="1740" w:type="dxa"/>
            <w:vAlign w:val="bottom"/>
            <w:tcBorders>
              <w:top w:val="single" w:sz="8" w:color="0C3471"/>
              <w:right w:val="single" w:sz="8" w:color="0C3471"/>
            </w:tcBorders>
            <w:shd w:val="clear" w:color="auto" w:fill="6D85AA"/>
          </w:tcPr>
          <w:p>
            <w:pPr>
              <w:spacing w:after="0"/>
              <w:rPr>
                <w:sz w:val="23"/>
                <w:szCs w:val="23"/>
                <w:color w:val="auto"/>
              </w:rPr>
            </w:pPr>
          </w:p>
        </w:tc>
        <w:tc>
          <w:tcPr>
            <w:tcW w:w="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4380" w:type="dxa"/>
            <w:vAlign w:val="bottom"/>
            <w:tcBorders>
              <w:left w:val="single" w:sz="8" w:color="0C3471"/>
              <w:right w:val="single" w:sz="8" w:color="0C3471"/>
            </w:tcBorders>
            <w:shd w:val="clear" w:color="auto" w:fill="6D85AA"/>
          </w:tcPr>
          <w:p>
            <w:pPr>
              <w:ind w:left="120"/>
              <w:spacing w:after="0"/>
              <w:rPr>
                <w:sz w:val="20"/>
                <w:szCs w:val="20"/>
                <w:color w:val="auto"/>
              </w:rPr>
            </w:pPr>
            <w:r>
              <w:rPr>
                <w:rFonts w:ascii="Arial" w:cs="Arial" w:eastAsia="Arial" w:hAnsi="Arial"/>
                <w:sz w:val="16"/>
                <w:szCs w:val="16"/>
                <w:b w:val="1"/>
                <w:bCs w:val="1"/>
                <w:color w:val="FFFFFF"/>
              </w:rPr>
              <w:t>Water Solutions Revenue (20% weight) +</w:t>
            </w:r>
          </w:p>
        </w:tc>
        <w:tc>
          <w:tcPr>
            <w:tcW w:w="540" w:type="dxa"/>
            <w:vAlign w:val="bottom"/>
            <w:tcBorders>
              <w:right w:val="single" w:sz="8" w:color="0C3471"/>
            </w:tcBorders>
            <w:vMerge w:val="restart"/>
          </w:tcPr>
          <w:p>
            <w:pPr>
              <w:ind w:left="200"/>
              <w:spacing w:after="0"/>
              <w:rPr>
                <w:sz w:val="20"/>
                <w:szCs w:val="20"/>
                <w:color w:val="auto"/>
              </w:rPr>
            </w:pPr>
            <w:r>
              <w:rPr>
                <w:rFonts w:ascii="Arial" w:cs="Arial" w:eastAsia="Arial" w:hAnsi="Arial"/>
                <w:sz w:val="22"/>
                <w:szCs w:val="22"/>
                <w:b w:val="1"/>
                <w:bCs w:val="1"/>
                <w:color w:val="64A70B"/>
              </w:rPr>
              <w:t>x</w:t>
            </w:r>
          </w:p>
        </w:tc>
        <w:tc>
          <w:tcPr>
            <w:tcW w:w="1740" w:type="dxa"/>
            <w:vAlign w:val="bottom"/>
            <w:tcBorders>
              <w:right w:val="single" w:sz="8" w:color="0C3471"/>
            </w:tcBorders>
            <w:vMerge w:val="restart"/>
            <w:shd w:val="clear" w:color="auto" w:fill="6D85AA"/>
          </w:tcPr>
          <w:p>
            <w:pPr>
              <w:jc w:val="center"/>
              <w:spacing w:after="0"/>
              <w:rPr>
                <w:sz w:val="20"/>
                <w:szCs w:val="20"/>
                <w:color w:val="auto"/>
              </w:rPr>
            </w:pPr>
            <w:r>
              <w:rPr>
                <w:rFonts w:ascii="Arial" w:cs="Arial" w:eastAsia="Arial" w:hAnsi="Arial"/>
                <w:sz w:val="16"/>
                <w:szCs w:val="16"/>
                <w:b w:val="1"/>
                <w:bCs w:val="1"/>
                <w:color w:val="FFFFFF"/>
                <w:w w:val="99"/>
              </w:rPr>
              <w:t>Target Award</w:t>
            </w:r>
          </w:p>
        </w:tc>
        <w:tc>
          <w:tcPr>
            <w:tcW w:w="340" w:type="dxa"/>
            <w:vAlign w:val="bottom"/>
            <w:vMerge w:val="restart"/>
          </w:tcPr>
          <w:p>
            <w:pPr>
              <w:ind w:left="220"/>
              <w:spacing w:after="0"/>
              <w:rPr>
                <w:sz w:val="20"/>
                <w:szCs w:val="20"/>
                <w:color w:val="auto"/>
              </w:rPr>
            </w:pPr>
            <w:r>
              <w:rPr>
                <w:rFonts w:ascii="Arial" w:cs="Arial" w:eastAsia="Arial" w:hAnsi="Arial"/>
                <w:sz w:val="22"/>
                <w:szCs w:val="22"/>
                <w:b w:val="1"/>
                <w:bCs w:val="1"/>
                <w:color w:val="64A70B"/>
                <w:w w:val="81"/>
              </w:rPr>
              <w:t>x</w:t>
            </w:r>
          </w:p>
        </w:tc>
        <w:tc>
          <w:tcPr>
            <w:tcW w:w="0" w:type="dxa"/>
            <w:vAlign w:val="bottom"/>
          </w:tcPr>
          <w:p>
            <w:pPr>
              <w:spacing w:after="0"/>
              <w:rPr>
                <w:sz w:val="1"/>
                <w:szCs w:val="1"/>
                <w:color w:val="auto"/>
              </w:rPr>
            </w:pPr>
          </w:p>
        </w:tc>
      </w:tr>
      <w:tr>
        <w:trPr>
          <w:trHeight w:val="95"/>
        </w:trPr>
        <w:tc>
          <w:tcPr>
            <w:tcW w:w="4380" w:type="dxa"/>
            <w:vAlign w:val="bottom"/>
            <w:tcBorders>
              <w:left w:val="single" w:sz="8" w:color="0C3471"/>
              <w:right w:val="single" w:sz="8" w:color="0C3471"/>
            </w:tcBorders>
            <w:vMerge w:val="restart"/>
            <w:shd w:val="clear" w:color="auto" w:fill="6D85AA"/>
          </w:tcPr>
          <w:p>
            <w:pPr>
              <w:ind w:left="120"/>
              <w:spacing w:after="0"/>
              <w:rPr>
                <w:sz w:val="20"/>
                <w:szCs w:val="20"/>
                <w:color w:val="auto"/>
              </w:rPr>
            </w:pPr>
            <w:r>
              <w:rPr>
                <w:rFonts w:ascii="Arial" w:cs="Arial" w:eastAsia="Arial" w:hAnsi="Arial"/>
                <w:sz w:val="16"/>
                <w:szCs w:val="16"/>
                <w:b w:val="1"/>
                <w:bCs w:val="1"/>
                <w:color w:val="FFFFFF"/>
              </w:rPr>
              <w:t>Pentair Free Cash Flow (20% weight) +</w:t>
            </w:r>
          </w:p>
        </w:tc>
        <w:tc>
          <w:tcPr>
            <w:tcW w:w="540" w:type="dxa"/>
            <w:vAlign w:val="bottom"/>
            <w:tcBorders>
              <w:right w:val="single" w:sz="8" w:color="0C3471"/>
            </w:tcBorders>
            <w:vMerge w:val="continue"/>
          </w:tcPr>
          <w:p>
            <w:pPr>
              <w:spacing w:after="0"/>
              <w:rPr>
                <w:sz w:val="8"/>
                <w:szCs w:val="8"/>
                <w:color w:val="auto"/>
              </w:rPr>
            </w:pPr>
          </w:p>
        </w:tc>
        <w:tc>
          <w:tcPr>
            <w:tcW w:w="1740" w:type="dxa"/>
            <w:vAlign w:val="bottom"/>
            <w:tcBorders>
              <w:right w:val="single" w:sz="8" w:color="0C3471"/>
            </w:tcBorders>
            <w:vMerge w:val="continue"/>
            <w:shd w:val="clear" w:color="auto" w:fill="6D85AA"/>
          </w:tcPr>
          <w:p>
            <w:pPr>
              <w:spacing w:after="0"/>
              <w:rPr>
                <w:sz w:val="8"/>
                <w:szCs w:val="8"/>
                <w:color w:val="auto"/>
              </w:rPr>
            </w:pPr>
          </w:p>
        </w:tc>
        <w:tc>
          <w:tcPr>
            <w:tcW w:w="3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4380" w:type="dxa"/>
            <w:vAlign w:val="bottom"/>
            <w:tcBorders>
              <w:left w:val="single" w:sz="8" w:color="0C3471"/>
              <w:right w:val="single" w:sz="8" w:color="0C3471"/>
            </w:tcBorders>
            <w:vMerge w:val="continue"/>
            <w:shd w:val="clear" w:color="auto" w:fill="6D85AA"/>
          </w:tcPr>
          <w:p>
            <w:pPr>
              <w:spacing w:after="0"/>
              <w:rPr>
                <w:sz w:val="10"/>
                <w:szCs w:val="10"/>
                <w:color w:val="auto"/>
              </w:rPr>
            </w:pPr>
          </w:p>
        </w:tc>
        <w:tc>
          <w:tcPr>
            <w:tcW w:w="540" w:type="dxa"/>
            <w:vAlign w:val="bottom"/>
            <w:tcBorders>
              <w:right w:val="single" w:sz="8" w:color="0C3471"/>
            </w:tcBorders>
            <w:vMerge w:val="continue"/>
          </w:tcPr>
          <w:p>
            <w:pPr>
              <w:spacing w:after="0"/>
              <w:rPr>
                <w:sz w:val="10"/>
                <w:szCs w:val="10"/>
                <w:color w:val="auto"/>
              </w:rPr>
            </w:pPr>
          </w:p>
        </w:tc>
        <w:tc>
          <w:tcPr>
            <w:tcW w:w="1740" w:type="dxa"/>
            <w:vAlign w:val="bottom"/>
            <w:tcBorders>
              <w:right w:val="single" w:sz="8" w:color="0C3471"/>
            </w:tcBorders>
            <w:vMerge w:val="restart"/>
            <w:shd w:val="clear" w:color="auto" w:fill="6D85AA"/>
          </w:tcPr>
          <w:p>
            <w:pPr>
              <w:jc w:val="center"/>
              <w:spacing w:after="0"/>
              <w:rPr>
                <w:sz w:val="20"/>
                <w:szCs w:val="20"/>
                <w:color w:val="auto"/>
              </w:rPr>
            </w:pPr>
            <w:r>
              <w:rPr>
                <w:rFonts w:ascii="Arial" w:cs="Arial" w:eastAsia="Arial" w:hAnsi="Arial"/>
                <w:sz w:val="16"/>
                <w:szCs w:val="16"/>
                <w:b w:val="1"/>
                <w:bCs w:val="1"/>
                <w:color w:val="FFFFFF"/>
              </w:rPr>
              <w:t>Amount ($)</w:t>
            </w:r>
          </w:p>
        </w:tc>
        <w:tc>
          <w:tcPr>
            <w:tcW w:w="3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4380" w:type="dxa"/>
            <w:vAlign w:val="bottom"/>
            <w:tcBorders>
              <w:left w:val="single" w:sz="8" w:color="0C3471"/>
              <w:right w:val="single" w:sz="8" w:color="0C3471"/>
            </w:tcBorders>
            <w:vMerge w:val="restart"/>
            <w:shd w:val="clear" w:color="auto" w:fill="6D85AA"/>
          </w:tcPr>
          <w:p>
            <w:pPr>
              <w:ind w:left="120"/>
              <w:spacing w:after="0"/>
              <w:rPr>
                <w:sz w:val="20"/>
                <w:szCs w:val="20"/>
                <w:color w:val="auto"/>
              </w:rPr>
            </w:pPr>
            <w:r>
              <w:rPr>
                <w:rFonts w:ascii="Arial" w:cs="Arial" w:eastAsia="Arial" w:hAnsi="Arial"/>
                <w:sz w:val="16"/>
                <w:szCs w:val="16"/>
                <w:b w:val="1"/>
                <w:bCs w:val="1"/>
                <w:color w:val="FFFFFF"/>
              </w:rPr>
              <w:t>Pentair Adjusted Operating Income (20% weight)</w:t>
            </w:r>
          </w:p>
        </w:tc>
        <w:tc>
          <w:tcPr>
            <w:tcW w:w="540" w:type="dxa"/>
            <w:vAlign w:val="bottom"/>
            <w:tcBorders>
              <w:right w:val="single" w:sz="8" w:color="0C3471"/>
            </w:tcBorders>
          </w:tcPr>
          <w:p>
            <w:pPr>
              <w:spacing w:after="0"/>
              <w:rPr>
                <w:sz w:val="8"/>
                <w:szCs w:val="8"/>
                <w:color w:val="auto"/>
              </w:rPr>
            </w:pPr>
          </w:p>
        </w:tc>
        <w:tc>
          <w:tcPr>
            <w:tcW w:w="1740" w:type="dxa"/>
            <w:vAlign w:val="bottom"/>
            <w:tcBorders>
              <w:right w:val="single" w:sz="8" w:color="0C3471"/>
            </w:tcBorders>
            <w:vMerge w:val="continue"/>
            <w:shd w:val="clear" w:color="auto" w:fill="6D85AA"/>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4380" w:type="dxa"/>
            <w:vAlign w:val="bottom"/>
            <w:tcBorders>
              <w:left w:val="single" w:sz="8" w:color="0C3471"/>
              <w:right w:val="single" w:sz="8" w:color="0C3471"/>
            </w:tcBorders>
            <w:vMerge w:val="continue"/>
            <w:shd w:val="clear" w:color="auto" w:fill="6D85AA"/>
          </w:tcPr>
          <w:p>
            <w:pPr>
              <w:spacing w:after="0"/>
              <w:rPr>
                <w:sz w:val="8"/>
                <w:szCs w:val="8"/>
                <w:color w:val="auto"/>
              </w:rPr>
            </w:pPr>
          </w:p>
        </w:tc>
        <w:tc>
          <w:tcPr>
            <w:tcW w:w="540" w:type="dxa"/>
            <w:vAlign w:val="bottom"/>
            <w:tcBorders>
              <w:right w:val="single" w:sz="8" w:color="0C3471"/>
            </w:tcBorders>
          </w:tcPr>
          <w:p>
            <w:pPr>
              <w:spacing w:after="0"/>
              <w:rPr>
                <w:sz w:val="8"/>
                <w:szCs w:val="8"/>
                <w:color w:val="auto"/>
              </w:rPr>
            </w:pPr>
          </w:p>
        </w:tc>
        <w:tc>
          <w:tcPr>
            <w:tcW w:w="1740" w:type="dxa"/>
            <w:vAlign w:val="bottom"/>
            <w:tcBorders>
              <w:right w:val="single" w:sz="8" w:color="0C3471"/>
            </w:tcBorders>
            <w:shd w:val="clear" w:color="auto" w:fill="6D85AA"/>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4380" w:type="dxa"/>
            <w:vAlign w:val="bottom"/>
            <w:tcBorders>
              <w:left w:val="single" w:sz="8" w:color="0C3471"/>
              <w:right w:val="single" w:sz="8" w:color="0C3471"/>
            </w:tcBorders>
            <w:shd w:val="clear" w:color="auto" w:fill="6D85AA"/>
          </w:tcPr>
          <w:p>
            <w:pPr>
              <w:ind w:left="120"/>
              <w:spacing w:after="0"/>
              <w:rPr>
                <w:sz w:val="20"/>
                <w:szCs w:val="20"/>
                <w:color w:val="auto"/>
              </w:rPr>
            </w:pPr>
            <w:r>
              <w:rPr>
                <w:rFonts w:ascii="Arial" w:cs="Arial" w:eastAsia="Arial" w:hAnsi="Arial"/>
                <w:sz w:val="16"/>
                <w:szCs w:val="16"/>
                <w:b w:val="1"/>
                <w:bCs w:val="1"/>
                <w:color w:val="FFFFFF"/>
              </w:rPr>
              <w:t>(0-200%)*</w:t>
            </w:r>
          </w:p>
        </w:tc>
        <w:tc>
          <w:tcPr>
            <w:tcW w:w="540" w:type="dxa"/>
            <w:vAlign w:val="bottom"/>
            <w:tcBorders>
              <w:right w:val="single" w:sz="8" w:color="0C3471"/>
            </w:tcBorders>
          </w:tcPr>
          <w:p>
            <w:pPr>
              <w:spacing w:after="0"/>
              <w:rPr>
                <w:sz w:val="19"/>
                <w:szCs w:val="19"/>
                <w:color w:val="auto"/>
              </w:rPr>
            </w:pPr>
          </w:p>
        </w:tc>
        <w:tc>
          <w:tcPr>
            <w:tcW w:w="1740" w:type="dxa"/>
            <w:vAlign w:val="bottom"/>
            <w:tcBorders>
              <w:right w:val="single" w:sz="8" w:color="0C3471"/>
            </w:tcBorders>
            <w:shd w:val="clear" w:color="auto" w:fill="6D85AA"/>
          </w:tcPr>
          <w:p>
            <w:pPr>
              <w:spacing w:after="0"/>
              <w:rPr>
                <w:sz w:val="19"/>
                <w:szCs w:val="19"/>
                <w:color w:val="auto"/>
              </w:rPr>
            </w:pP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9"/>
        </w:trPr>
        <w:tc>
          <w:tcPr>
            <w:tcW w:w="4380" w:type="dxa"/>
            <w:vAlign w:val="bottom"/>
            <w:tcBorders>
              <w:left w:val="single" w:sz="8" w:color="0C3471"/>
              <w:bottom w:val="single" w:sz="8" w:color="0C3471"/>
              <w:right w:val="single" w:sz="8" w:color="0C3471"/>
            </w:tcBorders>
            <w:shd w:val="clear" w:color="auto" w:fill="6D85AA"/>
          </w:tcPr>
          <w:p>
            <w:pPr>
              <w:spacing w:after="0"/>
              <w:rPr>
                <w:sz w:val="11"/>
                <w:szCs w:val="11"/>
                <w:color w:val="auto"/>
              </w:rPr>
            </w:pPr>
          </w:p>
        </w:tc>
        <w:tc>
          <w:tcPr>
            <w:tcW w:w="540" w:type="dxa"/>
            <w:vAlign w:val="bottom"/>
            <w:tcBorders>
              <w:right w:val="single" w:sz="8" w:color="0C3471"/>
            </w:tcBorders>
          </w:tcPr>
          <w:p>
            <w:pPr>
              <w:spacing w:after="0"/>
              <w:rPr>
                <w:sz w:val="11"/>
                <w:szCs w:val="11"/>
                <w:color w:val="auto"/>
              </w:rPr>
            </w:pPr>
          </w:p>
        </w:tc>
        <w:tc>
          <w:tcPr>
            <w:tcW w:w="1740" w:type="dxa"/>
            <w:vAlign w:val="bottom"/>
            <w:tcBorders>
              <w:bottom w:val="single" w:sz="8" w:color="0C3471"/>
              <w:right w:val="single" w:sz="8" w:color="0C3471"/>
            </w:tcBorders>
            <w:shd w:val="clear" w:color="auto" w:fill="6D85AA"/>
          </w:tcPr>
          <w:p>
            <w:pPr>
              <w:spacing w:after="0"/>
              <w:rPr>
                <w:sz w:val="11"/>
                <w:szCs w:val="11"/>
                <w:color w:val="auto"/>
              </w:rPr>
            </w:pP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220" w:hanging="212"/>
        <w:spacing w:after="0"/>
        <w:tabs>
          <w:tab w:leader="none" w:pos="220" w:val="left"/>
        </w:tabs>
        <w:numPr>
          <w:ilvl w:val="0"/>
          <w:numId w:val="88"/>
        </w:numPr>
        <w:rPr>
          <w:rFonts w:ascii="Arial" w:cs="Arial" w:eastAsia="Arial" w:hAnsi="Arial"/>
          <w:sz w:val="14"/>
          <w:szCs w:val="14"/>
          <w:color w:val="auto"/>
        </w:rPr>
      </w:pPr>
      <w:r>
        <w:rPr>
          <w:rFonts w:ascii="Arial" w:cs="Arial" w:eastAsia="Arial" w:hAnsi="Arial"/>
          <w:sz w:val="14"/>
          <w:szCs w:val="14"/>
          <w:color w:val="auto"/>
        </w:rPr>
        <w:t>For each measure, threshold performance is required for any payout; payouts begin at 50% of target.</w:t>
      </w:r>
    </w:p>
    <w:p>
      <w:pPr>
        <w:spacing w:after="0" w:line="242"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Changes from 2024</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line="1" w:lineRule="exact"/>
        <w:rPr>
          <w:sz w:val="1"/>
          <w:szCs w:val="1"/>
          <w:color w:val="auto"/>
        </w:rPr>
      </w:pPr>
    </w:p>
    <w:tbl>
      <w:tblPr>
        <w:tblLayout w:type="fixed"/>
        <w:tblInd w:w="10" w:type="dxa"/>
        <w:tblCellMar>
          <w:top w:w="0" w:type="dxa"/>
          <w:left w:w="0" w:type="dxa"/>
          <w:bottom w:w="0" w:type="dxa"/>
          <w:right w:w="0" w:type="dxa"/>
        </w:tblCellMar>
      </w:tblPr>
      <w:tr>
        <w:trPr>
          <w:trHeight w:val="472"/>
        </w:trPr>
        <w:tc>
          <w:tcPr>
            <w:tcW w:w="1760" w:type="dxa"/>
            <w:vAlign w:val="bottom"/>
            <w:tcBorders>
              <w:top w:val="single" w:sz="8" w:color="0C3471"/>
              <w:left w:val="single" w:sz="8" w:color="0C3471"/>
              <w:right w:val="single" w:sz="8" w:color="0C3471"/>
            </w:tcBorders>
            <w:shd w:val="clear" w:color="auto" w:fill="6D85AA"/>
          </w:tcPr>
          <w:p>
            <w:pPr>
              <w:jc w:val="center"/>
              <w:spacing w:after="0"/>
              <w:rPr>
                <w:sz w:val="20"/>
                <w:szCs w:val="20"/>
                <w:color w:val="auto"/>
              </w:rPr>
            </w:pPr>
            <w:r>
              <w:rPr>
                <w:rFonts w:ascii="Arial" w:cs="Arial" w:eastAsia="Arial" w:hAnsi="Arial"/>
                <w:sz w:val="16"/>
                <w:szCs w:val="16"/>
                <w:b w:val="1"/>
                <w:bCs w:val="1"/>
                <w:color w:val="FFFFFF"/>
                <w:w w:val="99"/>
              </w:rPr>
              <w:t>Sustainability</w:t>
            </w:r>
          </w:p>
        </w:tc>
        <w:tc>
          <w:tcPr>
            <w:tcW w:w="560" w:type="dxa"/>
            <w:vAlign w:val="bottom"/>
            <w:tcBorders>
              <w:right w:val="single" w:sz="8" w:color="64A70B"/>
            </w:tcBorders>
            <w:vMerge w:val="restart"/>
          </w:tcPr>
          <w:p>
            <w:pPr>
              <w:jc w:val="right"/>
              <w:ind w:right="112"/>
              <w:spacing w:after="0"/>
              <w:rPr>
                <w:sz w:val="20"/>
                <w:szCs w:val="20"/>
                <w:color w:val="auto"/>
              </w:rPr>
            </w:pPr>
            <w:r>
              <w:rPr>
                <w:rFonts w:ascii="Arial" w:cs="Arial" w:eastAsia="Arial" w:hAnsi="Arial"/>
                <w:sz w:val="22"/>
                <w:szCs w:val="22"/>
                <w:b w:val="1"/>
                <w:bCs w:val="1"/>
                <w:color w:val="64A70B"/>
              </w:rPr>
              <w:t>=</w:t>
            </w:r>
          </w:p>
        </w:tc>
        <w:tc>
          <w:tcPr>
            <w:tcW w:w="1740" w:type="dxa"/>
            <w:vAlign w:val="bottom"/>
            <w:tcBorders>
              <w:top w:val="single" w:sz="8" w:color="64A70B"/>
              <w:right w:val="single" w:sz="8" w:color="64A70B"/>
            </w:tcBorders>
            <w:shd w:val="clear" w:color="auto" w:fill="0C3471"/>
          </w:tcPr>
          <w:p>
            <w:pPr>
              <w:jc w:val="center"/>
              <w:spacing w:after="0"/>
              <w:rPr>
                <w:sz w:val="20"/>
                <w:szCs w:val="20"/>
                <w:color w:val="auto"/>
              </w:rPr>
            </w:pPr>
            <w:r>
              <w:rPr>
                <w:rFonts w:ascii="Arial" w:cs="Arial" w:eastAsia="Arial" w:hAnsi="Arial"/>
                <w:sz w:val="16"/>
                <w:szCs w:val="16"/>
                <w:b w:val="1"/>
                <w:bCs w:val="1"/>
                <w:color w:val="FFFFFF"/>
              </w:rPr>
              <w:t>Annual</w:t>
            </w:r>
          </w:p>
        </w:tc>
        <w:tc>
          <w:tcPr>
            <w:tcW w:w="0" w:type="dxa"/>
            <w:vAlign w:val="bottom"/>
          </w:tcPr>
          <w:p>
            <w:pPr>
              <w:spacing w:after="0"/>
              <w:rPr>
                <w:sz w:val="1"/>
                <w:szCs w:val="1"/>
                <w:color w:val="auto"/>
              </w:rPr>
            </w:pPr>
          </w:p>
        </w:tc>
      </w:tr>
      <w:tr>
        <w:trPr>
          <w:trHeight w:val="216"/>
        </w:trPr>
        <w:tc>
          <w:tcPr>
            <w:tcW w:w="1760" w:type="dxa"/>
            <w:vAlign w:val="bottom"/>
            <w:tcBorders>
              <w:left w:val="single" w:sz="8" w:color="0C3471"/>
              <w:right w:val="single" w:sz="8" w:color="0C3471"/>
            </w:tcBorders>
            <w:shd w:val="clear" w:color="auto" w:fill="6D85AA"/>
          </w:tcPr>
          <w:p>
            <w:pPr>
              <w:jc w:val="center"/>
              <w:spacing w:after="0"/>
              <w:rPr>
                <w:sz w:val="20"/>
                <w:szCs w:val="20"/>
                <w:color w:val="auto"/>
              </w:rPr>
            </w:pPr>
            <w:r>
              <w:rPr>
                <w:rFonts w:ascii="Arial" w:cs="Arial" w:eastAsia="Arial" w:hAnsi="Arial"/>
                <w:sz w:val="16"/>
                <w:szCs w:val="16"/>
                <w:b w:val="1"/>
                <w:bCs w:val="1"/>
                <w:color w:val="FFFFFF"/>
              </w:rPr>
              <w:t>Modifier</w:t>
            </w:r>
          </w:p>
        </w:tc>
        <w:tc>
          <w:tcPr>
            <w:tcW w:w="560" w:type="dxa"/>
            <w:vAlign w:val="bottom"/>
            <w:tcBorders>
              <w:right w:val="single" w:sz="8" w:color="64A70B"/>
            </w:tcBorders>
            <w:vMerge w:val="continue"/>
          </w:tcPr>
          <w:p>
            <w:pPr>
              <w:spacing w:after="0"/>
              <w:rPr>
                <w:sz w:val="18"/>
                <w:szCs w:val="18"/>
                <w:color w:val="auto"/>
              </w:rPr>
            </w:pPr>
          </w:p>
        </w:tc>
        <w:tc>
          <w:tcPr>
            <w:tcW w:w="1740" w:type="dxa"/>
            <w:vAlign w:val="bottom"/>
            <w:tcBorders>
              <w:right w:val="single" w:sz="8" w:color="64A70B"/>
            </w:tcBorders>
            <w:shd w:val="clear" w:color="auto" w:fill="0C3471"/>
          </w:tcPr>
          <w:p>
            <w:pPr>
              <w:jc w:val="center"/>
              <w:spacing w:after="0"/>
              <w:rPr>
                <w:sz w:val="20"/>
                <w:szCs w:val="20"/>
                <w:color w:val="auto"/>
              </w:rPr>
            </w:pPr>
            <w:r>
              <w:rPr>
                <w:rFonts w:ascii="Arial" w:cs="Arial" w:eastAsia="Arial" w:hAnsi="Arial"/>
                <w:sz w:val="16"/>
                <w:szCs w:val="16"/>
                <w:b w:val="1"/>
                <w:bCs w:val="1"/>
                <w:color w:val="FFFFFF"/>
              </w:rPr>
              <w:t>Incentive</w:t>
            </w:r>
          </w:p>
        </w:tc>
        <w:tc>
          <w:tcPr>
            <w:tcW w:w="0" w:type="dxa"/>
            <w:vAlign w:val="bottom"/>
          </w:tcPr>
          <w:p>
            <w:pPr>
              <w:spacing w:after="0"/>
              <w:rPr>
                <w:sz w:val="1"/>
                <w:szCs w:val="1"/>
                <w:color w:val="auto"/>
              </w:rPr>
            </w:pPr>
          </w:p>
        </w:tc>
      </w:tr>
      <w:tr>
        <w:trPr>
          <w:trHeight w:val="223"/>
        </w:trPr>
        <w:tc>
          <w:tcPr>
            <w:tcW w:w="1760" w:type="dxa"/>
            <w:vAlign w:val="bottom"/>
            <w:tcBorders>
              <w:left w:val="single" w:sz="8" w:color="0C3471"/>
              <w:right w:val="single" w:sz="8" w:color="0C3471"/>
            </w:tcBorders>
            <w:shd w:val="clear" w:color="auto" w:fill="6D85AA"/>
          </w:tcPr>
          <w:p>
            <w:pPr>
              <w:jc w:val="center"/>
              <w:spacing w:after="0"/>
              <w:rPr>
                <w:sz w:val="20"/>
                <w:szCs w:val="20"/>
                <w:color w:val="auto"/>
              </w:rPr>
            </w:pPr>
            <w:r>
              <w:rPr>
                <w:rFonts w:ascii="Arial" w:cs="Arial" w:eastAsia="Arial" w:hAnsi="Arial"/>
                <w:sz w:val="16"/>
                <w:szCs w:val="16"/>
                <w:b w:val="1"/>
                <w:bCs w:val="1"/>
                <w:color w:val="FFFFFF"/>
              </w:rPr>
              <w:t>(+/- 10%)</w:t>
            </w:r>
          </w:p>
        </w:tc>
        <w:tc>
          <w:tcPr>
            <w:tcW w:w="560" w:type="dxa"/>
            <w:vAlign w:val="bottom"/>
            <w:tcBorders>
              <w:right w:val="single" w:sz="8" w:color="64A70B"/>
            </w:tcBorders>
          </w:tcPr>
          <w:p>
            <w:pPr>
              <w:spacing w:after="0"/>
              <w:rPr>
                <w:sz w:val="19"/>
                <w:szCs w:val="19"/>
                <w:color w:val="auto"/>
              </w:rPr>
            </w:pPr>
          </w:p>
        </w:tc>
        <w:tc>
          <w:tcPr>
            <w:tcW w:w="1740" w:type="dxa"/>
            <w:vAlign w:val="bottom"/>
            <w:tcBorders>
              <w:right w:val="single" w:sz="8" w:color="64A70B"/>
            </w:tcBorders>
            <w:shd w:val="clear" w:color="auto" w:fill="0C3471"/>
          </w:tcPr>
          <w:p>
            <w:pPr>
              <w:jc w:val="center"/>
              <w:spacing w:after="0"/>
              <w:rPr>
                <w:sz w:val="20"/>
                <w:szCs w:val="20"/>
                <w:color w:val="auto"/>
              </w:rPr>
            </w:pPr>
            <w:r>
              <w:rPr>
                <w:rFonts w:ascii="Arial" w:cs="Arial" w:eastAsia="Arial" w:hAnsi="Arial"/>
                <w:sz w:val="16"/>
                <w:szCs w:val="16"/>
                <w:b w:val="1"/>
                <w:bCs w:val="1"/>
                <w:color w:val="FFFFFF"/>
              </w:rPr>
              <w:t>Award</w:t>
            </w:r>
          </w:p>
        </w:tc>
        <w:tc>
          <w:tcPr>
            <w:tcW w:w="0" w:type="dxa"/>
            <w:vAlign w:val="bottom"/>
          </w:tcPr>
          <w:p>
            <w:pPr>
              <w:spacing w:after="0"/>
              <w:rPr>
                <w:sz w:val="1"/>
                <w:szCs w:val="1"/>
                <w:color w:val="auto"/>
              </w:rPr>
            </w:pPr>
          </w:p>
        </w:tc>
      </w:tr>
      <w:tr>
        <w:trPr>
          <w:trHeight w:val="345"/>
        </w:trPr>
        <w:tc>
          <w:tcPr>
            <w:tcW w:w="1760" w:type="dxa"/>
            <w:vAlign w:val="bottom"/>
            <w:tcBorders>
              <w:left w:val="single" w:sz="8" w:color="0C3471"/>
              <w:bottom w:val="single" w:sz="8" w:color="0C3471"/>
              <w:right w:val="single" w:sz="8" w:color="0C3471"/>
            </w:tcBorders>
            <w:shd w:val="clear" w:color="auto" w:fill="6D85AA"/>
          </w:tcPr>
          <w:p>
            <w:pPr>
              <w:spacing w:after="0"/>
              <w:rPr>
                <w:sz w:val="24"/>
                <w:szCs w:val="24"/>
                <w:color w:val="auto"/>
              </w:rPr>
            </w:pPr>
          </w:p>
        </w:tc>
        <w:tc>
          <w:tcPr>
            <w:tcW w:w="560" w:type="dxa"/>
            <w:vAlign w:val="bottom"/>
            <w:tcBorders>
              <w:right w:val="single" w:sz="8" w:color="64A70B"/>
            </w:tcBorders>
          </w:tcPr>
          <w:p>
            <w:pPr>
              <w:spacing w:after="0"/>
              <w:rPr>
                <w:sz w:val="24"/>
                <w:szCs w:val="24"/>
                <w:color w:val="auto"/>
              </w:rPr>
            </w:pPr>
          </w:p>
        </w:tc>
        <w:tc>
          <w:tcPr>
            <w:tcW w:w="1740" w:type="dxa"/>
            <w:vAlign w:val="bottom"/>
            <w:tcBorders>
              <w:bottom w:val="single" w:sz="8" w:color="64A70B"/>
              <w:right w:val="single" w:sz="8" w:color="64A70B"/>
            </w:tcBorders>
            <w:shd w:val="clear" w:color="auto" w:fill="0C3471"/>
          </w:tcPr>
          <w:p>
            <w:pPr>
              <w:spacing w:after="0"/>
              <w:rPr>
                <w:sz w:val="24"/>
                <w:szCs w:val="24"/>
                <w:color w:val="auto"/>
              </w:rPr>
            </w:pPr>
          </w:p>
        </w:tc>
        <w:tc>
          <w:tcPr>
            <w:tcW w:w="0" w:type="dxa"/>
            <w:vAlign w:val="bottom"/>
          </w:tcPr>
          <w:p>
            <w:pPr>
              <w:spacing w:after="0"/>
              <w:rPr>
                <w:sz w:val="1"/>
                <w:szCs w:val="1"/>
                <w:color w:val="auto"/>
              </w:rPr>
            </w:pPr>
          </w:p>
        </w:tc>
      </w:tr>
    </w:tbl>
    <w:p>
      <w:pPr>
        <w:spacing w:after="0" w:line="1011" w:lineRule="exact"/>
        <w:rPr>
          <w:sz w:val="20"/>
          <w:szCs w:val="20"/>
          <w:color w:val="auto"/>
        </w:rPr>
      </w:pPr>
    </w:p>
    <w:p>
      <w:pPr>
        <w:sectPr>
          <w:pgSz w:w="11900" w:h="16838" w:orient="portrait"/>
          <w:cols w:equalWidth="0" w:num="2">
            <w:col w:w="7000" w:space="200"/>
            <w:col w:w="4060"/>
          </w:cols>
          <w:pgMar w:left="320" w:top="179" w:right="319" w:bottom="1440" w:gutter="0" w:footer="0" w:header="0"/>
          <w:type w:val="continuous"/>
        </w:sectPr>
      </w:pPr>
    </w:p>
    <w:p>
      <w:pPr>
        <w:ind w:right="140"/>
        <w:spacing w:after="0" w:line="304" w:lineRule="auto"/>
        <w:rPr>
          <w:sz w:val="20"/>
          <w:szCs w:val="20"/>
          <w:color w:val="auto"/>
        </w:rPr>
      </w:pPr>
      <w:r>
        <w:rPr>
          <w:rFonts w:ascii="Arial" w:cs="Arial" w:eastAsia="Arial" w:hAnsi="Arial"/>
          <w:sz w:val="16"/>
          <w:szCs w:val="16"/>
          <w:color w:val="auto"/>
        </w:rPr>
        <w:t>In December 2024, the Compensation Committee undertook its annual review of targeted levels of incentive compensation opportunities and determined to maintain the same levels for 2025, when expressed as a percentage of base salary, from the prior year for our Named Executive Officers.</w:t>
      </w:r>
    </w:p>
    <w:p>
      <w:pPr>
        <w:spacing w:after="0" w:line="172"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2025 Annual Incentive Award Compensation Targets</w:t>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color w:val="auto"/>
        </w:rPr>
        <w:t>The Named Executive Officers’ incentive compensation targets as a percentage of salary and as a dollar amount were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00" w:type="dxa"/>
            <w:vAlign w:val="bottom"/>
          </w:tcPr>
          <w:p>
            <w:pPr>
              <w:spacing w:after="0"/>
              <w:rPr>
                <w:sz w:val="14"/>
                <w:szCs w:val="14"/>
                <w:color w:val="auto"/>
              </w:rPr>
            </w:pPr>
          </w:p>
        </w:tc>
        <w:tc>
          <w:tcPr>
            <w:tcW w:w="4980" w:type="dxa"/>
            <w:vAlign w:val="bottom"/>
          </w:tcPr>
          <w:p>
            <w:pPr>
              <w:jc w:val="right"/>
              <w:ind w:right="202"/>
              <w:spacing w:after="0"/>
              <w:rPr>
                <w:sz w:val="20"/>
                <w:szCs w:val="20"/>
                <w:color w:val="auto"/>
              </w:rPr>
            </w:pPr>
            <w:r>
              <w:rPr>
                <w:rFonts w:ascii="Arial" w:cs="Arial" w:eastAsia="Arial" w:hAnsi="Arial"/>
                <w:sz w:val="14"/>
                <w:szCs w:val="14"/>
                <w:b w:val="1"/>
                <w:bCs w:val="1"/>
                <w:color w:val="auto"/>
              </w:rPr>
              <w:t>Target as % of</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Target</w:t>
            </w:r>
          </w:p>
        </w:tc>
      </w:tr>
      <w:tr>
        <w:trPr>
          <w:trHeight w:val="196"/>
        </w:trPr>
        <w:tc>
          <w:tcPr>
            <w:tcW w:w="5200" w:type="dxa"/>
            <w:vAlign w:val="bottom"/>
          </w:tcPr>
          <w:p>
            <w:pPr>
              <w:spacing w:after="0"/>
              <w:rPr>
                <w:sz w:val="17"/>
                <w:szCs w:val="17"/>
                <w:color w:val="auto"/>
              </w:rPr>
            </w:pPr>
          </w:p>
        </w:tc>
        <w:tc>
          <w:tcPr>
            <w:tcW w:w="4980" w:type="dxa"/>
            <w:vAlign w:val="bottom"/>
          </w:tcPr>
          <w:p>
            <w:pPr>
              <w:jc w:val="right"/>
              <w:ind w:right="202"/>
              <w:spacing w:after="0"/>
              <w:rPr>
                <w:sz w:val="20"/>
                <w:szCs w:val="20"/>
                <w:color w:val="auto"/>
              </w:rPr>
            </w:pPr>
            <w:r>
              <w:rPr>
                <w:rFonts w:ascii="Arial" w:cs="Arial" w:eastAsia="Arial" w:hAnsi="Arial"/>
                <w:sz w:val="14"/>
                <w:szCs w:val="14"/>
                <w:b w:val="1"/>
                <w:bCs w:val="1"/>
                <w:color w:val="auto"/>
              </w:rPr>
              <w:t>Salary</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w:t>
            </w:r>
          </w:p>
        </w:tc>
      </w:tr>
      <w:tr>
        <w:trPr>
          <w:trHeight w:val="29"/>
        </w:trPr>
        <w:tc>
          <w:tcPr>
            <w:tcW w:w="5200" w:type="dxa"/>
            <w:vAlign w:val="bottom"/>
            <w:tcBorders>
              <w:bottom w:val="single" w:sz="8" w:color="0C3471"/>
            </w:tcBorders>
          </w:tcPr>
          <w:p>
            <w:pPr>
              <w:spacing w:after="0"/>
              <w:rPr>
                <w:sz w:val="2"/>
                <w:szCs w:val="2"/>
                <w:color w:val="auto"/>
              </w:rPr>
            </w:pPr>
          </w:p>
        </w:tc>
        <w:tc>
          <w:tcPr>
            <w:tcW w:w="4980" w:type="dxa"/>
            <w:vAlign w:val="bottom"/>
            <w:tcBorders>
              <w:bottom w:val="single" w:sz="8" w:color="0C3471"/>
            </w:tcBorders>
          </w:tcPr>
          <w:p>
            <w:pPr>
              <w:spacing w:after="0"/>
              <w:rPr>
                <w:sz w:val="2"/>
                <w:szCs w:val="2"/>
                <w:color w:val="auto"/>
              </w:rPr>
            </w:pPr>
          </w:p>
        </w:tc>
        <w:tc>
          <w:tcPr>
            <w:tcW w:w="1060" w:type="dxa"/>
            <w:vAlign w:val="bottom"/>
            <w:tcBorders>
              <w:bottom w:val="single" w:sz="8" w:color="0C3471"/>
            </w:tcBorders>
          </w:tcPr>
          <w:p>
            <w:pPr>
              <w:spacing w:after="0"/>
              <w:rPr>
                <w:sz w:val="2"/>
                <w:szCs w:val="2"/>
                <w:color w:val="auto"/>
              </w:rPr>
            </w:pPr>
          </w:p>
        </w:tc>
      </w:tr>
      <w:tr>
        <w:trPr>
          <w:trHeight w:val="233"/>
        </w:trPr>
        <w:tc>
          <w:tcPr>
            <w:tcW w:w="5200" w:type="dxa"/>
            <w:vAlign w:val="bottom"/>
            <w:tcBorders>
              <w:bottom w:val="single" w:sz="8" w:color="BCBEC0"/>
            </w:tcBorders>
          </w:tcPr>
          <w:p>
            <w:pPr>
              <w:ind w:left="20"/>
              <w:spacing w:after="0"/>
              <w:rPr>
                <w:sz w:val="20"/>
                <w:szCs w:val="20"/>
                <w:color w:val="auto"/>
              </w:rPr>
            </w:pPr>
            <w:r>
              <w:rPr>
                <w:rFonts w:ascii="Arial" w:cs="Arial" w:eastAsia="Arial" w:hAnsi="Arial"/>
                <w:sz w:val="16"/>
                <w:szCs w:val="16"/>
                <w:b w:val="1"/>
                <w:bCs w:val="1"/>
                <w:color w:val="0C3471"/>
              </w:rPr>
              <w:t>John L. Stauch</w:t>
            </w:r>
          </w:p>
        </w:tc>
        <w:tc>
          <w:tcPr>
            <w:tcW w:w="4980" w:type="dxa"/>
            <w:vAlign w:val="bottom"/>
            <w:tcBorders>
              <w:bottom w:val="single" w:sz="8" w:color="BCBEC0"/>
            </w:tcBorders>
          </w:tcPr>
          <w:p>
            <w:pPr>
              <w:jc w:val="right"/>
              <w:ind w:right="202"/>
              <w:spacing w:after="0"/>
              <w:rPr>
                <w:sz w:val="20"/>
                <w:szCs w:val="20"/>
                <w:color w:val="auto"/>
              </w:rPr>
            </w:pPr>
            <w:r>
              <w:rPr>
                <w:rFonts w:ascii="Arial" w:cs="Arial" w:eastAsia="Arial" w:hAnsi="Arial"/>
                <w:sz w:val="16"/>
                <w:szCs w:val="16"/>
                <w:color w:val="auto"/>
              </w:rPr>
              <w:t>135%</w:t>
            </w:r>
          </w:p>
        </w:tc>
        <w:tc>
          <w:tcPr>
            <w:tcW w:w="1060" w:type="dxa"/>
            <w:vAlign w:val="bottom"/>
            <w:tcBorders>
              <w:bottom w:val="single" w:sz="8" w:color="BCBEC0"/>
            </w:tcBorders>
          </w:tcPr>
          <w:p>
            <w:pPr>
              <w:jc w:val="right"/>
              <w:ind w:right="2"/>
              <w:spacing w:after="0"/>
              <w:rPr>
                <w:sz w:val="20"/>
                <w:szCs w:val="20"/>
                <w:color w:val="auto"/>
              </w:rPr>
            </w:pPr>
            <w:r>
              <w:rPr>
                <w:rFonts w:ascii="Arial" w:cs="Arial" w:eastAsia="Arial" w:hAnsi="Arial"/>
                <w:sz w:val="16"/>
                <w:szCs w:val="16"/>
                <w:color w:val="auto"/>
              </w:rPr>
              <w:t>1,566,000</w:t>
            </w:r>
          </w:p>
        </w:tc>
      </w:tr>
      <w:tr>
        <w:trPr>
          <w:trHeight w:val="237"/>
        </w:trPr>
        <w:tc>
          <w:tcPr>
            <w:tcW w:w="5200" w:type="dxa"/>
            <w:vAlign w:val="bottom"/>
            <w:tcBorders>
              <w:bottom w:val="single" w:sz="8" w:color="BCBEC0"/>
            </w:tcBorders>
          </w:tcPr>
          <w:p>
            <w:pPr>
              <w:ind w:left="20"/>
              <w:spacing w:after="0"/>
              <w:rPr>
                <w:sz w:val="20"/>
                <w:szCs w:val="20"/>
                <w:color w:val="auto"/>
              </w:rPr>
            </w:pPr>
            <w:r>
              <w:rPr>
                <w:rFonts w:ascii="Arial" w:cs="Arial" w:eastAsia="Arial" w:hAnsi="Arial"/>
                <w:sz w:val="16"/>
                <w:szCs w:val="16"/>
                <w:b w:val="1"/>
                <w:bCs w:val="1"/>
                <w:color w:val="0C3471"/>
              </w:rPr>
              <w:t>Robert P. Fishman</w:t>
            </w:r>
          </w:p>
        </w:tc>
        <w:tc>
          <w:tcPr>
            <w:tcW w:w="4980" w:type="dxa"/>
            <w:vAlign w:val="bottom"/>
            <w:tcBorders>
              <w:bottom w:val="single" w:sz="8" w:color="BCBEC0"/>
            </w:tcBorders>
          </w:tcPr>
          <w:p>
            <w:pPr>
              <w:jc w:val="right"/>
              <w:ind w:right="202"/>
              <w:spacing w:after="0"/>
              <w:rPr>
                <w:sz w:val="20"/>
                <w:szCs w:val="20"/>
                <w:color w:val="auto"/>
              </w:rPr>
            </w:pPr>
            <w:r>
              <w:rPr>
                <w:rFonts w:ascii="Arial" w:cs="Arial" w:eastAsia="Arial" w:hAnsi="Arial"/>
                <w:sz w:val="16"/>
                <w:szCs w:val="16"/>
                <w:color w:val="auto"/>
              </w:rPr>
              <w:t>100%</w:t>
            </w:r>
          </w:p>
        </w:tc>
        <w:tc>
          <w:tcPr>
            <w:tcW w:w="1060" w:type="dxa"/>
            <w:vAlign w:val="bottom"/>
            <w:tcBorders>
              <w:bottom w:val="single" w:sz="8" w:color="BCBEC0"/>
            </w:tcBorders>
          </w:tcPr>
          <w:p>
            <w:pPr>
              <w:jc w:val="right"/>
              <w:ind w:right="2"/>
              <w:spacing w:after="0"/>
              <w:rPr>
                <w:sz w:val="20"/>
                <w:szCs w:val="20"/>
                <w:color w:val="auto"/>
              </w:rPr>
            </w:pPr>
            <w:r>
              <w:rPr>
                <w:rFonts w:ascii="Arial" w:cs="Arial" w:eastAsia="Arial" w:hAnsi="Arial"/>
                <w:sz w:val="16"/>
                <w:szCs w:val="16"/>
                <w:color w:val="auto"/>
              </w:rPr>
              <w:t>745,000</w:t>
            </w:r>
          </w:p>
        </w:tc>
      </w:tr>
      <w:tr>
        <w:trPr>
          <w:trHeight w:val="236"/>
        </w:trPr>
        <w:tc>
          <w:tcPr>
            <w:tcW w:w="5200" w:type="dxa"/>
            <w:vAlign w:val="bottom"/>
            <w:tcBorders>
              <w:bottom w:val="single" w:sz="8" w:color="BCBEC0"/>
            </w:tcBorders>
          </w:tcPr>
          <w:p>
            <w:pPr>
              <w:ind w:left="20"/>
              <w:spacing w:after="0"/>
              <w:rPr>
                <w:sz w:val="20"/>
                <w:szCs w:val="20"/>
                <w:color w:val="auto"/>
              </w:rPr>
            </w:pPr>
            <w:r>
              <w:rPr>
                <w:rFonts w:ascii="Arial" w:cs="Arial" w:eastAsia="Arial" w:hAnsi="Arial"/>
                <w:sz w:val="16"/>
                <w:szCs w:val="16"/>
                <w:b w:val="1"/>
                <w:bCs w:val="1"/>
                <w:color w:val="0C3471"/>
              </w:rPr>
              <w:t>Jerome O. Pedretti</w:t>
            </w:r>
          </w:p>
        </w:tc>
        <w:tc>
          <w:tcPr>
            <w:tcW w:w="4980" w:type="dxa"/>
            <w:vAlign w:val="bottom"/>
            <w:tcBorders>
              <w:bottom w:val="single" w:sz="8" w:color="BCBEC0"/>
            </w:tcBorders>
          </w:tcPr>
          <w:p>
            <w:pPr>
              <w:jc w:val="right"/>
              <w:ind w:right="202"/>
              <w:spacing w:after="0"/>
              <w:rPr>
                <w:sz w:val="20"/>
                <w:szCs w:val="20"/>
                <w:color w:val="auto"/>
              </w:rPr>
            </w:pPr>
            <w:r>
              <w:rPr>
                <w:rFonts w:ascii="Arial" w:cs="Arial" w:eastAsia="Arial" w:hAnsi="Arial"/>
                <w:sz w:val="16"/>
                <w:szCs w:val="16"/>
                <w:color w:val="auto"/>
              </w:rPr>
              <w:t>80%</w:t>
            </w:r>
          </w:p>
        </w:tc>
        <w:tc>
          <w:tcPr>
            <w:tcW w:w="1060" w:type="dxa"/>
            <w:vAlign w:val="bottom"/>
            <w:tcBorders>
              <w:bottom w:val="single" w:sz="8" w:color="BCBEC0"/>
            </w:tcBorders>
          </w:tcPr>
          <w:p>
            <w:pPr>
              <w:jc w:val="right"/>
              <w:ind w:right="2"/>
              <w:spacing w:after="0"/>
              <w:rPr>
                <w:sz w:val="20"/>
                <w:szCs w:val="20"/>
                <w:color w:val="auto"/>
              </w:rPr>
            </w:pPr>
            <w:r>
              <w:rPr>
                <w:rFonts w:ascii="Arial" w:cs="Arial" w:eastAsia="Arial" w:hAnsi="Arial"/>
                <w:sz w:val="16"/>
                <w:szCs w:val="16"/>
                <w:color w:val="auto"/>
              </w:rPr>
              <w:t>540,000</w:t>
            </w:r>
          </w:p>
        </w:tc>
      </w:tr>
      <w:tr>
        <w:trPr>
          <w:trHeight w:val="236"/>
        </w:trPr>
        <w:tc>
          <w:tcPr>
            <w:tcW w:w="5200" w:type="dxa"/>
            <w:vAlign w:val="bottom"/>
            <w:tcBorders>
              <w:bottom w:val="single" w:sz="8" w:color="BCBEC0"/>
            </w:tcBorders>
          </w:tcPr>
          <w:p>
            <w:pPr>
              <w:ind w:left="20"/>
              <w:spacing w:after="0"/>
              <w:rPr>
                <w:sz w:val="20"/>
                <w:szCs w:val="20"/>
                <w:color w:val="auto"/>
              </w:rPr>
            </w:pPr>
            <w:r>
              <w:rPr>
                <w:rFonts w:ascii="Arial" w:cs="Arial" w:eastAsia="Arial" w:hAnsi="Arial"/>
                <w:sz w:val="16"/>
                <w:szCs w:val="16"/>
                <w:b w:val="1"/>
                <w:bCs w:val="1"/>
                <w:color w:val="0C3471"/>
              </w:rPr>
              <w:t>De'Mon L. Wiggins</w:t>
            </w:r>
          </w:p>
        </w:tc>
        <w:tc>
          <w:tcPr>
            <w:tcW w:w="4980" w:type="dxa"/>
            <w:vAlign w:val="bottom"/>
            <w:tcBorders>
              <w:bottom w:val="single" w:sz="8" w:color="BCBEC0"/>
            </w:tcBorders>
          </w:tcPr>
          <w:p>
            <w:pPr>
              <w:jc w:val="right"/>
              <w:ind w:right="202"/>
              <w:spacing w:after="0"/>
              <w:rPr>
                <w:sz w:val="20"/>
                <w:szCs w:val="20"/>
                <w:color w:val="auto"/>
              </w:rPr>
            </w:pPr>
            <w:r>
              <w:rPr>
                <w:rFonts w:ascii="Arial" w:cs="Arial" w:eastAsia="Arial" w:hAnsi="Arial"/>
                <w:sz w:val="16"/>
                <w:szCs w:val="16"/>
                <w:color w:val="auto"/>
              </w:rPr>
              <w:t>80%</w:t>
            </w:r>
          </w:p>
        </w:tc>
        <w:tc>
          <w:tcPr>
            <w:tcW w:w="1060" w:type="dxa"/>
            <w:vAlign w:val="bottom"/>
            <w:tcBorders>
              <w:bottom w:val="single" w:sz="8" w:color="BCBEC0"/>
            </w:tcBorders>
          </w:tcPr>
          <w:p>
            <w:pPr>
              <w:jc w:val="right"/>
              <w:ind w:right="2"/>
              <w:spacing w:after="0"/>
              <w:rPr>
                <w:sz w:val="20"/>
                <w:szCs w:val="20"/>
                <w:color w:val="auto"/>
              </w:rPr>
            </w:pPr>
            <w:r>
              <w:rPr>
                <w:rFonts w:ascii="Arial" w:cs="Arial" w:eastAsia="Arial" w:hAnsi="Arial"/>
                <w:sz w:val="16"/>
                <w:szCs w:val="16"/>
                <w:color w:val="auto"/>
              </w:rPr>
              <w:t>480,000</w:t>
            </w:r>
          </w:p>
        </w:tc>
      </w:tr>
      <w:tr>
        <w:trPr>
          <w:trHeight w:val="237"/>
        </w:trPr>
        <w:tc>
          <w:tcPr>
            <w:tcW w:w="5200" w:type="dxa"/>
            <w:vAlign w:val="bottom"/>
            <w:tcBorders>
              <w:bottom w:val="single" w:sz="8" w:color="0C3471"/>
            </w:tcBorders>
          </w:tcPr>
          <w:p>
            <w:pPr>
              <w:ind w:left="20"/>
              <w:spacing w:after="0"/>
              <w:rPr>
                <w:sz w:val="20"/>
                <w:szCs w:val="20"/>
                <w:color w:val="auto"/>
              </w:rPr>
            </w:pPr>
            <w:r>
              <w:rPr>
                <w:rFonts w:ascii="Arial" w:cs="Arial" w:eastAsia="Arial" w:hAnsi="Arial"/>
                <w:sz w:val="16"/>
                <w:szCs w:val="16"/>
                <w:b w:val="1"/>
                <w:bCs w:val="1"/>
                <w:color w:val="0C3471"/>
              </w:rPr>
              <w:t>Adrian C. Chiu</w:t>
            </w:r>
          </w:p>
        </w:tc>
        <w:tc>
          <w:tcPr>
            <w:tcW w:w="4980" w:type="dxa"/>
            <w:vAlign w:val="bottom"/>
            <w:tcBorders>
              <w:bottom w:val="single" w:sz="8" w:color="0C3471"/>
            </w:tcBorders>
          </w:tcPr>
          <w:p>
            <w:pPr>
              <w:jc w:val="right"/>
              <w:ind w:right="202"/>
              <w:spacing w:after="0"/>
              <w:rPr>
                <w:sz w:val="20"/>
                <w:szCs w:val="20"/>
                <w:color w:val="auto"/>
              </w:rPr>
            </w:pPr>
            <w:r>
              <w:rPr>
                <w:rFonts w:ascii="Arial" w:cs="Arial" w:eastAsia="Arial" w:hAnsi="Arial"/>
                <w:sz w:val="16"/>
                <w:szCs w:val="16"/>
                <w:color w:val="auto"/>
              </w:rPr>
              <w:t>80%</w:t>
            </w:r>
          </w:p>
        </w:tc>
        <w:tc>
          <w:tcPr>
            <w:tcW w:w="1060" w:type="dxa"/>
            <w:vAlign w:val="bottom"/>
            <w:tcBorders>
              <w:bottom w:val="single" w:sz="8" w:color="0C3471"/>
            </w:tcBorders>
          </w:tcPr>
          <w:p>
            <w:pPr>
              <w:jc w:val="right"/>
              <w:ind w:right="2"/>
              <w:spacing w:after="0"/>
              <w:rPr>
                <w:sz w:val="20"/>
                <w:szCs w:val="20"/>
                <w:color w:val="auto"/>
              </w:rPr>
            </w:pPr>
            <w:r>
              <w:rPr>
                <w:rFonts w:ascii="Arial" w:cs="Arial" w:eastAsia="Arial" w:hAnsi="Arial"/>
                <w:sz w:val="16"/>
                <w:szCs w:val="16"/>
                <w:color w:val="auto"/>
              </w:rPr>
              <w:t>480,000</w:t>
            </w:r>
          </w:p>
        </w:tc>
      </w:tr>
    </w:tbl>
    <w:p>
      <w:pPr>
        <w:spacing w:after="0" w:line="300"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How We Establish Performance Metrics and Measures</w:t>
      </w:r>
    </w:p>
    <w:p>
      <w:pPr>
        <w:spacing w:after="0" w:line="128" w:lineRule="exact"/>
        <w:rPr>
          <w:sz w:val="20"/>
          <w:szCs w:val="20"/>
          <w:color w:val="auto"/>
        </w:rPr>
      </w:pPr>
    </w:p>
    <w:p>
      <w:pPr>
        <w:ind w:right="20"/>
        <w:spacing w:after="0" w:line="258" w:lineRule="auto"/>
        <w:rPr>
          <w:sz w:val="20"/>
          <w:szCs w:val="20"/>
          <w:color w:val="auto"/>
        </w:rPr>
      </w:pPr>
      <w:r>
        <w:rPr>
          <w:rFonts w:ascii="Arial" w:cs="Arial" w:eastAsia="Arial" w:hAnsi="Arial"/>
          <w:sz w:val="16"/>
          <w:szCs w:val="16"/>
          <w:color w:val="auto"/>
        </w:rPr>
        <w:t>For the 2025 MIP, the Compensation Committee established threshold, target and maximum performance targets that were generally based on our annual operating plan, taking into account the prior year’s results, including a revenue target that, although lower than the revenue target for the 2024 MIP, represented a targeted increase over actual 2024 revenue. The following measures applied to our Named Executive Officers except Mr. Pedretti, Mr. Wiggins and Mr. Chiu: adjusted operating income, revenue, and free cash flow, each measured with respect to Company-wide performance. For Mr. Pedretti, the income and revenue performance goals were specific to the Pool segment, for which he had primary responsibility, as well as Company-wide adjusted operating income and free cash flow performance. For Mr. Wiggins, the income and revenue performance goals were specific to the Flow segment, for which he had primary responsibility, as well as Company-wide adjusted operating income and free cash flow performance. For Mr. Chiu, the income and revenue performance goals were specific to the Water Solutions segment, for which he had primary responsibility, as well as Company-wide adjusted operating income and free cash flow performance.</w:t>
      </w:r>
    </w:p>
    <w:p>
      <w:pPr>
        <w:spacing w:after="0" w:line="83" w:lineRule="exact"/>
        <w:rPr>
          <w:sz w:val="20"/>
          <w:szCs w:val="20"/>
          <w:color w:val="auto"/>
        </w:rPr>
      </w:pPr>
    </w:p>
    <w:p>
      <w:pPr>
        <w:ind w:right="140"/>
        <w:spacing w:after="0" w:line="256" w:lineRule="auto"/>
        <w:rPr>
          <w:sz w:val="20"/>
          <w:szCs w:val="20"/>
          <w:color w:val="auto"/>
        </w:rPr>
      </w:pPr>
      <w:r>
        <w:rPr>
          <w:rFonts w:ascii="Arial" w:cs="Arial" w:eastAsia="Arial" w:hAnsi="Arial"/>
          <w:sz w:val="16"/>
          <w:szCs w:val="16"/>
          <w:color w:val="auto"/>
        </w:rPr>
        <w:t>When establishing the 2025 MIP design, the Compensation Committee approved a component addressing progress towards our three sustainability strategic targets in the form of a potential modifier to the final MIP financial calculation for executive officers. As we achieved several of our social responsibility targets at the end of 2024, we reset these targets in early 2025 to focus on three key strategic targets moving forward: water stewardship, greenhouse gas emissions reduction, and product design for sustainability, see page 48 for more information. In connection with determining the final MIP payout, the Compensation Committee evaluates the Company’s progress against each of these three targets to determine whether the modifier will be applied. This modifier may be applied to the MIP payout to increase or decrease such payout by up to 10%. Making progress toward our strategic targets is a baseline expectation. Increasing or decreasing the payout determined by the financial targets will only be for achievement well above or below overall expected progress against our three strategic targets. Threshold performance of financial targets must be met before any sustainability modifier can be applied. In addition, the maximum payout for MIP is 200% of target, regardless of performance on our sustainability strategic targets. The Compensation Committee believes this approach reflects the Company’s commitment to sustainability as a baseline expectation.</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10780" w:type="dxa"/>
            <w:vAlign w:val="bottom"/>
          </w:tcPr>
          <w:p>
            <w:pPr>
              <w:ind w:left="8260"/>
              <w:spacing w:after="0"/>
              <w:rPr>
                <w:sz w:val="20"/>
                <w:szCs w:val="20"/>
                <w:color w:val="auto"/>
              </w:rPr>
            </w:pPr>
            <w:r>
              <w:rPr>
                <w:rFonts w:ascii="Arial" w:cs="Arial" w:eastAsia="Arial" w:hAnsi="Arial"/>
                <w:sz w:val="16"/>
                <w:szCs w:val="16"/>
                <w:b w:val="1"/>
                <w:bCs w:val="1"/>
                <w:color w:val="auto"/>
              </w:rPr>
              <w:t xml:space="preserve">2026 Proxy Statement </w:t>
            </w:r>
            <w:r>
              <w:rPr>
                <w:rFonts w:ascii="Arial" w:cs="Arial" w:eastAsia="Arial" w:hAnsi="Arial"/>
                <w:sz w:val="16"/>
                <w:szCs w:val="16"/>
                <w:b w:val="1"/>
                <w:bCs w:val="1"/>
                <w:color w:val="0C3471"/>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Pentair</w:t>
            </w:r>
          </w:p>
        </w:tc>
        <w:tc>
          <w:tcPr>
            <w:tcW w:w="460" w:type="dxa"/>
            <w:vAlign w:val="bottom"/>
          </w:tcPr>
          <w:p>
            <w:pPr>
              <w:jc w:val="right"/>
              <w:spacing w:after="0"/>
              <w:rPr>
                <w:sz w:val="20"/>
                <w:szCs w:val="20"/>
                <w:color w:val="auto"/>
              </w:rPr>
            </w:pPr>
            <w:r>
              <w:rPr>
                <w:rFonts w:ascii="Arial" w:cs="Arial" w:eastAsia="Arial" w:hAnsi="Arial"/>
                <w:sz w:val="16"/>
                <w:szCs w:val="16"/>
                <w:b w:val="1"/>
                <w:bCs w:val="1"/>
                <w:color w:val="auto"/>
              </w:rPr>
              <w:t>43</w:t>
            </w:r>
          </w:p>
        </w:tc>
      </w:tr>
      <w:tr>
        <w:trPr>
          <w:trHeight w:val="325"/>
        </w:trPr>
        <w:tc>
          <w:tcPr>
            <w:tcW w:w="107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79" w:right="319" w:bottom="1440" w:gutter="0" w:footer="0" w:header="0"/>
          <w:type w:val="continuous"/>
        </w:sectPr>
      </w:pPr>
    </w:p>
    <w:bookmarkStart w:id="45" w:name="page46"/>
    <w:bookmarkEnd w:id="45"/>
    <w:p>
      <w:pPr>
        <w:ind w:left="36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216535</wp:posOffset>
            </wp:positionH>
            <wp:positionV relativeFrom="page">
              <wp:posOffset>106045</wp:posOffset>
            </wp:positionV>
            <wp:extent cx="102870" cy="11176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clrChange>
                        <a:clrFrom>
                          <a:srgbClr val="FFFFFF"/>
                        </a:clrFrom>
                        <a:clrTo>
                          <a:srgbClr val="FFFFFF">
                            <a:alpha val="0"/>
                          </a:srgbClr>
                        </a:clrTo>
                      </a:clrChange>
                      <a:extLst>
                        <a:ext uri="{28A0092B-C50C-407E-A947-70E740481C1C}"/>
                      </a:extLst>
                    </a:blip>
                    <a:srcRect/>
                    <a:stretch>
                      <a:fillRect/>
                    </a:stretch>
                  </pic:blipFill>
                  <pic:spPr bwMode="auto">
                    <a:xfrm>
                      <a:off x="0" y="0"/>
                      <a:ext cx="102870" cy="111760"/>
                    </a:xfrm>
                    <a:prstGeom prst="rect">
                      <a:avLst/>
                    </a:prstGeom>
                    <a:noFill/>
                  </pic:spPr>
                </pic:pic>
              </a:graphicData>
            </a:graphic>
          </wp:anchor>
        </w:drawing>
        <w:t>Compensation Discussion and Analysis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2025 Annual Incentive Performance Measures and Results</w:t>
      </w:r>
    </w:p>
    <w:p>
      <w:pPr>
        <w:spacing w:after="0" w:line="128" w:lineRule="exact"/>
        <w:rPr>
          <w:sz w:val="20"/>
          <w:szCs w:val="20"/>
          <w:color w:val="auto"/>
        </w:rPr>
      </w:pPr>
    </w:p>
    <w:p>
      <w:pPr>
        <w:ind w:right="860"/>
        <w:spacing w:after="0" w:line="321" w:lineRule="auto"/>
        <w:rPr>
          <w:sz w:val="20"/>
          <w:szCs w:val="20"/>
          <w:color w:val="auto"/>
        </w:rPr>
      </w:pPr>
      <w:r>
        <w:rPr>
          <w:rFonts w:ascii="Arial" w:cs="Arial" w:eastAsia="Arial" w:hAnsi="Arial"/>
          <w:sz w:val="16"/>
          <w:szCs w:val="16"/>
          <w:color w:val="auto"/>
        </w:rPr>
        <w:t>2025 performance goals that applied to each of our Named Executive Officers, as well as the weight assigned to each performance goal, and the corresponding payout levels, are set forth below.</w:t>
      </w:r>
    </w:p>
    <w:p>
      <w:pPr>
        <w:spacing w:after="0" w:line="1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Company-wide </w:t>
      </w:r>
      <w:r>
        <w:rPr>
          <w:rFonts w:ascii="Arial" w:cs="Arial" w:eastAsia="Arial" w:hAnsi="Arial"/>
          <w:sz w:val="17"/>
          <w:szCs w:val="17"/>
          <w:b w:val="1"/>
          <w:bCs w:val="1"/>
          <w:color w:val="auto"/>
        </w:rPr>
        <w:t>(Stauch and Fishman)</w:t>
      </w:r>
    </w:p>
    <w:p>
      <w:pPr>
        <w:spacing w:after="0" w:line="266" w:lineRule="exact"/>
        <w:rPr>
          <w:sz w:val="20"/>
          <w:szCs w:val="20"/>
          <w:color w:val="auto"/>
        </w:rPr>
      </w:pPr>
    </w:p>
    <w:tbl>
      <w:tblPr>
        <w:tblLayout w:type="fixed"/>
        <w:tblInd w:w="1240" w:type="dxa"/>
        <w:tblCellMar>
          <w:top w:w="0" w:type="dxa"/>
          <w:left w:w="0" w:type="dxa"/>
          <w:bottom w:w="0" w:type="dxa"/>
          <w:right w:w="0" w:type="dxa"/>
        </w:tblCellMar>
      </w:tblPr>
      <w:tr>
        <w:trPr>
          <w:trHeight w:val="176"/>
        </w:trPr>
        <w:tc>
          <w:tcPr>
            <w:tcW w:w="24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160" w:type="dxa"/>
            <w:vAlign w:val="bottom"/>
          </w:tcPr>
          <w:p>
            <w:pPr>
              <w:jc w:val="center"/>
              <w:ind w:left="8"/>
              <w:spacing w:after="0"/>
              <w:rPr>
                <w:sz w:val="20"/>
                <w:szCs w:val="20"/>
                <w:color w:val="auto"/>
              </w:rPr>
            </w:pPr>
            <w:r>
              <w:rPr>
                <w:rFonts w:ascii="Arial" w:cs="Arial" w:eastAsia="Arial" w:hAnsi="Arial"/>
                <w:sz w:val="14"/>
                <w:szCs w:val="14"/>
                <w:b w:val="1"/>
                <w:bCs w:val="1"/>
                <w:color w:val="auto"/>
              </w:rPr>
              <w:t>Threshold</w:t>
            </w:r>
            <w:r>
              <w:rPr>
                <w:rFonts w:ascii="Arial" w:cs="Arial" w:eastAsia="Arial" w:hAnsi="Arial"/>
                <w:sz w:val="9"/>
                <w:szCs w:val="9"/>
                <w:b w:val="1"/>
                <w:bCs w:val="1"/>
                <w:color w:val="auto"/>
              </w:rPr>
              <w:t>(1)</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8"/>
              </w:rPr>
              <w:t>Target</w:t>
            </w:r>
          </w:p>
        </w:tc>
        <w:tc>
          <w:tcPr>
            <w:tcW w:w="1260" w:type="dxa"/>
            <w:vAlign w:val="bottom"/>
          </w:tcPr>
          <w:p>
            <w:pPr>
              <w:jc w:val="center"/>
              <w:ind w:right="68"/>
              <w:spacing w:after="0"/>
              <w:rPr>
                <w:sz w:val="20"/>
                <w:szCs w:val="20"/>
                <w:color w:val="auto"/>
              </w:rPr>
            </w:pPr>
            <w:r>
              <w:rPr>
                <w:rFonts w:ascii="Arial" w:cs="Arial" w:eastAsia="Arial" w:hAnsi="Arial"/>
                <w:sz w:val="14"/>
                <w:szCs w:val="14"/>
                <w:b w:val="1"/>
                <w:bCs w:val="1"/>
                <w:color w:val="auto"/>
              </w:rPr>
              <w:t>Maximum</w:t>
            </w:r>
          </w:p>
        </w:tc>
        <w:tc>
          <w:tcPr>
            <w:tcW w:w="1060" w:type="dxa"/>
            <w:vAlign w:val="bottom"/>
          </w:tcPr>
          <w:p>
            <w:pPr>
              <w:spacing w:after="0"/>
              <w:rPr>
                <w:sz w:val="15"/>
                <w:szCs w:val="15"/>
                <w:color w:val="auto"/>
              </w:rPr>
            </w:pPr>
          </w:p>
        </w:tc>
        <w:tc>
          <w:tcPr>
            <w:tcW w:w="860" w:type="dxa"/>
            <w:vAlign w:val="bottom"/>
          </w:tcPr>
          <w:p>
            <w:pPr>
              <w:ind w:left="200"/>
              <w:spacing w:after="0"/>
              <w:rPr>
                <w:sz w:val="20"/>
                <w:szCs w:val="20"/>
                <w:color w:val="auto"/>
              </w:rPr>
            </w:pPr>
            <w:r>
              <w:rPr>
                <w:rFonts w:ascii="Arial" w:cs="Arial" w:eastAsia="Arial" w:hAnsi="Arial"/>
                <w:sz w:val="14"/>
                <w:szCs w:val="14"/>
                <w:b w:val="1"/>
                <w:bCs w:val="1"/>
                <w:color w:val="auto"/>
              </w:rPr>
              <w:t>Weighted</w:t>
            </w:r>
          </w:p>
        </w:tc>
      </w:tr>
      <w:tr>
        <w:trPr>
          <w:trHeight w:val="205"/>
        </w:trPr>
        <w:tc>
          <w:tcPr>
            <w:tcW w:w="2400" w:type="dxa"/>
            <w:vAlign w:val="bottom"/>
            <w:tcBorders>
              <w:bottom w:val="single" w:sz="8" w:color="0C3471"/>
            </w:tcBorders>
          </w:tcPr>
          <w:p>
            <w:pPr>
              <w:ind w:left="20"/>
              <w:spacing w:after="0"/>
              <w:rPr>
                <w:sz w:val="20"/>
                <w:szCs w:val="20"/>
                <w:color w:val="auto"/>
              </w:rPr>
            </w:pPr>
            <w:r>
              <w:rPr>
                <w:rFonts w:ascii="Arial" w:cs="Arial" w:eastAsia="Arial" w:hAnsi="Arial"/>
                <w:sz w:val="14"/>
                <w:szCs w:val="14"/>
                <w:b w:val="1"/>
                <w:bCs w:val="1"/>
                <w:color w:val="auto"/>
              </w:rPr>
              <w:t>Financial Performance Measure</w:t>
            </w:r>
          </w:p>
        </w:tc>
        <w:tc>
          <w:tcPr>
            <w:tcW w:w="860" w:type="dxa"/>
            <w:vAlign w:val="bottom"/>
            <w:tcBorders>
              <w:bottom w:val="single" w:sz="8" w:color="0C3471"/>
            </w:tcBorders>
          </w:tcPr>
          <w:p>
            <w:pPr>
              <w:ind w:left="200"/>
              <w:spacing w:after="0"/>
              <w:rPr>
                <w:sz w:val="20"/>
                <w:szCs w:val="20"/>
                <w:color w:val="auto"/>
              </w:rPr>
            </w:pPr>
            <w:r>
              <w:rPr>
                <w:rFonts w:ascii="Arial" w:cs="Arial" w:eastAsia="Arial" w:hAnsi="Arial"/>
                <w:sz w:val="14"/>
                <w:szCs w:val="14"/>
                <w:b w:val="1"/>
                <w:bCs w:val="1"/>
                <w:color w:val="auto"/>
              </w:rPr>
              <w:t>Weight</w:t>
            </w:r>
          </w:p>
        </w:tc>
        <w:tc>
          <w:tcPr>
            <w:tcW w:w="1160" w:type="dxa"/>
            <w:vAlign w:val="bottom"/>
            <w:tcBorders>
              <w:bottom w:val="single" w:sz="8" w:color="0C3471"/>
            </w:tcBorders>
          </w:tcPr>
          <w:p>
            <w:pPr>
              <w:jc w:val="center"/>
              <w:ind w:left="8"/>
              <w:spacing w:after="0"/>
              <w:rPr>
                <w:sz w:val="20"/>
                <w:szCs w:val="20"/>
                <w:color w:val="auto"/>
              </w:rPr>
            </w:pPr>
            <w:r>
              <w:rPr>
                <w:rFonts w:ascii="Arial" w:cs="Arial" w:eastAsia="Arial" w:hAnsi="Arial"/>
                <w:sz w:val="14"/>
                <w:szCs w:val="14"/>
                <w:b w:val="1"/>
                <w:bCs w:val="1"/>
                <w:color w:val="auto"/>
              </w:rPr>
              <w:t>(50% payout)</w:t>
            </w:r>
          </w:p>
        </w:tc>
        <w:tc>
          <w:tcPr>
            <w:tcW w:w="1160" w:type="dxa"/>
            <w:vAlign w:val="bottom"/>
            <w:tcBorders>
              <w:bottom w:val="single" w:sz="8" w:color="0C3471"/>
            </w:tcBorders>
          </w:tcPr>
          <w:p>
            <w:pPr>
              <w:jc w:val="center"/>
              <w:spacing w:after="0"/>
              <w:rPr>
                <w:sz w:val="20"/>
                <w:szCs w:val="20"/>
                <w:color w:val="auto"/>
              </w:rPr>
            </w:pPr>
            <w:r>
              <w:rPr>
                <w:rFonts w:ascii="Arial" w:cs="Arial" w:eastAsia="Arial" w:hAnsi="Arial"/>
                <w:sz w:val="14"/>
                <w:szCs w:val="14"/>
                <w:b w:val="1"/>
                <w:bCs w:val="1"/>
                <w:color w:val="auto"/>
              </w:rPr>
              <w:t>(100% payout)</w:t>
            </w:r>
          </w:p>
        </w:tc>
        <w:tc>
          <w:tcPr>
            <w:tcW w:w="1260" w:type="dxa"/>
            <w:vAlign w:val="bottom"/>
            <w:tcBorders>
              <w:bottom w:val="single" w:sz="8" w:color="0C3471"/>
            </w:tcBorders>
          </w:tcPr>
          <w:p>
            <w:pPr>
              <w:jc w:val="center"/>
              <w:ind w:right="68"/>
              <w:spacing w:after="0"/>
              <w:rPr>
                <w:sz w:val="20"/>
                <w:szCs w:val="20"/>
                <w:color w:val="auto"/>
              </w:rPr>
            </w:pPr>
            <w:r>
              <w:rPr>
                <w:rFonts w:ascii="Arial" w:cs="Arial" w:eastAsia="Arial" w:hAnsi="Arial"/>
                <w:sz w:val="14"/>
                <w:szCs w:val="14"/>
                <w:b w:val="1"/>
                <w:bCs w:val="1"/>
                <w:color w:val="auto"/>
              </w:rPr>
              <w:t>(200% payout)</w:t>
            </w:r>
          </w:p>
        </w:tc>
        <w:tc>
          <w:tcPr>
            <w:tcW w:w="1060" w:type="dxa"/>
            <w:vAlign w:val="bottom"/>
            <w:tcBorders>
              <w:bottom w:val="single" w:sz="8" w:color="0C3471"/>
            </w:tcBorders>
          </w:tcPr>
          <w:p>
            <w:pPr>
              <w:ind w:left="220"/>
              <w:spacing w:after="0"/>
              <w:rPr>
                <w:sz w:val="20"/>
                <w:szCs w:val="20"/>
                <w:color w:val="auto"/>
              </w:rPr>
            </w:pPr>
            <w:r>
              <w:rPr>
                <w:rFonts w:ascii="Arial" w:cs="Arial" w:eastAsia="Arial" w:hAnsi="Arial"/>
                <w:sz w:val="14"/>
                <w:szCs w:val="14"/>
                <w:b w:val="1"/>
                <w:bCs w:val="1"/>
                <w:color w:val="auto"/>
              </w:rPr>
              <w:t>Payout %</w:t>
            </w:r>
          </w:p>
        </w:tc>
        <w:tc>
          <w:tcPr>
            <w:tcW w:w="860" w:type="dxa"/>
            <w:vAlign w:val="bottom"/>
            <w:tcBorders>
              <w:bottom w:val="single" w:sz="8" w:color="0C3471"/>
            </w:tcBorders>
          </w:tcPr>
          <w:p>
            <w:pPr>
              <w:ind w:left="200"/>
              <w:spacing w:after="0"/>
              <w:rPr>
                <w:sz w:val="20"/>
                <w:szCs w:val="20"/>
                <w:color w:val="auto"/>
              </w:rPr>
            </w:pPr>
            <w:r>
              <w:rPr>
                <w:rFonts w:ascii="Arial" w:cs="Arial" w:eastAsia="Arial" w:hAnsi="Arial"/>
                <w:sz w:val="14"/>
                <w:szCs w:val="14"/>
                <w:b w:val="1"/>
                <w:bCs w:val="1"/>
                <w:color w:val="auto"/>
              </w:rPr>
              <w:t>Payout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2345055</wp:posOffset>
            </wp:positionH>
            <wp:positionV relativeFrom="paragraph">
              <wp:posOffset>68580</wp:posOffset>
            </wp:positionV>
            <wp:extent cx="2606040" cy="51435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2606040" cy="514350"/>
                    </a:xfrm>
                    <a:prstGeom prst="rect">
                      <a:avLst/>
                    </a:prstGeom>
                    <a:noFill/>
                  </pic:spPr>
                </pic:pic>
              </a:graphicData>
            </a:graphic>
          </wp:anchor>
        </w:drawing>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60" w:type="dxa"/>
            <w:vAlign w:val="bottom"/>
          </w:tcPr>
          <w:p>
            <w:pPr>
              <w:ind w:left="20"/>
              <w:spacing w:after="0"/>
              <w:rPr>
                <w:sz w:val="20"/>
                <w:szCs w:val="20"/>
                <w:color w:val="auto"/>
              </w:rPr>
            </w:pPr>
            <w:r>
              <w:rPr>
                <w:rFonts w:ascii="Arial" w:cs="Arial" w:eastAsia="Arial" w:hAnsi="Arial"/>
                <w:sz w:val="16"/>
                <w:szCs w:val="16"/>
                <w:color w:val="auto"/>
              </w:rPr>
              <w:t>Pentair Adjusted</w:t>
            </w:r>
          </w:p>
        </w:tc>
        <w:tc>
          <w:tcPr>
            <w:tcW w:w="2800" w:type="dxa"/>
            <w:vAlign w:val="bottom"/>
          </w:tcPr>
          <w:p>
            <w:pPr>
              <w:spacing w:after="0"/>
              <w:rPr>
                <w:sz w:val="17"/>
                <w:szCs w:val="17"/>
                <w:color w:val="auto"/>
              </w:rPr>
            </w:pPr>
          </w:p>
        </w:tc>
        <w:tc>
          <w:tcPr>
            <w:tcW w:w="2880" w:type="dxa"/>
            <w:vAlign w:val="bottom"/>
            <w:vMerge w:val="restart"/>
          </w:tcPr>
          <w:p>
            <w:pPr>
              <w:jc w:val="right"/>
              <w:ind w:right="159"/>
              <w:spacing w:after="0"/>
              <w:rPr>
                <w:sz w:val="20"/>
                <w:szCs w:val="20"/>
                <w:color w:val="auto"/>
              </w:rPr>
            </w:pPr>
            <w:r>
              <w:rPr>
                <w:rFonts w:ascii="Arial" w:cs="Arial" w:eastAsia="Arial" w:hAnsi="Arial"/>
                <w:sz w:val="16"/>
                <w:szCs w:val="16"/>
                <w:color w:val="auto"/>
              </w:rPr>
              <w:t>111.1%</w:t>
            </w:r>
          </w:p>
        </w:tc>
        <w:tc>
          <w:tcPr>
            <w:tcW w:w="8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55.5%</w:t>
            </w: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5"/>
        </w:trPr>
        <w:tc>
          <w:tcPr>
            <w:tcW w:w="400" w:type="dxa"/>
            <w:vAlign w:val="bottom"/>
          </w:tcPr>
          <w:p>
            <w:pPr>
              <w:spacing w:after="0"/>
              <w:rPr>
                <w:sz w:val="9"/>
                <w:szCs w:val="9"/>
                <w:color w:val="auto"/>
              </w:rPr>
            </w:pPr>
          </w:p>
        </w:tc>
        <w:tc>
          <w:tcPr>
            <w:tcW w:w="840" w:type="dxa"/>
            <w:vAlign w:val="bottom"/>
          </w:tcPr>
          <w:p>
            <w:pPr>
              <w:spacing w:after="0"/>
              <w:rPr>
                <w:sz w:val="9"/>
                <w:szCs w:val="9"/>
                <w:color w:val="auto"/>
              </w:rPr>
            </w:pPr>
          </w:p>
        </w:tc>
        <w:tc>
          <w:tcPr>
            <w:tcW w:w="2260" w:type="dxa"/>
            <w:vAlign w:val="bottom"/>
            <w:vMerge w:val="restart"/>
          </w:tcPr>
          <w:p>
            <w:pPr>
              <w:ind w:left="20"/>
              <w:spacing w:after="0"/>
              <w:rPr>
                <w:sz w:val="20"/>
                <w:szCs w:val="20"/>
                <w:color w:val="auto"/>
              </w:rPr>
            </w:pPr>
            <w:r>
              <w:rPr>
                <w:rFonts w:ascii="Arial" w:cs="Arial" w:eastAsia="Arial" w:hAnsi="Arial"/>
                <w:sz w:val="16"/>
                <w:szCs w:val="16"/>
                <w:color w:val="auto"/>
              </w:rPr>
              <w:t>Operating Income</w:t>
            </w:r>
            <w:r>
              <w:rPr>
                <w:rFonts w:ascii="Arial" w:cs="Arial" w:eastAsia="Arial" w:hAnsi="Arial"/>
                <w:sz w:val="21"/>
                <w:szCs w:val="21"/>
                <w:color w:val="auto"/>
                <w:vertAlign w:val="superscript"/>
              </w:rPr>
              <w:t>(2)</w:t>
            </w:r>
          </w:p>
        </w:tc>
        <w:tc>
          <w:tcPr>
            <w:tcW w:w="2800" w:type="dxa"/>
            <w:vAlign w:val="bottom"/>
          </w:tcPr>
          <w:p>
            <w:pPr>
              <w:spacing w:after="0"/>
              <w:rPr>
                <w:sz w:val="9"/>
                <w:szCs w:val="9"/>
                <w:color w:val="auto"/>
              </w:rPr>
            </w:pPr>
          </w:p>
        </w:tc>
        <w:tc>
          <w:tcPr>
            <w:tcW w:w="2880" w:type="dxa"/>
            <w:vAlign w:val="bottom"/>
            <w:vMerge w:val="continue"/>
          </w:tcPr>
          <w:p>
            <w:pPr>
              <w:spacing w:after="0"/>
              <w:rPr>
                <w:sz w:val="9"/>
                <w:szCs w:val="9"/>
                <w:color w:val="auto"/>
              </w:rPr>
            </w:pPr>
          </w:p>
        </w:tc>
        <w:tc>
          <w:tcPr>
            <w:tcW w:w="820" w:type="dxa"/>
            <w:vAlign w:val="bottom"/>
            <w:vMerge w:val="continue"/>
          </w:tcPr>
          <w:p>
            <w:pPr>
              <w:spacing w:after="0"/>
              <w:rPr>
                <w:sz w:val="9"/>
                <w:szCs w:val="9"/>
                <w:color w:val="auto"/>
              </w:rPr>
            </w:pPr>
          </w:p>
        </w:tc>
        <w:tc>
          <w:tcPr>
            <w:tcW w:w="1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60" w:type="dxa"/>
            <w:vAlign w:val="bottom"/>
            <w:vMerge w:val="continue"/>
          </w:tcPr>
          <w:p>
            <w:pPr>
              <w:spacing w:after="0"/>
              <w:rPr>
                <w:sz w:val="14"/>
                <w:szCs w:val="14"/>
                <w:color w:val="auto"/>
              </w:rPr>
            </w:pPr>
          </w:p>
        </w:tc>
        <w:tc>
          <w:tcPr>
            <w:tcW w:w="280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58"/>
        </w:trPr>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60" w:type="dxa"/>
            <w:vAlign w:val="bottom"/>
          </w:tcPr>
          <w:p>
            <w:pPr>
              <w:ind w:left="20"/>
              <w:spacing w:after="0"/>
              <w:rPr>
                <w:sz w:val="20"/>
                <w:szCs w:val="20"/>
                <w:color w:val="auto"/>
              </w:rPr>
            </w:pPr>
            <w:r>
              <w:rPr>
                <w:rFonts w:ascii="Arial" w:cs="Arial" w:eastAsia="Arial" w:hAnsi="Arial"/>
                <w:sz w:val="16"/>
                <w:szCs w:val="16"/>
                <w:color w:val="auto"/>
              </w:rPr>
              <w:t>Pentair Revenue</w:t>
            </w:r>
          </w:p>
        </w:tc>
        <w:tc>
          <w:tcPr>
            <w:tcW w:w="2800" w:type="dxa"/>
            <w:vAlign w:val="bottom"/>
          </w:tcPr>
          <w:p>
            <w:pPr>
              <w:spacing w:after="0"/>
              <w:rPr>
                <w:sz w:val="24"/>
                <w:szCs w:val="24"/>
                <w:color w:val="auto"/>
              </w:rPr>
            </w:pPr>
          </w:p>
        </w:tc>
        <w:tc>
          <w:tcPr>
            <w:tcW w:w="2880" w:type="dxa"/>
            <w:vAlign w:val="bottom"/>
          </w:tcPr>
          <w:p>
            <w:pPr>
              <w:jc w:val="right"/>
              <w:ind w:right="159"/>
              <w:spacing w:after="0"/>
              <w:rPr>
                <w:sz w:val="20"/>
                <w:szCs w:val="20"/>
                <w:color w:val="auto"/>
              </w:rPr>
            </w:pPr>
            <w:r>
              <w:rPr>
                <w:rFonts w:ascii="Arial" w:cs="Arial" w:eastAsia="Arial" w:hAnsi="Arial"/>
                <w:sz w:val="16"/>
                <w:szCs w:val="16"/>
                <w:color w:val="auto"/>
              </w:rPr>
              <w:t>100.3%</w:t>
            </w: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30.1%</w:t>
            </w: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86"/>
        </w:trPr>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60" w:type="dxa"/>
            <w:vAlign w:val="bottom"/>
          </w:tcPr>
          <w:p>
            <w:pPr>
              <w:ind w:left="20"/>
              <w:spacing w:after="0"/>
              <w:rPr>
                <w:sz w:val="20"/>
                <w:szCs w:val="20"/>
                <w:color w:val="auto"/>
              </w:rPr>
            </w:pPr>
            <w:r>
              <w:rPr>
                <w:rFonts w:ascii="Arial" w:cs="Arial" w:eastAsia="Arial" w:hAnsi="Arial"/>
                <w:sz w:val="16"/>
                <w:szCs w:val="16"/>
                <w:color w:val="auto"/>
              </w:rPr>
              <w:t>Pentair Free Cash Flow</w:t>
            </w:r>
            <w:r>
              <w:rPr>
                <w:rFonts w:ascii="Arial" w:cs="Arial" w:eastAsia="Arial" w:hAnsi="Arial"/>
                <w:sz w:val="21"/>
                <w:szCs w:val="21"/>
                <w:color w:val="auto"/>
                <w:vertAlign w:val="superscript"/>
              </w:rPr>
              <w:t>(2)</w:t>
            </w:r>
          </w:p>
        </w:tc>
        <w:tc>
          <w:tcPr>
            <w:tcW w:w="2800" w:type="dxa"/>
            <w:vAlign w:val="bottom"/>
          </w:tcPr>
          <w:p>
            <w:pPr>
              <w:spacing w:after="0"/>
              <w:rPr>
                <w:sz w:val="24"/>
                <w:szCs w:val="24"/>
                <w:color w:val="auto"/>
              </w:rPr>
            </w:pPr>
          </w:p>
        </w:tc>
        <w:tc>
          <w:tcPr>
            <w:tcW w:w="2880" w:type="dxa"/>
            <w:vAlign w:val="bottom"/>
          </w:tcPr>
          <w:p>
            <w:pPr>
              <w:jc w:val="right"/>
              <w:ind w:right="159"/>
              <w:spacing w:after="0"/>
              <w:rPr>
                <w:sz w:val="20"/>
                <w:szCs w:val="20"/>
                <w:color w:val="auto"/>
              </w:rPr>
            </w:pPr>
            <w:r>
              <w:rPr>
                <w:rFonts w:ascii="Arial" w:cs="Arial" w:eastAsia="Arial" w:hAnsi="Arial"/>
                <w:sz w:val="16"/>
                <w:szCs w:val="16"/>
                <w:color w:val="auto"/>
              </w:rPr>
              <w:t>121.4%</w:t>
            </w: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24.3%</w:t>
            </w: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1"/>
        </w:trPr>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60" w:type="dxa"/>
            <w:vAlign w:val="bottom"/>
          </w:tcPr>
          <w:p>
            <w:pPr>
              <w:ind w:left="20"/>
              <w:spacing w:after="0"/>
              <w:rPr>
                <w:sz w:val="20"/>
                <w:szCs w:val="20"/>
                <w:color w:val="auto"/>
              </w:rPr>
            </w:pPr>
            <w:r>
              <w:rPr>
                <w:rFonts w:ascii="Arial" w:cs="Arial" w:eastAsia="Arial" w:hAnsi="Arial"/>
                <w:sz w:val="16"/>
                <w:szCs w:val="16"/>
                <w:b w:val="1"/>
                <w:bCs w:val="1"/>
                <w:color w:val="auto"/>
              </w:rPr>
              <w:t>Total</w:t>
            </w:r>
          </w:p>
        </w:tc>
        <w:tc>
          <w:tcPr>
            <w:tcW w:w="2800" w:type="dxa"/>
            <w:vAlign w:val="bottom"/>
          </w:tcPr>
          <w:p>
            <w:pPr>
              <w:jc w:val="right"/>
              <w:ind w:right="1739"/>
              <w:spacing w:after="0"/>
              <w:rPr>
                <w:sz w:val="20"/>
                <w:szCs w:val="20"/>
                <w:color w:val="auto"/>
              </w:rPr>
            </w:pPr>
            <w:r>
              <w:rPr>
                <w:rFonts w:ascii="Arial" w:cs="Arial" w:eastAsia="Arial" w:hAnsi="Arial"/>
                <w:sz w:val="16"/>
                <w:szCs w:val="16"/>
                <w:color w:val="auto"/>
              </w:rPr>
              <w:t>100%</w:t>
            </w:r>
          </w:p>
        </w:tc>
        <w:tc>
          <w:tcPr>
            <w:tcW w:w="28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109.9%</w:t>
            </w: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Sustainability Modifier</w:t>
            </w:r>
          </w:p>
        </w:tc>
        <w:tc>
          <w:tcPr>
            <w:tcW w:w="2800" w:type="dxa"/>
            <w:vAlign w:val="bottom"/>
          </w:tcPr>
          <w:p>
            <w:pPr>
              <w:jc w:val="right"/>
              <w:ind w:right="1739"/>
              <w:spacing w:after="0"/>
              <w:rPr>
                <w:sz w:val="20"/>
                <w:szCs w:val="20"/>
                <w:color w:val="auto"/>
              </w:rPr>
            </w:pPr>
            <w:r>
              <w:rPr>
                <w:rFonts w:ascii="Arial" w:cs="Arial" w:eastAsia="Arial" w:hAnsi="Arial"/>
                <w:sz w:val="16"/>
                <w:szCs w:val="16"/>
                <w:color w:val="auto"/>
              </w:rPr>
              <w:t>+/- 10%</w:t>
            </w:r>
          </w:p>
        </w:tc>
        <w:tc>
          <w:tcPr>
            <w:tcW w:w="2880" w:type="dxa"/>
            <w:vAlign w:val="bottom"/>
          </w:tcPr>
          <w:p>
            <w:pPr>
              <w:jc w:val="right"/>
              <w:ind w:right="159"/>
              <w:spacing w:after="0"/>
              <w:rPr>
                <w:sz w:val="20"/>
                <w:szCs w:val="20"/>
                <w:color w:val="auto"/>
              </w:rPr>
            </w:pPr>
            <w:r>
              <w:rPr>
                <w:rFonts w:ascii="Arial" w:cs="Arial" w:eastAsia="Arial" w:hAnsi="Arial"/>
                <w:sz w:val="16"/>
                <w:szCs w:val="16"/>
                <w:color w:val="auto"/>
              </w:rPr>
              <w:t>No modifier</w:t>
            </w:r>
          </w:p>
        </w:tc>
        <w:tc>
          <w:tcPr>
            <w:tcW w:w="8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100%</w:t>
            </w: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0" w:type="dxa"/>
            <w:vAlign w:val="bottom"/>
          </w:tcPr>
          <w:p>
            <w:pPr>
              <w:spacing w:after="0"/>
              <w:rPr>
                <w:sz w:val="9"/>
                <w:szCs w:val="9"/>
                <w:color w:val="auto"/>
              </w:rPr>
            </w:pPr>
          </w:p>
        </w:tc>
        <w:tc>
          <w:tcPr>
            <w:tcW w:w="840" w:type="dxa"/>
            <w:vAlign w:val="bottom"/>
          </w:tcPr>
          <w:p>
            <w:pPr>
              <w:spacing w:after="0"/>
              <w:rPr>
                <w:sz w:val="9"/>
                <w:szCs w:val="9"/>
                <w:color w:val="auto"/>
              </w:rPr>
            </w:pPr>
          </w:p>
        </w:tc>
        <w:tc>
          <w:tcPr>
            <w:tcW w:w="2260" w:type="dxa"/>
            <w:vAlign w:val="bottom"/>
            <w:vMerge w:val="continue"/>
          </w:tcPr>
          <w:p>
            <w:pPr>
              <w:spacing w:after="0"/>
              <w:rPr>
                <w:sz w:val="9"/>
                <w:szCs w:val="9"/>
                <w:color w:val="auto"/>
              </w:rPr>
            </w:pPr>
          </w:p>
        </w:tc>
        <w:tc>
          <w:tcPr>
            <w:tcW w:w="2800" w:type="dxa"/>
            <w:vAlign w:val="bottom"/>
            <w:vMerge w:val="restart"/>
          </w:tcPr>
          <w:p>
            <w:pPr>
              <w:jc w:val="right"/>
              <w:ind w:right="1739"/>
              <w:spacing w:after="0"/>
              <w:rPr>
                <w:sz w:val="20"/>
                <w:szCs w:val="20"/>
                <w:color w:val="auto"/>
              </w:rPr>
            </w:pPr>
            <w:r>
              <w:rPr>
                <w:rFonts w:ascii="Arial" w:cs="Arial" w:eastAsia="Arial" w:hAnsi="Arial"/>
                <w:sz w:val="16"/>
                <w:szCs w:val="16"/>
                <w:color w:val="auto"/>
              </w:rPr>
              <w:t>modifier</w:t>
            </w:r>
          </w:p>
        </w:tc>
        <w:tc>
          <w:tcPr>
            <w:tcW w:w="2880" w:type="dxa"/>
            <w:vAlign w:val="bottom"/>
            <w:vMerge w:val="restart"/>
          </w:tcPr>
          <w:p>
            <w:pPr>
              <w:jc w:val="right"/>
              <w:ind w:right="159"/>
              <w:spacing w:after="0"/>
              <w:rPr>
                <w:sz w:val="20"/>
                <w:szCs w:val="20"/>
                <w:color w:val="auto"/>
              </w:rPr>
            </w:pPr>
            <w:r>
              <w:rPr>
                <w:rFonts w:ascii="Arial" w:cs="Arial" w:eastAsia="Arial" w:hAnsi="Arial"/>
                <w:sz w:val="16"/>
                <w:szCs w:val="16"/>
                <w:color w:val="auto"/>
              </w:rPr>
              <w:t>applied</w:t>
            </w:r>
          </w:p>
        </w:tc>
        <w:tc>
          <w:tcPr>
            <w:tcW w:w="820" w:type="dxa"/>
            <w:vAlign w:val="bottom"/>
            <w:vMerge w:val="continue"/>
          </w:tcPr>
          <w:p>
            <w:pPr>
              <w:spacing w:after="0"/>
              <w:rPr>
                <w:sz w:val="9"/>
                <w:szCs w:val="9"/>
                <w:color w:val="auto"/>
              </w:rPr>
            </w:pPr>
          </w:p>
        </w:tc>
        <w:tc>
          <w:tcPr>
            <w:tcW w:w="1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400" w:type="dxa"/>
            <w:vAlign w:val="bottom"/>
          </w:tcPr>
          <w:p>
            <w:pPr>
              <w:spacing w:after="0"/>
              <w:rPr>
                <w:sz w:val="9"/>
                <w:szCs w:val="9"/>
                <w:color w:val="auto"/>
              </w:rPr>
            </w:pPr>
          </w:p>
        </w:tc>
        <w:tc>
          <w:tcPr>
            <w:tcW w:w="840" w:type="dxa"/>
            <w:vAlign w:val="bottom"/>
          </w:tcPr>
          <w:p>
            <w:pPr>
              <w:spacing w:after="0"/>
              <w:rPr>
                <w:sz w:val="9"/>
                <w:szCs w:val="9"/>
                <w:color w:val="auto"/>
              </w:rPr>
            </w:pPr>
          </w:p>
        </w:tc>
        <w:tc>
          <w:tcPr>
            <w:tcW w:w="2260" w:type="dxa"/>
            <w:vAlign w:val="bottom"/>
          </w:tcPr>
          <w:p>
            <w:pPr>
              <w:spacing w:after="0"/>
              <w:rPr>
                <w:sz w:val="9"/>
                <w:szCs w:val="9"/>
                <w:color w:val="auto"/>
              </w:rPr>
            </w:pPr>
          </w:p>
        </w:tc>
        <w:tc>
          <w:tcPr>
            <w:tcW w:w="2800" w:type="dxa"/>
            <w:vAlign w:val="bottom"/>
            <w:vMerge w:val="continue"/>
          </w:tcPr>
          <w:p>
            <w:pPr>
              <w:spacing w:after="0"/>
              <w:rPr>
                <w:sz w:val="9"/>
                <w:szCs w:val="9"/>
                <w:color w:val="auto"/>
              </w:rPr>
            </w:pPr>
          </w:p>
        </w:tc>
        <w:tc>
          <w:tcPr>
            <w:tcW w:w="288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8"/>
        </w:trPr>
        <w:tc>
          <w:tcPr>
            <w:tcW w:w="4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60" w:type="dxa"/>
            <w:vAlign w:val="bottom"/>
            <w:tcBorders>
              <w:bottom w:val="single" w:sz="8" w:color="0C3471"/>
            </w:tcBorders>
          </w:tcPr>
          <w:p>
            <w:pPr>
              <w:spacing w:after="0"/>
              <w:rPr>
                <w:sz w:val="15"/>
                <w:szCs w:val="15"/>
                <w:color w:val="auto"/>
              </w:rPr>
            </w:pPr>
          </w:p>
        </w:tc>
        <w:tc>
          <w:tcPr>
            <w:tcW w:w="2800" w:type="dxa"/>
            <w:vAlign w:val="bottom"/>
            <w:tcBorders>
              <w:bottom w:val="single" w:sz="8" w:color="0C3471"/>
            </w:tcBorders>
          </w:tcPr>
          <w:p>
            <w:pPr>
              <w:spacing w:after="0"/>
              <w:rPr>
                <w:sz w:val="15"/>
                <w:szCs w:val="15"/>
                <w:color w:val="auto"/>
              </w:rPr>
            </w:pPr>
          </w:p>
        </w:tc>
        <w:tc>
          <w:tcPr>
            <w:tcW w:w="2880" w:type="dxa"/>
            <w:vAlign w:val="bottom"/>
            <w:tcBorders>
              <w:bottom w:val="single" w:sz="8" w:color="0C3471"/>
            </w:tcBorders>
          </w:tcPr>
          <w:p>
            <w:pPr>
              <w:spacing w:after="0"/>
              <w:rPr>
                <w:sz w:val="15"/>
                <w:szCs w:val="15"/>
                <w:color w:val="auto"/>
              </w:rPr>
            </w:pPr>
          </w:p>
        </w:tc>
        <w:tc>
          <w:tcPr>
            <w:tcW w:w="820" w:type="dxa"/>
            <w:vAlign w:val="bottom"/>
            <w:tcBorders>
              <w:bottom w:val="single" w:sz="8" w:color="0C3471"/>
            </w:tcBorders>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8"/>
        </w:trPr>
        <w:tc>
          <w:tcPr>
            <w:tcW w:w="400" w:type="dxa"/>
            <w:vAlign w:val="bottom"/>
          </w:tcPr>
          <w:p>
            <w:pPr>
              <w:jc w:val="right"/>
              <w:ind w:right="119"/>
              <w:spacing w:after="0"/>
              <w:rPr>
                <w:sz w:val="20"/>
                <w:szCs w:val="20"/>
                <w:color w:val="auto"/>
              </w:rPr>
            </w:pPr>
            <w:r>
              <w:rPr>
                <w:rFonts w:ascii="Arial" w:cs="Arial" w:eastAsia="Arial" w:hAnsi="Arial"/>
                <w:sz w:val="16"/>
                <w:szCs w:val="16"/>
                <w:b w:val="1"/>
                <w:bCs w:val="1"/>
                <w:color w:val="auto"/>
              </w:rPr>
              <w:t>44</w:t>
            </w:r>
          </w:p>
        </w:tc>
        <w:tc>
          <w:tcPr>
            <w:tcW w:w="3100" w:type="dxa"/>
            <w:vAlign w:val="bottom"/>
            <w:gridSpan w:val="2"/>
          </w:tcPr>
          <w:p>
            <w:pPr>
              <w:ind w:left="200"/>
              <w:spacing w:after="0"/>
              <w:rPr>
                <w:sz w:val="20"/>
                <w:szCs w:val="20"/>
                <w:color w:val="auto"/>
              </w:rPr>
            </w:pPr>
            <w:r>
              <w:rPr>
                <w:rFonts w:ascii="Arial" w:cs="Arial" w:eastAsia="Arial" w:hAnsi="Arial"/>
                <w:sz w:val="16"/>
                <w:szCs w:val="16"/>
                <w:color w:val="auto"/>
              </w:rPr>
              <w:t xml:space="preserve">Pentair </w:t>
            </w:r>
            <w:r>
              <w:rPr>
                <w:rFonts w:ascii="Arial" w:cs="Arial" w:eastAsia="Arial" w:hAnsi="Arial"/>
                <w:sz w:val="16"/>
                <w:szCs w:val="16"/>
                <w:b w:val="1"/>
                <w:bCs w:val="1"/>
                <w:color w:val="0C3471"/>
              </w:rPr>
              <w:t>|</w:t>
            </w:r>
            <w:r>
              <w:rPr>
                <w:rFonts w:ascii="Arial" w:cs="Arial" w:eastAsia="Arial" w:hAnsi="Arial"/>
                <w:sz w:val="16"/>
                <w:szCs w:val="16"/>
                <w:color w:val="auto"/>
              </w:rPr>
              <w:t xml:space="preserve"> </w:t>
            </w:r>
            <w:r>
              <w:rPr>
                <w:rFonts w:ascii="Arial" w:cs="Arial" w:eastAsia="Arial" w:hAnsi="Arial"/>
                <w:sz w:val="16"/>
                <w:szCs w:val="16"/>
                <w:b w:val="1"/>
                <w:bCs w:val="1"/>
                <w:color w:val="auto"/>
              </w:rPr>
              <w:t>2026 Proxy Statement</w:t>
            </w:r>
          </w:p>
        </w:tc>
        <w:tc>
          <w:tcPr>
            <w:tcW w:w="280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5"/>
        </w:trPr>
        <w:tc>
          <w:tcPr>
            <w:tcW w:w="40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260" w:type="dxa"/>
            <w:vAlign w:val="bottom"/>
            <w:tcBorders>
              <w:bottom w:val="single" w:sz="8" w:color="9A9A9A"/>
            </w:tcBorders>
          </w:tcPr>
          <w:p>
            <w:pPr>
              <w:spacing w:after="0"/>
              <w:rPr>
                <w:sz w:val="24"/>
                <w:szCs w:val="24"/>
                <w:color w:val="auto"/>
              </w:rPr>
            </w:pPr>
          </w:p>
        </w:tc>
        <w:tc>
          <w:tcPr>
            <w:tcW w:w="2800" w:type="dxa"/>
            <w:vAlign w:val="bottom"/>
            <w:tcBorders>
              <w:bottom w:val="single" w:sz="8" w:color="9A9A9A"/>
            </w:tcBorders>
          </w:tcPr>
          <w:p>
            <w:pPr>
              <w:spacing w:after="0"/>
              <w:rPr>
                <w:sz w:val="24"/>
                <w:szCs w:val="24"/>
                <w:color w:val="auto"/>
              </w:rPr>
            </w:pPr>
          </w:p>
        </w:tc>
        <w:tc>
          <w:tcPr>
            <w:tcW w:w="288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2345055</wp:posOffset>
            </wp:positionH>
            <wp:positionV relativeFrom="paragraph">
              <wp:posOffset>-3068320</wp:posOffset>
            </wp:positionV>
            <wp:extent cx="2606040" cy="51435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2606040" cy="514350"/>
                    </a:xfrm>
                    <a:prstGeom prst="rect">
                      <a:avLst/>
                    </a:prstGeom>
                    <a:noFill/>
                  </pic:spPr>
                </pic:pic>
              </a:graphicData>
            </a:graphic>
          </wp:anchor>
        </w:drawing>
        <w:drawing>
          <wp:anchor simplePos="0" relativeHeight="251657728" behindDoc="1" locked="0" layoutInCell="0" allowOverlap="1">
            <wp:simplePos x="0" y="0"/>
            <wp:positionH relativeFrom="column">
              <wp:posOffset>2345055</wp:posOffset>
            </wp:positionH>
            <wp:positionV relativeFrom="paragraph">
              <wp:posOffset>-2219960</wp:posOffset>
            </wp:positionV>
            <wp:extent cx="2606040" cy="58293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2606040" cy="58293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46" w:name="page47"/>
    <w:bookmarkEnd w:id="46"/>
    <w:p>
      <w:pPr>
        <w:jc w:val="right"/>
        <w:ind w:right="20"/>
        <w:spacing w:after="0"/>
        <w:rPr>
          <w:sz w:val="20"/>
          <w:szCs w:val="20"/>
          <w:color w:val="auto"/>
        </w:rPr>
      </w:pPr>
      <w:r>
        <w:rPr>
          <w:rFonts w:ascii="Arial" w:cs="Arial" w:eastAsia="Arial" w:hAnsi="Arial"/>
          <w:sz w:val="16"/>
          <w:szCs w:val="16"/>
          <w:b w:val="1"/>
          <w:bCs w:val="1"/>
          <w:color w:val="auto"/>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4659630</wp:posOffset>
            </wp:positionH>
            <wp:positionV relativeFrom="paragraph">
              <wp:posOffset>-107315</wp:posOffset>
            </wp:positionV>
            <wp:extent cx="102870" cy="11176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102870" cy="111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Pool Segment </w:t>
      </w:r>
      <w:r>
        <w:rPr>
          <w:rFonts w:ascii="Arial" w:cs="Arial" w:eastAsia="Arial" w:hAnsi="Arial"/>
          <w:sz w:val="17"/>
          <w:szCs w:val="17"/>
          <w:b w:val="1"/>
          <w:bCs w:val="1"/>
          <w:color w:val="auto"/>
        </w:rPr>
        <w:t>(Pedretti)</w:t>
      </w:r>
    </w:p>
    <w:p>
      <w:pPr>
        <w:spacing w:after="0" w:line="167" w:lineRule="exact"/>
        <w:rPr>
          <w:sz w:val="20"/>
          <w:szCs w:val="20"/>
          <w:color w:val="auto"/>
        </w:rPr>
      </w:pPr>
    </w:p>
    <w:tbl>
      <w:tblPr>
        <w:tblLayout w:type="fixed"/>
        <w:tblInd w:w="1240" w:type="dxa"/>
        <w:tblCellMar>
          <w:top w:w="0" w:type="dxa"/>
          <w:left w:w="0" w:type="dxa"/>
          <w:bottom w:w="0" w:type="dxa"/>
          <w:right w:w="0" w:type="dxa"/>
        </w:tblCellMar>
      </w:tblPr>
      <w:tr>
        <w:trPr>
          <w:trHeight w:val="207"/>
        </w:trPr>
        <w:tc>
          <w:tcPr>
            <w:tcW w:w="24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60" w:type="dxa"/>
            <w:vAlign w:val="bottom"/>
          </w:tcPr>
          <w:p>
            <w:pPr>
              <w:jc w:val="center"/>
              <w:ind w:left="8"/>
              <w:spacing w:after="0"/>
              <w:rPr>
                <w:sz w:val="20"/>
                <w:szCs w:val="20"/>
                <w:color w:val="auto"/>
              </w:rPr>
            </w:pPr>
            <w:r>
              <w:rPr>
                <w:rFonts w:ascii="Arial" w:cs="Arial" w:eastAsia="Arial" w:hAnsi="Arial"/>
                <w:sz w:val="14"/>
                <w:szCs w:val="14"/>
                <w:b w:val="1"/>
                <w:bCs w:val="1"/>
                <w:color w:val="auto"/>
                <w:w w:val="97"/>
              </w:rPr>
              <w:t>Threshold</w:t>
            </w:r>
            <w:r>
              <w:rPr>
                <w:rFonts w:ascii="Arial" w:cs="Arial" w:eastAsia="Arial" w:hAnsi="Arial"/>
                <w:sz w:val="18"/>
                <w:szCs w:val="18"/>
                <w:b w:val="1"/>
                <w:bCs w:val="1"/>
                <w:color w:val="auto"/>
                <w:w w:val="97"/>
                <w:vertAlign w:val="superscript"/>
              </w:rPr>
              <w:t>(1)</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8"/>
              </w:rPr>
              <w:t>Target</w:t>
            </w:r>
          </w:p>
        </w:tc>
        <w:tc>
          <w:tcPr>
            <w:tcW w:w="1260" w:type="dxa"/>
            <w:vAlign w:val="bottom"/>
          </w:tcPr>
          <w:p>
            <w:pPr>
              <w:jc w:val="center"/>
              <w:ind w:right="68"/>
              <w:spacing w:after="0"/>
              <w:rPr>
                <w:sz w:val="20"/>
                <w:szCs w:val="20"/>
                <w:color w:val="auto"/>
              </w:rPr>
            </w:pPr>
            <w:r>
              <w:rPr>
                <w:rFonts w:ascii="Arial" w:cs="Arial" w:eastAsia="Arial" w:hAnsi="Arial"/>
                <w:sz w:val="14"/>
                <w:szCs w:val="14"/>
                <w:b w:val="1"/>
                <w:bCs w:val="1"/>
                <w:color w:val="auto"/>
              </w:rPr>
              <w:t>Maximum</w:t>
            </w:r>
          </w:p>
        </w:tc>
        <w:tc>
          <w:tcPr>
            <w:tcW w:w="1060" w:type="dxa"/>
            <w:vAlign w:val="bottom"/>
          </w:tcPr>
          <w:p>
            <w:pPr>
              <w:spacing w:after="0"/>
              <w:rPr>
                <w:sz w:val="17"/>
                <w:szCs w:val="17"/>
                <w:color w:val="auto"/>
              </w:rPr>
            </w:pPr>
          </w:p>
        </w:tc>
        <w:tc>
          <w:tcPr>
            <w:tcW w:w="860" w:type="dxa"/>
            <w:vAlign w:val="bottom"/>
          </w:tcPr>
          <w:p>
            <w:pPr>
              <w:ind w:left="200"/>
              <w:spacing w:after="0"/>
              <w:rPr>
                <w:sz w:val="20"/>
                <w:szCs w:val="20"/>
                <w:color w:val="auto"/>
              </w:rPr>
            </w:pPr>
            <w:r>
              <w:rPr>
                <w:rFonts w:ascii="Arial" w:cs="Arial" w:eastAsia="Arial" w:hAnsi="Arial"/>
                <w:sz w:val="14"/>
                <w:szCs w:val="14"/>
                <w:b w:val="1"/>
                <w:bCs w:val="1"/>
                <w:color w:val="auto"/>
              </w:rPr>
              <w:t>Weighted</w:t>
            </w:r>
          </w:p>
        </w:tc>
      </w:tr>
      <w:tr>
        <w:trPr>
          <w:trHeight w:val="205"/>
        </w:trPr>
        <w:tc>
          <w:tcPr>
            <w:tcW w:w="2400" w:type="dxa"/>
            <w:vAlign w:val="bottom"/>
            <w:tcBorders>
              <w:bottom w:val="single" w:sz="8" w:color="0C3471"/>
            </w:tcBorders>
          </w:tcPr>
          <w:p>
            <w:pPr>
              <w:ind w:left="20"/>
              <w:spacing w:after="0"/>
              <w:rPr>
                <w:sz w:val="20"/>
                <w:szCs w:val="20"/>
                <w:color w:val="auto"/>
              </w:rPr>
            </w:pPr>
            <w:r>
              <w:rPr>
                <w:rFonts w:ascii="Arial" w:cs="Arial" w:eastAsia="Arial" w:hAnsi="Arial"/>
                <w:sz w:val="14"/>
                <w:szCs w:val="14"/>
                <w:b w:val="1"/>
                <w:bCs w:val="1"/>
                <w:color w:val="auto"/>
              </w:rPr>
              <w:t>Financial Performance Measure</w:t>
            </w:r>
          </w:p>
        </w:tc>
        <w:tc>
          <w:tcPr>
            <w:tcW w:w="860" w:type="dxa"/>
            <w:vAlign w:val="bottom"/>
            <w:tcBorders>
              <w:bottom w:val="single" w:sz="8" w:color="0C3471"/>
            </w:tcBorders>
          </w:tcPr>
          <w:p>
            <w:pPr>
              <w:ind w:left="200"/>
              <w:spacing w:after="0"/>
              <w:rPr>
                <w:sz w:val="20"/>
                <w:szCs w:val="20"/>
                <w:color w:val="auto"/>
              </w:rPr>
            </w:pPr>
            <w:r>
              <w:rPr>
                <w:rFonts w:ascii="Arial" w:cs="Arial" w:eastAsia="Arial" w:hAnsi="Arial"/>
                <w:sz w:val="14"/>
                <w:szCs w:val="14"/>
                <w:b w:val="1"/>
                <w:bCs w:val="1"/>
                <w:color w:val="auto"/>
              </w:rPr>
              <w:t>Weight</w:t>
            </w:r>
          </w:p>
        </w:tc>
        <w:tc>
          <w:tcPr>
            <w:tcW w:w="1160" w:type="dxa"/>
            <w:vAlign w:val="bottom"/>
            <w:tcBorders>
              <w:bottom w:val="single" w:sz="8" w:color="0C3471"/>
            </w:tcBorders>
          </w:tcPr>
          <w:p>
            <w:pPr>
              <w:jc w:val="center"/>
              <w:ind w:left="8"/>
              <w:spacing w:after="0"/>
              <w:rPr>
                <w:sz w:val="20"/>
                <w:szCs w:val="20"/>
                <w:color w:val="auto"/>
              </w:rPr>
            </w:pPr>
            <w:r>
              <w:rPr>
                <w:rFonts w:ascii="Arial" w:cs="Arial" w:eastAsia="Arial" w:hAnsi="Arial"/>
                <w:sz w:val="14"/>
                <w:szCs w:val="14"/>
                <w:b w:val="1"/>
                <w:bCs w:val="1"/>
                <w:color w:val="auto"/>
              </w:rPr>
              <w:t>(50% payout)</w:t>
            </w:r>
          </w:p>
        </w:tc>
        <w:tc>
          <w:tcPr>
            <w:tcW w:w="1160" w:type="dxa"/>
            <w:vAlign w:val="bottom"/>
            <w:tcBorders>
              <w:bottom w:val="single" w:sz="8" w:color="0C3471"/>
            </w:tcBorders>
          </w:tcPr>
          <w:p>
            <w:pPr>
              <w:jc w:val="center"/>
              <w:spacing w:after="0"/>
              <w:rPr>
                <w:sz w:val="20"/>
                <w:szCs w:val="20"/>
                <w:color w:val="auto"/>
              </w:rPr>
            </w:pPr>
            <w:r>
              <w:rPr>
                <w:rFonts w:ascii="Arial" w:cs="Arial" w:eastAsia="Arial" w:hAnsi="Arial"/>
                <w:sz w:val="14"/>
                <w:szCs w:val="14"/>
                <w:b w:val="1"/>
                <w:bCs w:val="1"/>
                <w:color w:val="auto"/>
              </w:rPr>
              <w:t>(100% payout)</w:t>
            </w:r>
          </w:p>
        </w:tc>
        <w:tc>
          <w:tcPr>
            <w:tcW w:w="1260" w:type="dxa"/>
            <w:vAlign w:val="bottom"/>
            <w:tcBorders>
              <w:bottom w:val="single" w:sz="8" w:color="0C3471"/>
            </w:tcBorders>
          </w:tcPr>
          <w:p>
            <w:pPr>
              <w:jc w:val="center"/>
              <w:ind w:right="68"/>
              <w:spacing w:after="0"/>
              <w:rPr>
                <w:sz w:val="20"/>
                <w:szCs w:val="20"/>
                <w:color w:val="auto"/>
              </w:rPr>
            </w:pPr>
            <w:r>
              <w:rPr>
                <w:rFonts w:ascii="Arial" w:cs="Arial" w:eastAsia="Arial" w:hAnsi="Arial"/>
                <w:sz w:val="14"/>
                <w:szCs w:val="14"/>
                <w:b w:val="1"/>
                <w:bCs w:val="1"/>
                <w:color w:val="auto"/>
              </w:rPr>
              <w:t>(200% payout)</w:t>
            </w:r>
          </w:p>
        </w:tc>
        <w:tc>
          <w:tcPr>
            <w:tcW w:w="1060" w:type="dxa"/>
            <w:vAlign w:val="bottom"/>
            <w:tcBorders>
              <w:bottom w:val="single" w:sz="8" w:color="0C3471"/>
            </w:tcBorders>
          </w:tcPr>
          <w:p>
            <w:pPr>
              <w:ind w:left="220"/>
              <w:spacing w:after="0"/>
              <w:rPr>
                <w:sz w:val="20"/>
                <w:szCs w:val="20"/>
                <w:color w:val="auto"/>
              </w:rPr>
            </w:pPr>
            <w:r>
              <w:rPr>
                <w:rFonts w:ascii="Arial" w:cs="Arial" w:eastAsia="Arial" w:hAnsi="Arial"/>
                <w:sz w:val="14"/>
                <w:szCs w:val="14"/>
                <w:b w:val="1"/>
                <w:bCs w:val="1"/>
                <w:color w:val="auto"/>
              </w:rPr>
              <w:t>Payout %</w:t>
            </w:r>
          </w:p>
        </w:tc>
        <w:tc>
          <w:tcPr>
            <w:tcW w:w="860" w:type="dxa"/>
            <w:vAlign w:val="bottom"/>
            <w:tcBorders>
              <w:bottom w:val="single" w:sz="8" w:color="0C3471"/>
            </w:tcBorders>
          </w:tcPr>
          <w:p>
            <w:pPr>
              <w:ind w:left="200"/>
              <w:spacing w:after="0"/>
              <w:rPr>
                <w:sz w:val="20"/>
                <w:szCs w:val="20"/>
                <w:color w:val="auto"/>
              </w:rPr>
            </w:pPr>
            <w:r>
              <w:rPr>
                <w:rFonts w:ascii="Arial" w:cs="Arial" w:eastAsia="Arial" w:hAnsi="Arial"/>
                <w:sz w:val="14"/>
                <w:szCs w:val="14"/>
                <w:b w:val="1"/>
                <w:bCs w:val="1"/>
                <w:color w:val="auto"/>
              </w:rPr>
              <w:t>Payout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2345055</wp:posOffset>
            </wp:positionH>
            <wp:positionV relativeFrom="paragraph">
              <wp:posOffset>68580</wp:posOffset>
            </wp:positionV>
            <wp:extent cx="2606040" cy="51435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2606040" cy="51435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p>
      <w:pPr>
        <w:spacing w:after="0" w:line="200" w:lineRule="exact"/>
        <w:rPr>
          <w:sz w:val="20"/>
          <w:szCs w:val="20"/>
          <w:color w:val="auto"/>
        </w:rPr>
      </w:pPr>
    </w:p>
    <w:p>
      <w:pPr>
        <w:spacing w:after="0" w:line="245" w:lineRule="exact"/>
        <w:rPr>
          <w:sz w:val="20"/>
          <w:szCs w:val="20"/>
          <w:color w:val="auto"/>
        </w:rPr>
      </w:pPr>
    </w:p>
    <w:p>
      <w:pPr>
        <w:jc w:val="center"/>
        <w:ind w:right="3840"/>
        <w:spacing w:after="0"/>
        <w:rPr>
          <w:sz w:val="20"/>
          <w:szCs w:val="20"/>
          <w:color w:val="auto"/>
        </w:rPr>
      </w:pPr>
      <w:r>
        <w:rPr>
          <w:rFonts w:ascii="Arial" w:cs="Arial" w:eastAsia="Arial" w:hAnsi="Arial"/>
          <w:sz w:val="15"/>
          <w:szCs w:val="15"/>
          <w:color w:val="auto"/>
        </w:rPr>
        <w:t>Pool Income</w:t>
      </w:r>
      <w:r>
        <w:rPr>
          <w:rFonts w:ascii="Arial" w:cs="Arial" w:eastAsia="Arial" w:hAnsi="Arial"/>
          <w:sz w:val="20"/>
          <w:szCs w:val="20"/>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2345055</wp:posOffset>
            </wp:positionH>
            <wp:positionV relativeFrom="paragraph">
              <wp:posOffset>420370</wp:posOffset>
            </wp:positionV>
            <wp:extent cx="2606040" cy="51435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2606040"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3720"/>
        <w:spacing w:after="0"/>
        <w:rPr>
          <w:sz w:val="20"/>
          <w:szCs w:val="20"/>
          <w:color w:val="auto"/>
        </w:rPr>
      </w:pPr>
      <w:r>
        <w:rPr>
          <w:rFonts w:ascii="Arial" w:cs="Arial" w:eastAsia="Arial" w:hAnsi="Arial"/>
          <w:sz w:val="15"/>
          <w:szCs w:val="15"/>
          <w:color w:val="auto"/>
        </w:rPr>
        <w:t>Pool Revenue</w:t>
      </w:r>
      <w:r>
        <w:rPr>
          <w:rFonts w:ascii="Arial" w:cs="Arial" w:eastAsia="Arial" w:hAnsi="Arial"/>
          <w:sz w:val="20"/>
          <w:szCs w:val="20"/>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2345055</wp:posOffset>
            </wp:positionH>
            <wp:positionV relativeFrom="paragraph">
              <wp:posOffset>403225</wp:posOffset>
            </wp:positionV>
            <wp:extent cx="2606040" cy="51435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2606040"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Pentair Free Cash Flow</w:t>
      </w:r>
      <w:r>
        <w:rPr>
          <w:rFonts w:ascii="Arial" w:cs="Arial" w:eastAsia="Arial" w:hAnsi="Arial"/>
          <w:sz w:val="21"/>
          <w:szCs w:val="21"/>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2336800</wp:posOffset>
            </wp:positionH>
            <wp:positionV relativeFrom="paragraph">
              <wp:posOffset>395605</wp:posOffset>
            </wp:positionV>
            <wp:extent cx="2614295" cy="51435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2614295"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Pentair Adjusted</w:t>
      </w:r>
    </w:p>
    <w:p>
      <w:pPr>
        <w:spacing w:after="0" w:line="18"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Operating Income</w:t>
      </w:r>
      <w:r>
        <w:rPr>
          <w:rFonts w:ascii="Arial" w:cs="Arial" w:eastAsia="Arial" w:hAnsi="Arial"/>
          <w:sz w:val="21"/>
          <w:szCs w:val="21"/>
          <w:color w:val="auto"/>
          <w:vertAlign w:val="superscript"/>
        </w:rPr>
        <w:t>(2)</w:t>
      </w:r>
    </w:p>
    <w:p>
      <w:pPr>
        <w:spacing w:after="0" w:line="200" w:lineRule="exact"/>
        <w:rPr>
          <w:sz w:val="20"/>
          <w:szCs w:val="20"/>
          <w:color w:val="auto"/>
        </w:rPr>
      </w:pPr>
    </w:p>
    <w:p>
      <w:pPr>
        <w:spacing w:after="0" w:line="220" w:lineRule="exact"/>
        <w:rPr>
          <w:sz w:val="20"/>
          <w:szCs w:val="20"/>
          <w:color w:val="auto"/>
        </w:rPr>
      </w:pPr>
    </w:p>
    <w:tbl>
      <w:tblPr>
        <w:tblLayout w:type="fixed"/>
        <w:tblInd w:w="1260" w:type="dxa"/>
        <w:tblCellMar>
          <w:top w:w="0" w:type="dxa"/>
          <w:left w:w="0" w:type="dxa"/>
          <w:bottom w:w="0" w:type="dxa"/>
          <w:right w:w="0" w:type="dxa"/>
        </w:tblCellMar>
      </w:tblPr>
      <w:tr>
        <w:trPr>
          <w:trHeight w:val="236"/>
        </w:trPr>
        <w:tc>
          <w:tcPr>
            <w:tcW w:w="1600" w:type="dxa"/>
            <w:vAlign w:val="bottom"/>
          </w:tcPr>
          <w:p>
            <w:pPr>
              <w:spacing w:after="0"/>
              <w:rPr>
                <w:sz w:val="20"/>
                <w:szCs w:val="20"/>
                <w:color w:val="auto"/>
              </w:rPr>
            </w:pPr>
            <w:r>
              <w:rPr>
                <w:rFonts w:ascii="Arial" w:cs="Arial" w:eastAsia="Arial" w:hAnsi="Arial"/>
                <w:sz w:val="16"/>
                <w:szCs w:val="16"/>
                <w:b w:val="1"/>
                <w:bCs w:val="1"/>
                <w:color w:val="auto"/>
              </w:rPr>
              <w:t>Total</w:t>
            </w:r>
          </w:p>
        </w:tc>
        <w:tc>
          <w:tcPr>
            <w:tcW w:w="1620" w:type="dxa"/>
            <w:vAlign w:val="bottom"/>
          </w:tcPr>
          <w:p>
            <w:pPr>
              <w:jc w:val="right"/>
              <w:spacing w:after="0"/>
              <w:rPr>
                <w:sz w:val="20"/>
                <w:szCs w:val="20"/>
                <w:color w:val="auto"/>
              </w:rPr>
            </w:pPr>
            <w:r>
              <w:rPr>
                <w:rFonts w:ascii="Arial" w:cs="Arial" w:eastAsia="Arial" w:hAnsi="Arial"/>
                <w:sz w:val="16"/>
                <w:szCs w:val="16"/>
                <w:color w:val="auto"/>
              </w:rPr>
              <w:t>100%</w:t>
            </w:r>
          </w:p>
        </w:tc>
      </w:tr>
    </w:tbl>
    <w:p>
      <w:pPr>
        <w:spacing w:after="0" w:line="155" w:lineRule="exact"/>
        <w:rPr>
          <w:sz w:val="20"/>
          <w:szCs w:val="20"/>
          <w:color w:val="auto"/>
        </w:rPr>
      </w:pPr>
    </w:p>
    <w:tbl>
      <w:tblPr>
        <w:tblLayout w:type="fixed"/>
        <w:tblInd w:w="1260" w:type="dxa"/>
        <w:tblCellMar>
          <w:top w:w="0" w:type="dxa"/>
          <w:left w:w="0" w:type="dxa"/>
          <w:bottom w:w="0" w:type="dxa"/>
          <w:right w:w="0" w:type="dxa"/>
        </w:tblCellMar>
      </w:tblPr>
      <w:tr>
        <w:trPr>
          <w:trHeight w:val="203"/>
        </w:trPr>
        <w:tc>
          <w:tcPr>
            <w:tcW w:w="2200" w:type="dxa"/>
            <w:vAlign w:val="bottom"/>
            <w:vMerge w:val="restart"/>
          </w:tcPr>
          <w:p>
            <w:pPr>
              <w:spacing w:after="0"/>
              <w:rPr>
                <w:sz w:val="20"/>
                <w:szCs w:val="20"/>
                <w:color w:val="auto"/>
              </w:rPr>
            </w:pPr>
            <w:r>
              <w:rPr>
                <w:rFonts w:ascii="Arial" w:cs="Arial" w:eastAsia="Arial" w:hAnsi="Arial"/>
                <w:sz w:val="16"/>
                <w:szCs w:val="16"/>
                <w:b w:val="1"/>
                <w:bCs w:val="1"/>
                <w:color w:val="auto"/>
              </w:rPr>
              <w:t>Sustainability Modifier</w:t>
            </w:r>
          </w:p>
        </w:tc>
        <w:tc>
          <w:tcPr>
            <w:tcW w:w="1020" w:type="dxa"/>
            <w:vAlign w:val="bottom"/>
          </w:tcPr>
          <w:p>
            <w:pPr>
              <w:jc w:val="right"/>
              <w:spacing w:after="0"/>
              <w:rPr>
                <w:sz w:val="20"/>
                <w:szCs w:val="20"/>
                <w:color w:val="auto"/>
              </w:rPr>
            </w:pPr>
            <w:r>
              <w:rPr>
                <w:rFonts w:ascii="Arial" w:cs="Arial" w:eastAsia="Arial" w:hAnsi="Arial"/>
                <w:sz w:val="16"/>
                <w:szCs w:val="16"/>
                <w:color w:val="auto"/>
              </w:rPr>
              <w:t>+/- 10%</w:t>
            </w:r>
          </w:p>
        </w:tc>
        <w:tc>
          <w:tcPr>
            <w:tcW w:w="0" w:type="dxa"/>
            <w:vAlign w:val="bottom"/>
          </w:tcPr>
          <w:p>
            <w:pPr>
              <w:spacing w:after="0"/>
              <w:rPr>
                <w:sz w:val="1"/>
                <w:szCs w:val="1"/>
                <w:color w:val="auto"/>
              </w:rPr>
            </w:pPr>
          </w:p>
        </w:tc>
      </w:tr>
      <w:tr>
        <w:trPr>
          <w:trHeight w:val="101"/>
        </w:trPr>
        <w:tc>
          <w:tcPr>
            <w:tcW w:w="2200" w:type="dxa"/>
            <w:vAlign w:val="bottom"/>
            <w:vMerge w:val="continue"/>
          </w:tcPr>
          <w:p>
            <w:pPr>
              <w:spacing w:after="0"/>
              <w:rPr>
                <w:sz w:val="8"/>
                <w:szCs w:val="8"/>
                <w:color w:val="auto"/>
              </w:rPr>
            </w:pP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modifier</w:t>
            </w:r>
          </w:p>
        </w:tc>
        <w:tc>
          <w:tcPr>
            <w:tcW w:w="0" w:type="dxa"/>
            <w:vAlign w:val="bottom"/>
          </w:tcPr>
          <w:p>
            <w:pPr>
              <w:spacing w:after="0"/>
              <w:rPr>
                <w:sz w:val="1"/>
                <w:szCs w:val="1"/>
                <w:color w:val="auto"/>
              </w:rPr>
            </w:pPr>
          </w:p>
        </w:tc>
      </w:tr>
      <w:tr>
        <w:trPr>
          <w:trHeight w:val="114"/>
        </w:trPr>
        <w:tc>
          <w:tcPr>
            <w:tcW w:w="2200" w:type="dxa"/>
            <w:vAlign w:val="bottom"/>
          </w:tcPr>
          <w:p>
            <w:pPr>
              <w:spacing w:after="0"/>
              <w:rPr>
                <w:sz w:val="9"/>
                <w:szCs w:val="9"/>
                <w:color w:val="auto"/>
              </w:rPr>
            </w:pPr>
          </w:p>
        </w:tc>
        <w:tc>
          <w:tcPr>
            <w:tcW w:w="10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793750</wp:posOffset>
            </wp:positionH>
            <wp:positionV relativeFrom="paragraph">
              <wp:posOffset>113030</wp:posOffset>
            </wp:positionV>
            <wp:extent cx="555498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555498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5"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115.6%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127.5%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121.4%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111.1%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6"/>
          <w:szCs w:val="16"/>
          <w:color w:val="auto"/>
        </w:rPr>
        <w:t>No modifier</w:t>
      </w:r>
    </w:p>
    <w:p>
      <w:pPr>
        <w:spacing w:after="0" w:line="31" w:lineRule="exact"/>
        <w:rPr>
          <w:sz w:val="20"/>
          <w:szCs w:val="20"/>
          <w:color w:val="auto"/>
        </w:rPr>
      </w:pPr>
    </w:p>
    <w:p>
      <w:pPr>
        <w:ind w:left="300"/>
        <w:spacing w:after="0"/>
        <w:rPr>
          <w:sz w:val="20"/>
          <w:szCs w:val="20"/>
          <w:color w:val="auto"/>
        </w:rPr>
      </w:pPr>
      <w:r>
        <w:rPr>
          <w:rFonts w:ascii="Arial" w:cs="Arial" w:eastAsia="Arial" w:hAnsi="Arial"/>
          <w:sz w:val="16"/>
          <w:szCs w:val="16"/>
          <w:color w:val="auto"/>
        </w:rPr>
        <w:t>applied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5" w:lineRule="exact"/>
        <w:rPr>
          <w:sz w:val="20"/>
          <w:szCs w:val="20"/>
          <w:color w:val="auto"/>
        </w:rPr>
      </w:pPr>
    </w:p>
    <w:p>
      <w:pPr>
        <w:jc w:val="right"/>
        <w:ind w:right="1260"/>
        <w:spacing w:after="0"/>
        <w:rPr>
          <w:sz w:val="20"/>
          <w:szCs w:val="20"/>
          <w:color w:val="auto"/>
        </w:rPr>
      </w:pPr>
      <w:r>
        <w:rPr>
          <w:rFonts w:ascii="Arial" w:cs="Arial" w:eastAsia="Arial" w:hAnsi="Arial"/>
          <w:sz w:val="16"/>
          <w:szCs w:val="16"/>
          <w:b w:val="1"/>
          <w:bCs w:val="1"/>
          <w:color w:val="auto"/>
        </w:rPr>
        <w:t>46.3%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right"/>
        <w:ind w:right="1260"/>
        <w:spacing w:after="0"/>
        <w:rPr>
          <w:sz w:val="20"/>
          <w:szCs w:val="20"/>
          <w:color w:val="auto"/>
        </w:rPr>
      </w:pPr>
      <w:r>
        <w:rPr>
          <w:rFonts w:ascii="Arial" w:cs="Arial" w:eastAsia="Arial" w:hAnsi="Arial"/>
          <w:sz w:val="16"/>
          <w:szCs w:val="16"/>
          <w:b w:val="1"/>
          <w:bCs w:val="1"/>
          <w:color w:val="auto"/>
        </w:rPr>
        <w:t>25.5%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right"/>
        <w:ind w:right="1260"/>
        <w:spacing w:after="0"/>
        <w:rPr>
          <w:sz w:val="20"/>
          <w:szCs w:val="20"/>
          <w:color w:val="auto"/>
        </w:rPr>
      </w:pPr>
      <w:r>
        <w:rPr>
          <w:rFonts w:ascii="Arial" w:cs="Arial" w:eastAsia="Arial" w:hAnsi="Arial"/>
          <w:sz w:val="16"/>
          <w:szCs w:val="16"/>
          <w:b w:val="1"/>
          <w:bCs w:val="1"/>
          <w:color w:val="auto"/>
        </w:rPr>
        <w:t>24.3%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right"/>
        <w:ind w:right="1260"/>
        <w:spacing w:after="0"/>
        <w:rPr>
          <w:sz w:val="20"/>
          <w:szCs w:val="20"/>
          <w:color w:val="auto"/>
        </w:rPr>
      </w:pPr>
      <w:r>
        <w:rPr>
          <w:rFonts w:ascii="Arial" w:cs="Arial" w:eastAsia="Arial" w:hAnsi="Arial"/>
          <w:sz w:val="16"/>
          <w:szCs w:val="16"/>
          <w:b w:val="1"/>
          <w:bCs w:val="1"/>
          <w:color w:val="auto"/>
        </w:rPr>
        <w:t>22.2%</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118.3%</w:t>
      </w:r>
    </w:p>
    <w:p>
      <w:pPr>
        <w:spacing w:after="0" w:line="273" w:lineRule="exact"/>
        <w:rPr>
          <w:sz w:val="20"/>
          <w:szCs w:val="20"/>
          <w:color w:val="auto"/>
        </w:rPr>
      </w:pPr>
    </w:p>
    <w:p>
      <w:pPr>
        <w:jc w:val="right"/>
        <w:ind w:right="1260"/>
        <w:spacing w:after="0"/>
        <w:rPr>
          <w:sz w:val="20"/>
          <w:szCs w:val="20"/>
          <w:color w:val="auto"/>
        </w:rPr>
      </w:pPr>
      <w:r>
        <w:rPr>
          <w:rFonts w:ascii="Arial" w:cs="Arial" w:eastAsia="Arial" w:hAnsi="Arial"/>
          <w:sz w:val="16"/>
          <w:szCs w:val="16"/>
          <w:b w:val="1"/>
          <w:bCs w:val="1"/>
          <w:color w:val="auto"/>
        </w:rPr>
        <w:t>100%</w:t>
      </w:r>
    </w:p>
    <w:p>
      <w:pPr>
        <w:spacing w:after="0" w:line="365" w:lineRule="exact"/>
        <w:rPr>
          <w:sz w:val="20"/>
          <w:szCs w:val="20"/>
          <w:color w:val="auto"/>
        </w:rPr>
      </w:pPr>
    </w:p>
    <w:p>
      <w:pPr>
        <w:sectPr>
          <w:pgSz w:w="11900" w:h="16838" w:orient="portrait"/>
          <w:cols w:equalWidth="0" w:num="3">
            <w:col w:w="7400" w:space="720"/>
            <w:col w:w="820" w:space="500"/>
            <w:col w:w="1800"/>
          </w:cols>
          <w:pgMar w:left="320" w:top="179"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10780" w:type="dxa"/>
            <w:vAlign w:val="bottom"/>
          </w:tcPr>
          <w:p>
            <w:pPr>
              <w:ind w:left="8260"/>
              <w:spacing w:after="0"/>
              <w:rPr>
                <w:sz w:val="20"/>
                <w:szCs w:val="20"/>
                <w:color w:val="auto"/>
              </w:rPr>
            </w:pPr>
            <w:r>
              <w:rPr>
                <w:rFonts w:ascii="Arial" w:cs="Arial" w:eastAsia="Arial" w:hAnsi="Arial"/>
                <w:sz w:val="16"/>
                <w:szCs w:val="16"/>
                <w:b w:val="1"/>
                <w:bCs w:val="1"/>
                <w:color w:val="auto"/>
              </w:rPr>
              <w:t xml:space="preserve">2026 Proxy Statement </w:t>
            </w:r>
            <w:r>
              <w:rPr>
                <w:rFonts w:ascii="Arial" w:cs="Arial" w:eastAsia="Arial" w:hAnsi="Arial"/>
                <w:sz w:val="16"/>
                <w:szCs w:val="16"/>
                <w:b w:val="1"/>
                <w:bCs w:val="1"/>
                <w:color w:val="0C3471"/>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Pentair</w:t>
            </w:r>
          </w:p>
        </w:tc>
        <w:tc>
          <w:tcPr>
            <w:tcW w:w="460" w:type="dxa"/>
            <w:vAlign w:val="bottom"/>
          </w:tcPr>
          <w:p>
            <w:pPr>
              <w:jc w:val="right"/>
              <w:spacing w:after="0"/>
              <w:rPr>
                <w:sz w:val="20"/>
                <w:szCs w:val="20"/>
                <w:color w:val="auto"/>
              </w:rPr>
            </w:pPr>
            <w:r>
              <w:rPr>
                <w:rFonts w:ascii="Arial" w:cs="Arial" w:eastAsia="Arial" w:hAnsi="Arial"/>
                <w:sz w:val="16"/>
                <w:szCs w:val="16"/>
                <w:b w:val="1"/>
                <w:bCs w:val="1"/>
                <w:color w:val="auto"/>
              </w:rPr>
              <w:t>45</w:t>
            </w:r>
          </w:p>
        </w:tc>
      </w:tr>
      <w:tr>
        <w:trPr>
          <w:trHeight w:val="325"/>
        </w:trPr>
        <w:tc>
          <w:tcPr>
            <w:tcW w:w="107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type w:val="continuous"/>
        </w:sectPr>
      </w:pPr>
    </w:p>
    <w:bookmarkStart w:id="47" w:name="page48"/>
    <w:bookmarkEnd w:id="47"/>
    <w:p>
      <w:pPr>
        <w:ind w:left="36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216535</wp:posOffset>
            </wp:positionH>
            <wp:positionV relativeFrom="page">
              <wp:posOffset>106045</wp:posOffset>
            </wp:positionV>
            <wp:extent cx="102870" cy="11176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clrChange>
                        <a:clrFrom>
                          <a:srgbClr val="FFFFFF"/>
                        </a:clrFrom>
                        <a:clrTo>
                          <a:srgbClr val="FFFFFF">
                            <a:alpha val="0"/>
                          </a:srgbClr>
                        </a:clrTo>
                      </a:clrChange>
                      <a:extLst>
                        <a:ext uri="{28A0092B-C50C-407E-A947-70E740481C1C}"/>
                      </a:extLst>
                    </a:blip>
                    <a:srcRect/>
                    <a:stretch>
                      <a:fillRect/>
                    </a:stretch>
                  </pic:blipFill>
                  <pic:spPr bwMode="auto">
                    <a:xfrm>
                      <a:off x="0" y="0"/>
                      <a:ext cx="102870" cy="111760"/>
                    </a:xfrm>
                    <a:prstGeom prst="rect">
                      <a:avLst/>
                    </a:prstGeom>
                    <a:noFill/>
                  </pic:spPr>
                </pic:pic>
              </a:graphicData>
            </a:graphic>
          </wp:anchor>
        </w:drawing>
        <w:t>Compensation Discussion and Analysis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Flow Segment </w:t>
      </w:r>
      <w:r>
        <w:rPr>
          <w:rFonts w:ascii="Arial" w:cs="Arial" w:eastAsia="Arial" w:hAnsi="Arial"/>
          <w:sz w:val="17"/>
          <w:szCs w:val="17"/>
          <w:b w:val="1"/>
          <w:bCs w:val="1"/>
          <w:color w:val="auto"/>
        </w:rPr>
        <w:t>(Wiggins)</w:t>
      </w:r>
    </w:p>
    <w:p>
      <w:pPr>
        <w:spacing w:after="0" w:line="167" w:lineRule="exact"/>
        <w:rPr>
          <w:sz w:val="20"/>
          <w:szCs w:val="20"/>
          <w:color w:val="auto"/>
        </w:rPr>
      </w:pPr>
    </w:p>
    <w:tbl>
      <w:tblPr>
        <w:tblLayout w:type="fixed"/>
        <w:tblInd w:w="1240" w:type="dxa"/>
        <w:tblCellMar>
          <w:top w:w="0" w:type="dxa"/>
          <w:left w:w="0" w:type="dxa"/>
          <w:bottom w:w="0" w:type="dxa"/>
          <w:right w:w="0" w:type="dxa"/>
        </w:tblCellMar>
      </w:tblPr>
      <w:tr>
        <w:trPr>
          <w:trHeight w:val="207"/>
        </w:trPr>
        <w:tc>
          <w:tcPr>
            <w:tcW w:w="24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60" w:type="dxa"/>
            <w:vAlign w:val="bottom"/>
          </w:tcPr>
          <w:p>
            <w:pPr>
              <w:jc w:val="center"/>
              <w:ind w:left="8"/>
              <w:spacing w:after="0"/>
              <w:rPr>
                <w:sz w:val="20"/>
                <w:szCs w:val="20"/>
                <w:color w:val="auto"/>
              </w:rPr>
            </w:pPr>
            <w:r>
              <w:rPr>
                <w:rFonts w:ascii="Arial" w:cs="Arial" w:eastAsia="Arial" w:hAnsi="Arial"/>
                <w:sz w:val="14"/>
                <w:szCs w:val="14"/>
                <w:b w:val="1"/>
                <w:bCs w:val="1"/>
                <w:color w:val="auto"/>
                <w:w w:val="97"/>
              </w:rPr>
              <w:t>Threshold</w:t>
            </w:r>
            <w:r>
              <w:rPr>
                <w:rFonts w:ascii="Arial" w:cs="Arial" w:eastAsia="Arial" w:hAnsi="Arial"/>
                <w:sz w:val="18"/>
                <w:szCs w:val="18"/>
                <w:b w:val="1"/>
                <w:bCs w:val="1"/>
                <w:color w:val="auto"/>
                <w:w w:val="97"/>
                <w:vertAlign w:val="superscript"/>
              </w:rPr>
              <w:t>(1)</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8"/>
              </w:rPr>
              <w:t>Target</w:t>
            </w:r>
          </w:p>
        </w:tc>
        <w:tc>
          <w:tcPr>
            <w:tcW w:w="1260" w:type="dxa"/>
            <w:vAlign w:val="bottom"/>
          </w:tcPr>
          <w:p>
            <w:pPr>
              <w:jc w:val="center"/>
              <w:ind w:right="68"/>
              <w:spacing w:after="0"/>
              <w:rPr>
                <w:sz w:val="20"/>
                <w:szCs w:val="20"/>
                <w:color w:val="auto"/>
              </w:rPr>
            </w:pPr>
            <w:r>
              <w:rPr>
                <w:rFonts w:ascii="Arial" w:cs="Arial" w:eastAsia="Arial" w:hAnsi="Arial"/>
                <w:sz w:val="14"/>
                <w:szCs w:val="14"/>
                <w:b w:val="1"/>
                <w:bCs w:val="1"/>
                <w:color w:val="auto"/>
              </w:rPr>
              <w:t>Maximum</w:t>
            </w:r>
          </w:p>
        </w:tc>
        <w:tc>
          <w:tcPr>
            <w:tcW w:w="1060" w:type="dxa"/>
            <w:vAlign w:val="bottom"/>
          </w:tcPr>
          <w:p>
            <w:pPr>
              <w:spacing w:after="0"/>
              <w:rPr>
                <w:sz w:val="17"/>
                <w:szCs w:val="17"/>
                <w:color w:val="auto"/>
              </w:rPr>
            </w:pPr>
          </w:p>
        </w:tc>
        <w:tc>
          <w:tcPr>
            <w:tcW w:w="860" w:type="dxa"/>
            <w:vAlign w:val="bottom"/>
          </w:tcPr>
          <w:p>
            <w:pPr>
              <w:ind w:left="200"/>
              <w:spacing w:after="0"/>
              <w:rPr>
                <w:sz w:val="20"/>
                <w:szCs w:val="20"/>
                <w:color w:val="auto"/>
              </w:rPr>
            </w:pPr>
            <w:r>
              <w:rPr>
                <w:rFonts w:ascii="Arial" w:cs="Arial" w:eastAsia="Arial" w:hAnsi="Arial"/>
                <w:sz w:val="14"/>
                <w:szCs w:val="14"/>
                <w:b w:val="1"/>
                <w:bCs w:val="1"/>
                <w:color w:val="auto"/>
              </w:rPr>
              <w:t>Weighted</w:t>
            </w:r>
          </w:p>
        </w:tc>
      </w:tr>
      <w:tr>
        <w:trPr>
          <w:trHeight w:val="205"/>
        </w:trPr>
        <w:tc>
          <w:tcPr>
            <w:tcW w:w="2400" w:type="dxa"/>
            <w:vAlign w:val="bottom"/>
            <w:tcBorders>
              <w:bottom w:val="single" w:sz="8" w:color="0C3471"/>
            </w:tcBorders>
          </w:tcPr>
          <w:p>
            <w:pPr>
              <w:ind w:left="20"/>
              <w:spacing w:after="0"/>
              <w:rPr>
                <w:sz w:val="20"/>
                <w:szCs w:val="20"/>
                <w:color w:val="auto"/>
              </w:rPr>
            </w:pPr>
            <w:r>
              <w:rPr>
                <w:rFonts w:ascii="Arial" w:cs="Arial" w:eastAsia="Arial" w:hAnsi="Arial"/>
                <w:sz w:val="14"/>
                <w:szCs w:val="14"/>
                <w:b w:val="1"/>
                <w:bCs w:val="1"/>
                <w:color w:val="auto"/>
              </w:rPr>
              <w:t>Financial Performance Measure</w:t>
            </w:r>
          </w:p>
        </w:tc>
        <w:tc>
          <w:tcPr>
            <w:tcW w:w="860" w:type="dxa"/>
            <w:vAlign w:val="bottom"/>
            <w:tcBorders>
              <w:bottom w:val="single" w:sz="8" w:color="0C3471"/>
            </w:tcBorders>
          </w:tcPr>
          <w:p>
            <w:pPr>
              <w:ind w:left="200"/>
              <w:spacing w:after="0"/>
              <w:rPr>
                <w:sz w:val="20"/>
                <w:szCs w:val="20"/>
                <w:color w:val="auto"/>
              </w:rPr>
            </w:pPr>
            <w:r>
              <w:rPr>
                <w:rFonts w:ascii="Arial" w:cs="Arial" w:eastAsia="Arial" w:hAnsi="Arial"/>
                <w:sz w:val="14"/>
                <w:szCs w:val="14"/>
                <w:b w:val="1"/>
                <w:bCs w:val="1"/>
                <w:color w:val="auto"/>
              </w:rPr>
              <w:t>Weight</w:t>
            </w:r>
          </w:p>
        </w:tc>
        <w:tc>
          <w:tcPr>
            <w:tcW w:w="1160" w:type="dxa"/>
            <w:vAlign w:val="bottom"/>
            <w:tcBorders>
              <w:bottom w:val="single" w:sz="8" w:color="0C3471"/>
            </w:tcBorders>
          </w:tcPr>
          <w:p>
            <w:pPr>
              <w:jc w:val="center"/>
              <w:ind w:left="8"/>
              <w:spacing w:after="0"/>
              <w:rPr>
                <w:sz w:val="20"/>
                <w:szCs w:val="20"/>
                <w:color w:val="auto"/>
              </w:rPr>
            </w:pPr>
            <w:r>
              <w:rPr>
                <w:rFonts w:ascii="Arial" w:cs="Arial" w:eastAsia="Arial" w:hAnsi="Arial"/>
                <w:sz w:val="14"/>
                <w:szCs w:val="14"/>
                <w:b w:val="1"/>
                <w:bCs w:val="1"/>
                <w:color w:val="auto"/>
              </w:rPr>
              <w:t>(50% payout)</w:t>
            </w:r>
          </w:p>
        </w:tc>
        <w:tc>
          <w:tcPr>
            <w:tcW w:w="1160" w:type="dxa"/>
            <w:vAlign w:val="bottom"/>
            <w:tcBorders>
              <w:bottom w:val="single" w:sz="8" w:color="0C3471"/>
            </w:tcBorders>
          </w:tcPr>
          <w:p>
            <w:pPr>
              <w:jc w:val="center"/>
              <w:spacing w:after="0"/>
              <w:rPr>
                <w:sz w:val="20"/>
                <w:szCs w:val="20"/>
                <w:color w:val="auto"/>
              </w:rPr>
            </w:pPr>
            <w:r>
              <w:rPr>
                <w:rFonts w:ascii="Arial" w:cs="Arial" w:eastAsia="Arial" w:hAnsi="Arial"/>
                <w:sz w:val="14"/>
                <w:szCs w:val="14"/>
                <w:b w:val="1"/>
                <w:bCs w:val="1"/>
                <w:color w:val="auto"/>
              </w:rPr>
              <w:t>(100% payout)</w:t>
            </w:r>
          </w:p>
        </w:tc>
        <w:tc>
          <w:tcPr>
            <w:tcW w:w="1260" w:type="dxa"/>
            <w:vAlign w:val="bottom"/>
            <w:tcBorders>
              <w:bottom w:val="single" w:sz="8" w:color="0C3471"/>
            </w:tcBorders>
          </w:tcPr>
          <w:p>
            <w:pPr>
              <w:jc w:val="center"/>
              <w:ind w:right="68"/>
              <w:spacing w:after="0"/>
              <w:rPr>
                <w:sz w:val="20"/>
                <w:szCs w:val="20"/>
                <w:color w:val="auto"/>
              </w:rPr>
            </w:pPr>
            <w:r>
              <w:rPr>
                <w:rFonts w:ascii="Arial" w:cs="Arial" w:eastAsia="Arial" w:hAnsi="Arial"/>
                <w:sz w:val="14"/>
                <w:szCs w:val="14"/>
                <w:b w:val="1"/>
                <w:bCs w:val="1"/>
                <w:color w:val="auto"/>
              </w:rPr>
              <w:t>(200% payout)</w:t>
            </w:r>
          </w:p>
        </w:tc>
        <w:tc>
          <w:tcPr>
            <w:tcW w:w="1060" w:type="dxa"/>
            <w:vAlign w:val="bottom"/>
            <w:tcBorders>
              <w:bottom w:val="single" w:sz="8" w:color="0C3471"/>
            </w:tcBorders>
          </w:tcPr>
          <w:p>
            <w:pPr>
              <w:ind w:left="220"/>
              <w:spacing w:after="0"/>
              <w:rPr>
                <w:sz w:val="20"/>
                <w:szCs w:val="20"/>
                <w:color w:val="auto"/>
              </w:rPr>
            </w:pPr>
            <w:r>
              <w:rPr>
                <w:rFonts w:ascii="Arial" w:cs="Arial" w:eastAsia="Arial" w:hAnsi="Arial"/>
                <w:sz w:val="14"/>
                <w:szCs w:val="14"/>
                <w:b w:val="1"/>
                <w:bCs w:val="1"/>
                <w:color w:val="auto"/>
              </w:rPr>
              <w:t>Payout %</w:t>
            </w:r>
          </w:p>
        </w:tc>
        <w:tc>
          <w:tcPr>
            <w:tcW w:w="860" w:type="dxa"/>
            <w:vAlign w:val="bottom"/>
            <w:tcBorders>
              <w:bottom w:val="single" w:sz="8" w:color="0C3471"/>
            </w:tcBorders>
          </w:tcPr>
          <w:p>
            <w:pPr>
              <w:ind w:left="200"/>
              <w:spacing w:after="0"/>
              <w:rPr>
                <w:sz w:val="20"/>
                <w:szCs w:val="20"/>
                <w:color w:val="auto"/>
              </w:rPr>
            </w:pPr>
            <w:r>
              <w:rPr>
                <w:rFonts w:ascii="Arial" w:cs="Arial" w:eastAsia="Arial" w:hAnsi="Arial"/>
                <w:sz w:val="14"/>
                <w:szCs w:val="14"/>
                <w:b w:val="1"/>
                <w:bCs w:val="1"/>
                <w:color w:val="auto"/>
              </w:rPr>
              <w:t>Payout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2345055</wp:posOffset>
            </wp:positionH>
            <wp:positionV relativeFrom="paragraph">
              <wp:posOffset>68580</wp:posOffset>
            </wp:positionV>
            <wp:extent cx="2606040" cy="51435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2606040" cy="514350"/>
                    </a:xfrm>
                    <a:prstGeom prst="rect">
                      <a:avLst/>
                    </a:prstGeom>
                    <a:noFill/>
                  </pic:spPr>
                </pic:pic>
              </a:graphicData>
            </a:graphic>
          </wp:anchor>
        </w:drawing>
      </w:r>
    </w:p>
    <w:p>
      <w:pPr>
        <w:sectPr>
          <w:pgSz w:w="11900" w:h="16838" w:orient="portrait"/>
          <w:cols w:equalWidth="0" w:num="1">
            <w:col w:w="10139"/>
          </w:cols>
          <w:pgMar w:left="320" w:top="179" w:right="1440" w:bottom="1440" w:gutter="0" w:footer="0" w:header="0"/>
        </w:sectPr>
      </w:pPr>
    </w:p>
    <w:p>
      <w:pPr>
        <w:spacing w:after="0" w:line="200" w:lineRule="exact"/>
        <w:rPr>
          <w:sz w:val="20"/>
          <w:szCs w:val="20"/>
          <w:color w:val="auto"/>
        </w:rPr>
      </w:pPr>
    </w:p>
    <w:p>
      <w:pPr>
        <w:spacing w:after="0" w:line="245" w:lineRule="exact"/>
        <w:rPr>
          <w:sz w:val="20"/>
          <w:szCs w:val="20"/>
          <w:color w:val="auto"/>
        </w:rPr>
      </w:pPr>
    </w:p>
    <w:p>
      <w:pPr>
        <w:jc w:val="center"/>
        <w:ind w:right="3820"/>
        <w:spacing w:after="0"/>
        <w:rPr>
          <w:sz w:val="20"/>
          <w:szCs w:val="20"/>
          <w:color w:val="auto"/>
        </w:rPr>
      </w:pPr>
      <w:r>
        <w:rPr>
          <w:rFonts w:ascii="Arial" w:cs="Arial" w:eastAsia="Arial" w:hAnsi="Arial"/>
          <w:sz w:val="15"/>
          <w:szCs w:val="15"/>
          <w:color w:val="auto"/>
        </w:rPr>
        <w:t>Flow Income</w:t>
      </w:r>
      <w:r>
        <w:rPr>
          <w:rFonts w:ascii="Arial" w:cs="Arial" w:eastAsia="Arial" w:hAnsi="Arial"/>
          <w:sz w:val="20"/>
          <w:szCs w:val="20"/>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2345055</wp:posOffset>
            </wp:positionH>
            <wp:positionV relativeFrom="paragraph">
              <wp:posOffset>420370</wp:posOffset>
            </wp:positionV>
            <wp:extent cx="2597150" cy="51435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2597150"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3700"/>
        <w:spacing w:after="0"/>
        <w:rPr>
          <w:sz w:val="20"/>
          <w:szCs w:val="20"/>
          <w:color w:val="auto"/>
        </w:rPr>
      </w:pPr>
      <w:r>
        <w:rPr>
          <w:rFonts w:ascii="Arial" w:cs="Arial" w:eastAsia="Arial" w:hAnsi="Arial"/>
          <w:sz w:val="15"/>
          <w:szCs w:val="15"/>
          <w:color w:val="auto"/>
        </w:rPr>
        <w:t>Flow Revenue</w:t>
      </w:r>
      <w:r>
        <w:rPr>
          <w:rFonts w:ascii="Arial" w:cs="Arial" w:eastAsia="Arial" w:hAnsi="Arial"/>
          <w:sz w:val="20"/>
          <w:szCs w:val="20"/>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2336800</wp:posOffset>
            </wp:positionH>
            <wp:positionV relativeFrom="paragraph">
              <wp:posOffset>420370</wp:posOffset>
            </wp:positionV>
            <wp:extent cx="2614295" cy="51435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2614295"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Pentair Free Cash Flow</w:t>
      </w:r>
      <w:r>
        <w:rPr>
          <w:rFonts w:ascii="Arial" w:cs="Arial" w:eastAsia="Arial" w:hAnsi="Arial"/>
          <w:sz w:val="21"/>
          <w:szCs w:val="21"/>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2336800</wp:posOffset>
            </wp:positionH>
            <wp:positionV relativeFrom="paragraph">
              <wp:posOffset>412750</wp:posOffset>
            </wp:positionV>
            <wp:extent cx="2614295" cy="51435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2614295"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Pentair Adjusted</w:t>
      </w:r>
    </w:p>
    <w:p>
      <w:pPr>
        <w:spacing w:after="0" w:line="18"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Operating Income</w:t>
      </w:r>
      <w:r>
        <w:rPr>
          <w:rFonts w:ascii="Arial" w:cs="Arial" w:eastAsia="Arial" w:hAnsi="Arial"/>
          <w:sz w:val="21"/>
          <w:szCs w:val="21"/>
          <w:color w:val="auto"/>
          <w:vertAlign w:val="superscript"/>
        </w:rPr>
        <w:t>(2)</w:t>
      </w:r>
    </w:p>
    <w:p>
      <w:pPr>
        <w:spacing w:after="0" w:line="200" w:lineRule="exact"/>
        <w:rPr>
          <w:sz w:val="20"/>
          <w:szCs w:val="20"/>
          <w:color w:val="auto"/>
        </w:rPr>
      </w:pPr>
    </w:p>
    <w:p>
      <w:pPr>
        <w:spacing w:after="0" w:line="220" w:lineRule="exact"/>
        <w:rPr>
          <w:sz w:val="20"/>
          <w:szCs w:val="20"/>
          <w:color w:val="auto"/>
        </w:rPr>
      </w:pPr>
    </w:p>
    <w:tbl>
      <w:tblPr>
        <w:tblLayout w:type="fixed"/>
        <w:tblInd w:w="1260" w:type="dxa"/>
        <w:tblCellMar>
          <w:top w:w="0" w:type="dxa"/>
          <w:left w:w="0" w:type="dxa"/>
          <w:bottom w:w="0" w:type="dxa"/>
          <w:right w:w="0" w:type="dxa"/>
        </w:tblCellMar>
      </w:tblPr>
      <w:tr>
        <w:trPr>
          <w:trHeight w:val="236"/>
        </w:trPr>
        <w:tc>
          <w:tcPr>
            <w:tcW w:w="1600" w:type="dxa"/>
            <w:vAlign w:val="bottom"/>
          </w:tcPr>
          <w:p>
            <w:pPr>
              <w:spacing w:after="0"/>
              <w:rPr>
                <w:sz w:val="20"/>
                <w:szCs w:val="20"/>
                <w:color w:val="auto"/>
              </w:rPr>
            </w:pPr>
            <w:r>
              <w:rPr>
                <w:rFonts w:ascii="Arial" w:cs="Arial" w:eastAsia="Arial" w:hAnsi="Arial"/>
                <w:sz w:val="16"/>
                <w:szCs w:val="16"/>
                <w:b w:val="1"/>
                <w:bCs w:val="1"/>
                <w:color w:val="auto"/>
              </w:rPr>
              <w:t>Total</w:t>
            </w:r>
          </w:p>
        </w:tc>
        <w:tc>
          <w:tcPr>
            <w:tcW w:w="1620" w:type="dxa"/>
            <w:vAlign w:val="bottom"/>
          </w:tcPr>
          <w:p>
            <w:pPr>
              <w:jc w:val="right"/>
              <w:spacing w:after="0"/>
              <w:rPr>
                <w:sz w:val="20"/>
                <w:szCs w:val="20"/>
                <w:color w:val="auto"/>
              </w:rPr>
            </w:pPr>
            <w:r>
              <w:rPr>
                <w:rFonts w:ascii="Arial" w:cs="Arial" w:eastAsia="Arial" w:hAnsi="Arial"/>
                <w:sz w:val="16"/>
                <w:szCs w:val="16"/>
                <w:color w:val="auto"/>
              </w:rPr>
              <w:t>100%</w:t>
            </w:r>
          </w:p>
        </w:tc>
      </w:tr>
    </w:tbl>
    <w:p>
      <w:pPr>
        <w:spacing w:after="0" w:line="155" w:lineRule="exact"/>
        <w:rPr>
          <w:sz w:val="20"/>
          <w:szCs w:val="20"/>
          <w:color w:val="auto"/>
        </w:rPr>
      </w:pPr>
    </w:p>
    <w:tbl>
      <w:tblPr>
        <w:tblLayout w:type="fixed"/>
        <w:tblInd w:w="1260" w:type="dxa"/>
        <w:tblCellMar>
          <w:top w:w="0" w:type="dxa"/>
          <w:left w:w="0" w:type="dxa"/>
          <w:bottom w:w="0" w:type="dxa"/>
          <w:right w:w="0" w:type="dxa"/>
        </w:tblCellMar>
      </w:tblPr>
      <w:tr>
        <w:trPr>
          <w:trHeight w:val="203"/>
        </w:trPr>
        <w:tc>
          <w:tcPr>
            <w:tcW w:w="2200" w:type="dxa"/>
            <w:vAlign w:val="bottom"/>
            <w:vMerge w:val="restart"/>
          </w:tcPr>
          <w:p>
            <w:pPr>
              <w:spacing w:after="0"/>
              <w:rPr>
                <w:sz w:val="20"/>
                <w:szCs w:val="20"/>
                <w:color w:val="auto"/>
              </w:rPr>
            </w:pPr>
            <w:r>
              <w:rPr>
                <w:rFonts w:ascii="Arial" w:cs="Arial" w:eastAsia="Arial" w:hAnsi="Arial"/>
                <w:sz w:val="16"/>
                <w:szCs w:val="16"/>
                <w:b w:val="1"/>
                <w:bCs w:val="1"/>
                <w:color w:val="auto"/>
              </w:rPr>
              <w:t>Sustainability Modifier</w:t>
            </w:r>
          </w:p>
        </w:tc>
        <w:tc>
          <w:tcPr>
            <w:tcW w:w="1020" w:type="dxa"/>
            <w:vAlign w:val="bottom"/>
          </w:tcPr>
          <w:p>
            <w:pPr>
              <w:jc w:val="right"/>
              <w:spacing w:after="0"/>
              <w:rPr>
                <w:sz w:val="20"/>
                <w:szCs w:val="20"/>
                <w:color w:val="auto"/>
              </w:rPr>
            </w:pPr>
            <w:r>
              <w:rPr>
                <w:rFonts w:ascii="Arial" w:cs="Arial" w:eastAsia="Arial" w:hAnsi="Arial"/>
                <w:sz w:val="16"/>
                <w:szCs w:val="16"/>
                <w:color w:val="auto"/>
              </w:rPr>
              <w:t>+/- 10%</w:t>
            </w:r>
          </w:p>
        </w:tc>
        <w:tc>
          <w:tcPr>
            <w:tcW w:w="0" w:type="dxa"/>
            <w:vAlign w:val="bottom"/>
          </w:tcPr>
          <w:p>
            <w:pPr>
              <w:spacing w:after="0"/>
              <w:rPr>
                <w:sz w:val="1"/>
                <w:szCs w:val="1"/>
                <w:color w:val="auto"/>
              </w:rPr>
            </w:pPr>
          </w:p>
        </w:tc>
      </w:tr>
      <w:tr>
        <w:trPr>
          <w:trHeight w:val="101"/>
        </w:trPr>
        <w:tc>
          <w:tcPr>
            <w:tcW w:w="2200" w:type="dxa"/>
            <w:vAlign w:val="bottom"/>
            <w:vMerge w:val="continue"/>
          </w:tcPr>
          <w:p>
            <w:pPr>
              <w:spacing w:after="0"/>
              <w:rPr>
                <w:sz w:val="8"/>
                <w:szCs w:val="8"/>
                <w:color w:val="auto"/>
              </w:rPr>
            </w:pP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modifier</w:t>
            </w:r>
          </w:p>
        </w:tc>
        <w:tc>
          <w:tcPr>
            <w:tcW w:w="0" w:type="dxa"/>
            <w:vAlign w:val="bottom"/>
          </w:tcPr>
          <w:p>
            <w:pPr>
              <w:spacing w:after="0"/>
              <w:rPr>
                <w:sz w:val="1"/>
                <w:szCs w:val="1"/>
                <w:color w:val="auto"/>
              </w:rPr>
            </w:pPr>
          </w:p>
        </w:tc>
      </w:tr>
      <w:tr>
        <w:trPr>
          <w:trHeight w:val="113"/>
        </w:trPr>
        <w:tc>
          <w:tcPr>
            <w:tcW w:w="2200" w:type="dxa"/>
            <w:vAlign w:val="bottom"/>
          </w:tcPr>
          <w:p>
            <w:pPr>
              <w:spacing w:after="0"/>
              <w:rPr>
                <w:sz w:val="9"/>
                <w:szCs w:val="9"/>
                <w:color w:val="auto"/>
              </w:rPr>
            </w:pPr>
          </w:p>
        </w:tc>
        <w:tc>
          <w:tcPr>
            <w:tcW w:w="10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793750</wp:posOffset>
            </wp:positionH>
            <wp:positionV relativeFrom="paragraph">
              <wp:posOffset>113030</wp:posOffset>
            </wp:positionV>
            <wp:extent cx="555498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555498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5"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159.1%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121.5%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121.4%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111.1%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6"/>
          <w:szCs w:val="16"/>
          <w:color w:val="auto"/>
        </w:rPr>
        <w:t>No modifier</w:t>
      </w:r>
    </w:p>
    <w:p>
      <w:pPr>
        <w:spacing w:after="0" w:line="31" w:lineRule="exact"/>
        <w:rPr>
          <w:sz w:val="20"/>
          <w:szCs w:val="20"/>
          <w:color w:val="auto"/>
        </w:rPr>
      </w:pPr>
    </w:p>
    <w:p>
      <w:pPr>
        <w:ind w:left="300"/>
        <w:spacing w:after="0"/>
        <w:rPr>
          <w:sz w:val="20"/>
          <w:szCs w:val="20"/>
          <w:color w:val="auto"/>
        </w:rPr>
      </w:pPr>
      <w:r>
        <w:rPr>
          <w:rFonts w:ascii="Arial" w:cs="Arial" w:eastAsia="Arial" w:hAnsi="Arial"/>
          <w:sz w:val="16"/>
          <w:szCs w:val="16"/>
          <w:color w:val="auto"/>
        </w:rPr>
        <w:t>applied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5" w:lineRule="exact"/>
        <w:rPr>
          <w:sz w:val="20"/>
          <w:szCs w:val="20"/>
          <w:color w:val="auto"/>
        </w:rPr>
      </w:pPr>
    </w:p>
    <w:p>
      <w:pPr>
        <w:jc w:val="right"/>
        <w:ind w:right="159"/>
        <w:spacing w:after="0"/>
        <w:rPr>
          <w:sz w:val="20"/>
          <w:szCs w:val="20"/>
          <w:color w:val="auto"/>
        </w:rPr>
      </w:pPr>
      <w:r>
        <w:rPr>
          <w:rFonts w:ascii="Arial" w:cs="Arial" w:eastAsia="Arial" w:hAnsi="Arial"/>
          <w:sz w:val="16"/>
          <w:szCs w:val="16"/>
          <w:b w:val="1"/>
          <w:bCs w:val="1"/>
          <w:color w:val="auto"/>
        </w:rPr>
        <w:t>63.6%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right"/>
        <w:ind w:right="159"/>
        <w:spacing w:after="0"/>
        <w:rPr>
          <w:sz w:val="20"/>
          <w:szCs w:val="20"/>
          <w:color w:val="auto"/>
        </w:rPr>
      </w:pPr>
      <w:r>
        <w:rPr>
          <w:rFonts w:ascii="Arial" w:cs="Arial" w:eastAsia="Arial" w:hAnsi="Arial"/>
          <w:sz w:val="16"/>
          <w:szCs w:val="16"/>
          <w:b w:val="1"/>
          <w:bCs w:val="1"/>
          <w:color w:val="auto"/>
        </w:rPr>
        <w:t>24.3%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right"/>
        <w:ind w:right="159"/>
        <w:spacing w:after="0"/>
        <w:rPr>
          <w:sz w:val="20"/>
          <w:szCs w:val="20"/>
          <w:color w:val="auto"/>
        </w:rPr>
      </w:pPr>
      <w:r>
        <w:rPr>
          <w:rFonts w:ascii="Arial" w:cs="Arial" w:eastAsia="Arial" w:hAnsi="Arial"/>
          <w:sz w:val="16"/>
          <w:szCs w:val="16"/>
          <w:b w:val="1"/>
          <w:bCs w:val="1"/>
          <w:color w:val="auto"/>
        </w:rPr>
        <w:t>24.3%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right"/>
        <w:ind w:right="159"/>
        <w:spacing w:after="0"/>
        <w:rPr>
          <w:sz w:val="20"/>
          <w:szCs w:val="20"/>
          <w:color w:val="auto"/>
        </w:rPr>
      </w:pPr>
      <w:r>
        <w:rPr>
          <w:rFonts w:ascii="Arial" w:cs="Arial" w:eastAsia="Arial" w:hAnsi="Arial"/>
          <w:sz w:val="16"/>
          <w:szCs w:val="16"/>
          <w:b w:val="1"/>
          <w:bCs w:val="1"/>
          <w:color w:val="auto"/>
        </w:rPr>
        <w:t>22.2%</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134.4%</w:t>
      </w:r>
    </w:p>
    <w:p>
      <w:pPr>
        <w:spacing w:after="0" w:line="287" w:lineRule="exact"/>
        <w:rPr>
          <w:sz w:val="20"/>
          <w:szCs w:val="20"/>
          <w:color w:val="auto"/>
        </w:rPr>
      </w:pPr>
    </w:p>
    <w:p>
      <w:pPr>
        <w:jc w:val="right"/>
        <w:ind w:right="159"/>
        <w:spacing w:after="0"/>
        <w:rPr>
          <w:sz w:val="20"/>
          <w:szCs w:val="20"/>
          <w:color w:val="auto"/>
        </w:rPr>
      </w:pPr>
      <w:r>
        <w:rPr>
          <w:rFonts w:ascii="Arial" w:cs="Arial" w:eastAsia="Arial" w:hAnsi="Arial"/>
          <w:sz w:val="16"/>
          <w:szCs w:val="16"/>
          <w:b w:val="1"/>
          <w:bCs w:val="1"/>
          <w:color w:val="auto"/>
        </w:rPr>
        <w:t>100%</w:t>
      </w:r>
    </w:p>
    <w:p>
      <w:pPr>
        <w:spacing w:after="0" w:line="352" w:lineRule="exact"/>
        <w:rPr>
          <w:sz w:val="20"/>
          <w:szCs w:val="20"/>
          <w:color w:val="auto"/>
        </w:rPr>
      </w:pPr>
    </w:p>
    <w:p>
      <w:pPr>
        <w:sectPr>
          <w:pgSz w:w="11900" w:h="16838" w:orient="portrait"/>
          <w:cols w:equalWidth="0" w:num="3">
            <w:col w:w="7400" w:space="720"/>
            <w:col w:w="820" w:space="500"/>
            <w:col w:w="699"/>
          </w:cols>
          <w:pgMar w:left="320" w:top="179"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600" w:hanging="574"/>
        <w:spacing w:after="0"/>
        <w:tabs>
          <w:tab w:leader="none" w:pos="600" w:val="left"/>
        </w:tabs>
        <w:numPr>
          <w:ilvl w:val="0"/>
          <w:numId w:val="89"/>
        </w:numPr>
        <w:rPr>
          <w:rFonts w:ascii="Arial" w:cs="Arial" w:eastAsia="Arial" w:hAnsi="Arial"/>
          <w:sz w:val="16"/>
          <w:szCs w:val="16"/>
          <w:b w:val="1"/>
          <w:bCs w:val="1"/>
          <w:color w:val="auto"/>
        </w:rPr>
      </w:pPr>
      <w:r>
        <w:rPr>
          <w:rFonts w:ascii="Arial" w:cs="Arial" w:eastAsia="Arial" w:hAnsi="Arial"/>
          <w:sz w:val="16"/>
          <w:szCs w:val="16"/>
          <w:color w:val="auto"/>
        </w:rPr>
        <w:t xml:space="preserve">Pentair </w:t>
      </w:r>
      <w:r>
        <w:rPr>
          <w:rFonts w:ascii="Arial" w:cs="Arial" w:eastAsia="Arial" w:hAnsi="Arial"/>
          <w:sz w:val="16"/>
          <w:szCs w:val="16"/>
          <w:b w:val="1"/>
          <w:bCs w:val="1"/>
          <w:color w:val="0C3471"/>
        </w:rPr>
        <w:t>|</w:t>
      </w:r>
      <w:r>
        <w:rPr>
          <w:rFonts w:ascii="Arial" w:cs="Arial" w:eastAsia="Arial" w:hAnsi="Arial"/>
          <w:sz w:val="16"/>
          <w:szCs w:val="16"/>
          <w:color w:val="auto"/>
        </w:rPr>
        <w:t xml:space="preserve"> </w:t>
      </w:r>
      <w:r>
        <w:rPr>
          <w:rFonts w:ascii="Arial" w:cs="Arial" w:eastAsia="Arial" w:hAnsi="Arial"/>
          <w:sz w:val="16"/>
          <w:szCs w:val="16"/>
          <w:b w:val="1"/>
          <w:bCs w:val="1"/>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213995</wp:posOffset>
            </wp:positionV>
            <wp:extent cx="715772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79" w:right="1440" w:bottom="1440" w:gutter="0" w:footer="0" w:header="0"/>
          <w:type w:val="continuous"/>
        </w:sectPr>
      </w:pPr>
    </w:p>
    <w:bookmarkStart w:id="48" w:name="page49"/>
    <w:bookmarkEnd w:id="48"/>
    <w:p>
      <w:pPr>
        <w:jc w:val="right"/>
        <w:spacing w:after="0"/>
        <w:rPr>
          <w:sz w:val="20"/>
          <w:szCs w:val="20"/>
          <w:color w:val="auto"/>
        </w:rPr>
      </w:pPr>
      <w:r>
        <w:rPr>
          <w:rFonts w:ascii="Arial" w:cs="Arial" w:eastAsia="Arial" w:hAnsi="Arial"/>
          <w:sz w:val="16"/>
          <w:szCs w:val="16"/>
          <w:b w:val="1"/>
          <w:bCs w:val="1"/>
          <w:color w:val="auto"/>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4659630</wp:posOffset>
            </wp:positionH>
            <wp:positionV relativeFrom="paragraph">
              <wp:posOffset>-107315</wp:posOffset>
            </wp:positionV>
            <wp:extent cx="102870" cy="11176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102870" cy="111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Water Solutions </w:t>
      </w:r>
      <w:r>
        <w:rPr>
          <w:rFonts w:ascii="Arial" w:cs="Arial" w:eastAsia="Arial" w:hAnsi="Arial"/>
          <w:sz w:val="17"/>
          <w:szCs w:val="17"/>
          <w:b w:val="1"/>
          <w:bCs w:val="1"/>
          <w:color w:val="auto"/>
        </w:rPr>
        <w:t>(Chiu)</w:t>
      </w:r>
    </w:p>
    <w:p>
      <w:pPr>
        <w:spacing w:after="0" w:line="167" w:lineRule="exact"/>
        <w:rPr>
          <w:sz w:val="20"/>
          <w:szCs w:val="20"/>
          <w:color w:val="auto"/>
        </w:rPr>
      </w:pPr>
    </w:p>
    <w:tbl>
      <w:tblPr>
        <w:tblLayout w:type="fixed"/>
        <w:tblInd w:w="1240" w:type="dxa"/>
        <w:tblCellMar>
          <w:top w:w="0" w:type="dxa"/>
          <w:left w:w="0" w:type="dxa"/>
          <w:bottom w:w="0" w:type="dxa"/>
          <w:right w:w="0" w:type="dxa"/>
        </w:tblCellMar>
      </w:tblPr>
      <w:tr>
        <w:trPr>
          <w:trHeight w:val="207"/>
        </w:trPr>
        <w:tc>
          <w:tcPr>
            <w:tcW w:w="24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60" w:type="dxa"/>
            <w:vAlign w:val="bottom"/>
          </w:tcPr>
          <w:p>
            <w:pPr>
              <w:jc w:val="center"/>
              <w:ind w:left="8"/>
              <w:spacing w:after="0"/>
              <w:rPr>
                <w:sz w:val="20"/>
                <w:szCs w:val="20"/>
                <w:color w:val="auto"/>
              </w:rPr>
            </w:pPr>
            <w:r>
              <w:rPr>
                <w:rFonts w:ascii="Arial" w:cs="Arial" w:eastAsia="Arial" w:hAnsi="Arial"/>
                <w:sz w:val="14"/>
                <w:szCs w:val="14"/>
                <w:b w:val="1"/>
                <w:bCs w:val="1"/>
                <w:color w:val="auto"/>
                <w:w w:val="97"/>
              </w:rPr>
              <w:t>Threshold</w:t>
            </w:r>
            <w:r>
              <w:rPr>
                <w:rFonts w:ascii="Arial" w:cs="Arial" w:eastAsia="Arial" w:hAnsi="Arial"/>
                <w:sz w:val="18"/>
                <w:szCs w:val="18"/>
                <w:b w:val="1"/>
                <w:bCs w:val="1"/>
                <w:color w:val="auto"/>
                <w:w w:val="97"/>
                <w:vertAlign w:val="superscript"/>
              </w:rPr>
              <w:t>(1)</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8"/>
              </w:rPr>
              <w:t>Target</w:t>
            </w:r>
          </w:p>
        </w:tc>
        <w:tc>
          <w:tcPr>
            <w:tcW w:w="1260" w:type="dxa"/>
            <w:vAlign w:val="bottom"/>
          </w:tcPr>
          <w:p>
            <w:pPr>
              <w:jc w:val="center"/>
              <w:ind w:right="68"/>
              <w:spacing w:after="0"/>
              <w:rPr>
                <w:sz w:val="20"/>
                <w:szCs w:val="20"/>
                <w:color w:val="auto"/>
              </w:rPr>
            </w:pPr>
            <w:r>
              <w:rPr>
                <w:rFonts w:ascii="Arial" w:cs="Arial" w:eastAsia="Arial" w:hAnsi="Arial"/>
                <w:sz w:val="14"/>
                <w:szCs w:val="14"/>
                <w:b w:val="1"/>
                <w:bCs w:val="1"/>
                <w:color w:val="auto"/>
              </w:rPr>
              <w:t>Maximum</w:t>
            </w:r>
          </w:p>
        </w:tc>
        <w:tc>
          <w:tcPr>
            <w:tcW w:w="1060" w:type="dxa"/>
            <w:vAlign w:val="bottom"/>
          </w:tcPr>
          <w:p>
            <w:pPr>
              <w:spacing w:after="0"/>
              <w:rPr>
                <w:sz w:val="17"/>
                <w:szCs w:val="17"/>
                <w:color w:val="auto"/>
              </w:rPr>
            </w:pPr>
          </w:p>
        </w:tc>
        <w:tc>
          <w:tcPr>
            <w:tcW w:w="860" w:type="dxa"/>
            <w:vAlign w:val="bottom"/>
          </w:tcPr>
          <w:p>
            <w:pPr>
              <w:ind w:left="200"/>
              <w:spacing w:after="0"/>
              <w:rPr>
                <w:sz w:val="20"/>
                <w:szCs w:val="20"/>
                <w:color w:val="auto"/>
              </w:rPr>
            </w:pPr>
            <w:r>
              <w:rPr>
                <w:rFonts w:ascii="Arial" w:cs="Arial" w:eastAsia="Arial" w:hAnsi="Arial"/>
                <w:sz w:val="14"/>
                <w:szCs w:val="14"/>
                <w:b w:val="1"/>
                <w:bCs w:val="1"/>
                <w:color w:val="auto"/>
              </w:rPr>
              <w:t>Weighted</w:t>
            </w:r>
          </w:p>
        </w:tc>
      </w:tr>
      <w:tr>
        <w:trPr>
          <w:trHeight w:val="205"/>
        </w:trPr>
        <w:tc>
          <w:tcPr>
            <w:tcW w:w="2400" w:type="dxa"/>
            <w:vAlign w:val="bottom"/>
            <w:tcBorders>
              <w:bottom w:val="single" w:sz="8" w:color="0C3471"/>
            </w:tcBorders>
          </w:tcPr>
          <w:p>
            <w:pPr>
              <w:ind w:left="20"/>
              <w:spacing w:after="0"/>
              <w:rPr>
                <w:sz w:val="20"/>
                <w:szCs w:val="20"/>
                <w:color w:val="auto"/>
              </w:rPr>
            </w:pPr>
            <w:r>
              <w:rPr>
                <w:rFonts w:ascii="Arial" w:cs="Arial" w:eastAsia="Arial" w:hAnsi="Arial"/>
                <w:sz w:val="14"/>
                <w:szCs w:val="14"/>
                <w:b w:val="1"/>
                <w:bCs w:val="1"/>
                <w:color w:val="auto"/>
              </w:rPr>
              <w:t>Financial Performance Measure</w:t>
            </w:r>
          </w:p>
        </w:tc>
        <w:tc>
          <w:tcPr>
            <w:tcW w:w="860" w:type="dxa"/>
            <w:vAlign w:val="bottom"/>
            <w:tcBorders>
              <w:bottom w:val="single" w:sz="8" w:color="0C3471"/>
            </w:tcBorders>
          </w:tcPr>
          <w:p>
            <w:pPr>
              <w:ind w:left="200"/>
              <w:spacing w:after="0"/>
              <w:rPr>
                <w:sz w:val="20"/>
                <w:szCs w:val="20"/>
                <w:color w:val="auto"/>
              </w:rPr>
            </w:pPr>
            <w:r>
              <w:rPr>
                <w:rFonts w:ascii="Arial" w:cs="Arial" w:eastAsia="Arial" w:hAnsi="Arial"/>
                <w:sz w:val="14"/>
                <w:szCs w:val="14"/>
                <w:b w:val="1"/>
                <w:bCs w:val="1"/>
                <w:color w:val="auto"/>
              </w:rPr>
              <w:t>Weight</w:t>
            </w:r>
          </w:p>
        </w:tc>
        <w:tc>
          <w:tcPr>
            <w:tcW w:w="1160" w:type="dxa"/>
            <w:vAlign w:val="bottom"/>
            <w:tcBorders>
              <w:bottom w:val="single" w:sz="8" w:color="0C3471"/>
            </w:tcBorders>
          </w:tcPr>
          <w:p>
            <w:pPr>
              <w:jc w:val="center"/>
              <w:ind w:left="8"/>
              <w:spacing w:after="0"/>
              <w:rPr>
                <w:sz w:val="20"/>
                <w:szCs w:val="20"/>
                <w:color w:val="auto"/>
              </w:rPr>
            </w:pPr>
            <w:r>
              <w:rPr>
                <w:rFonts w:ascii="Arial" w:cs="Arial" w:eastAsia="Arial" w:hAnsi="Arial"/>
                <w:sz w:val="14"/>
                <w:szCs w:val="14"/>
                <w:b w:val="1"/>
                <w:bCs w:val="1"/>
                <w:color w:val="auto"/>
              </w:rPr>
              <w:t>(50% payout)</w:t>
            </w:r>
          </w:p>
        </w:tc>
        <w:tc>
          <w:tcPr>
            <w:tcW w:w="1160" w:type="dxa"/>
            <w:vAlign w:val="bottom"/>
            <w:tcBorders>
              <w:bottom w:val="single" w:sz="8" w:color="0C3471"/>
            </w:tcBorders>
          </w:tcPr>
          <w:p>
            <w:pPr>
              <w:jc w:val="center"/>
              <w:spacing w:after="0"/>
              <w:rPr>
                <w:sz w:val="20"/>
                <w:szCs w:val="20"/>
                <w:color w:val="auto"/>
              </w:rPr>
            </w:pPr>
            <w:r>
              <w:rPr>
                <w:rFonts w:ascii="Arial" w:cs="Arial" w:eastAsia="Arial" w:hAnsi="Arial"/>
                <w:sz w:val="14"/>
                <w:szCs w:val="14"/>
                <w:b w:val="1"/>
                <w:bCs w:val="1"/>
                <w:color w:val="auto"/>
              </w:rPr>
              <w:t>(100% payout)</w:t>
            </w:r>
          </w:p>
        </w:tc>
        <w:tc>
          <w:tcPr>
            <w:tcW w:w="1260" w:type="dxa"/>
            <w:vAlign w:val="bottom"/>
            <w:tcBorders>
              <w:bottom w:val="single" w:sz="8" w:color="0C3471"/>
            </w:tcBorders>
          </w:tcPr>
          <w:p>
            <w:pPr>
              <w:jc w:val="center"/>
              <w:ind w:right="68"/>
              <w:spacing w:after="0"/>
              <w:rPr>
                <w:sz w:val="20"/>
                <w:szCs w:val="20"/>
                <w:color w:val="auto"/>
              </w:rPr>
            </w:pPr>
            <w:r>
              <w:rPr>
                <w:rFonts w:ascii="Arial" w:cs="Arial" w:eastAsia="Arial" w:hAnsi="Arial"/>
                <w:sz w:val="14"/>
                <w:szCs w:val="14"/>
                <w:b w:val="1"/>
                <w:bCs w:val="1"/>
                <w:color w:val="auto"/>
              </w:rPr>
              <w:t>(200% payout)</w:t>
            </w:r>
          </w:p>
        </w:tc>
        <w:tc>
          <w:tcPr>
            <w:tcW w:w="1060" w:type="dxa"/>
            <w:vAlign w:val="bottom"/>
            <w:tcBorders>
              <w:bottom w:val="single" w:sz="8" w:color="0C3471"/>
            </w:tcBorders>
          </w:tcPr>
          <w:p>
            <w:pPr>
              <w:ind w:left="220"/>
              <w:spacing w:after="0"/>
              <w:rPr>
                <w:sz w:val="20"/>
                <w:szCs w:val="20"/>
                <w:color w:val="auto"/>
              </w:rPr>
            </w:pPr>
            <w:r>
              <w:rPr>
                <w:rFonts w:ascii="Arial" w:cs="Arial" w:eastAsia="Arial" w:hAnsi="Arial"/>
                <w:sz w:val="14"/>
                <w:szCs w:val="14"/>
                <w:b w:val="1"/>
                <w:bCs w:val="1"/>
                <w:color w:val="auto"/>
              </w:rPr>
              <w:t>Payout %</w:t>
            </w:r>
          </w:p>
        </w:tc>
        <w:tc>
          <w:tcPr>
            <w:tcW w:w="860" w:type="dxa"/>
            <w:vAlign w:val="bottom"/>
            <w:tcBorders>
              <w:bottom w:val="single" w:sz="8" w:color="0C3471"/>
            </w:tcBorders>
          </w:tcPr>
          <w:p>
            <w:pPr>
              <w:ind w:left="200"/>
              <w:spacing w:after="0"/>
              <w:rPr>
                <w:sz w:val="20"/>
                <w:szCs w:val="20"/>
                <w:color w:val="auto"/>
              </w:rPr>
            </w:pPr>
            <w:r>
              <w:rPr>
                <w:rFonts w:ascii="Arial" w:cs="Arial" w:eastAsia="Arial" w:hAnsi="Arial"/>
                <w:sz w:val="14"/>
                <w:szCs w:val="14"/>
                <w:b w:val="1"/>
                <w:bCs w:val="1"/>
                <w:color w:val="auto"/>
              </w:rPr>
              <w:t>Payout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2345055</wp:posOffset>
            </wp:positionH>
            <wp:positionV relativeFrom="paragraph">
              <wp:posOffset>68580</wp:posOffset>
            </wp:positionV>
            <wp:extent cx="2606040" cy="51435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2606040" cy="51435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tbl>
      <w:tblPr>
        <w:tblLayout w:type="fixed"/>
        <w:tblInd w:w="1260" w:type="dxa"/>
        <w:tblCellMar>
          <w:top w:w="0" w:type="dxa"/>
          <w:left w:w="0" w:type="dxa"/>
          <w:bottom w:w="0" w:type="dxa"/>
          <w:right w:w="0" w:type="dxa"/>
        </w:tblCellMar>
      </w:tblPr>
      <w:tr>
        <w:trPr>
          <w:trHeight w:val="299"/>
        </w:trPr>
        <w:tc>
          <w:tcPr>
            <w:tcW w:w="4540" w:type="dxa"/>
            <w:vAlign w:val="bottom"/>
          </w:tcPr>
          <w:p>
            <w:pPr>
              <w:spacing w:after="0"/>
              <w:rPr>
                <w:sz w:val="20"/>
                <w:szCs w:val="20"/>
                <w:color w:val="auto"/>
              </w:rPr>
            </w:pPr>
            <w:r>
              <w:rPr>
                <w:rFonts w:ascii="Arial" w:cs="Arial" w:eastAsia="Arial" w:hAnsi="Arial"/>
                <w:sz w:val="16"/>
                <w:szCs w:val="16"/>
                <w:color w:val="auto"/>
              </w:rPr>
              <w:t>Water Solutions Income</w:t>
            </w:r>
            <w:r>
              <w:rPr>
                <w:rFonts w:ascii="Arial" w:cs="Arial" w:eastAsia="Arial" w:hAnsi="Arial"/>
                <w:sz w:val="21"/>
                <w:szCs w:val="21"/>
                <w:color w:val="auto"/>
                <w:vertAlign w:val="superscript"/>
              </w:rPr>
              <w:t>(3)</w:t>
            </w:r>
          </w:p>
        </w:tc>
        <w:tc>
          <w:tcPr>
            <w:tcW w:w="3440" w:type="dxa"/>
            <w:vAlign w:val="bottom"/>
          </w:tcPr>
          <w:p>
            <w:pPr>
              <w:jc w:val="right"/>
              <w:ind w:right="219"/>
              <w:spacing w:after="0"/>
              <w:rPr>
                <w:sz w:val="20"/>
                <w:szCs w:val="20"/>
                <w:color w:val="auto"/>
              </w:rPr>
            </w:pPr>
            <w:r>
              <w:rPr>
                <w:rFonts w:ascii="Arial" w:cs="Arial" w:eastAsia="Arial" w:hAnsi="Arial"/>
                <w:sz w:val="16"/>
                <w:szCs w:val="16"/>
                <w:color w:val="auto"/>
              </w:rPr>
              <w:t>80.6%</w:t>
            </w: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32.3%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2345055</wp:posOffset>
            </wp:positionH>
            <wp:positionV relativeFrom="paragraph">
              <wp:posOffset>384810</wp:posOffset>
            </wp:positionV>
            <wp:extent cx="2606040" cy="51435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2606040"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tbl>
      <w:tblPr>
        <w:tblLayout w:type="fixed"/>
        <w:tblInd w:w="1260" w:type="dxa"/>
        <w:tblCellMar>
          <w:top w:w="0" w:type="dxa"/>
          <w:left w:w="0" w:type="dxa"/>
          <w:bottom w:w="0" w:type="dxa"/>
          <w:right w:w="0" w:type="dxa"/>
        </w:tblCellMar>
      </w:tblPr>
      <w:tr>
        <w:trPr>
          <w:trHeight w:val="299"/>
        </w:trPr>
        <w:tc>
          <w:tcPr>
            <w:tcW w:w="4600" w:type="dxa"/>
            <w:vAlign w:val="bottom"/>
          </w:tcPr>
          <w:p>
            <w:pPr>
              <w:spacing w:after="0"/>
              <w:rPr>
                <w:sz w:val="20"/>
                <w:szCs w:val="20"/>
                <w:color w:val="auto"/>
              </w:rPr>
            </w:pPr>
            <w:r>
              <w:rPr>
                <w:rFonts w:ascii="Arial" w:cs="Arial" w:eastAsia="Arial" w:hAnsi="Arial"/>
                <w:sz w:val="16"/>
                <w:szCs w:val="16"/>
                <w:color w:val="auto"/>
              </w:rPr>
              <w:t>Water Solutions Revenue</w:t>
            </w:r>
            <w:r>
              <w:rPr>
                <w:rFonts w:ascii="Arial" w:cs="Arial" w:eastAsia="Arial" w:hAnsi="Arial"/>
                <w:sz w:val="21"/>
                <w:szCs w:val="21"/>
                <w:color w:val="auto"/>
                <w:vertAlign w:val="superscript"/>
              </w:rPr>
              <w:t>(3)</w:t>
            </w:r>
          </w:p>
        </w:tc>
        <w:tc>
          <w:tcPr>
            <w:tcW w:w="3380" w:type="dxa"/>
            <w:vAlign w:val="bottom"/>
          </w:tcPr>
          <w:p>
            <w:pPr>
              <w:jc w:val="right"/>
              <w:ind w:right="219"/>
              <w:spacing w:after="0"/>
              <w:rPr>
                <w:sz w:val="20"/>
                <w:szCs w:val="20"/>
                <w:color w:val="auto"/>
              </w:rPr>
            </w:pPr>
            <w:r>
              <w:rPr>
                <w:rFonts w:ascii="Arial" w:cs="Arial" w:eastAsia="Arial" w:hAnsi="Arial"/>
                <w:sz w:val="16"/>
                <w:szCs w:val="16"/>
                <w:color w:val="auto"/>
              </w:rPr>
              <w:t>67.7%</w:t>
            </w: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13.5%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2336800</wp:posOffset>
            </wp:positionH>
            <wp:positionV relativeFrom="paragraph">
              <wp:posOffset>384810</wp:posOffset>
            </wp:positionV>
            <wp:extent cx="2614295" cy="51435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2614295"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tbl>
      <w:tblPr>
        <w:tblLayout w:type="fixed"/>
        <w:tblInd w:w="1260" w:type="dxa"/>
        <w:tblCellMar>
          <w:top w:w="0" w:type="dxa"/>
          <w:left w:w="0" w:type="dxa"/>
          <w:bottom w:w="0" w:type="dxa"/>
          <w:right w:w="0" w:type="dxa"/>
        </w:tblCellMar>
      </w:tblPr>
      <w:tr>
        <w:trPr>
          <w:trHeight w:val="299"/>
        </w:trPr>
        <w:tc>
          <w:tcPr>
            <w:tcW w:w="4480" w:type="dxa"/>
            <w:vAlign w:val="bottom"/>
          </w:tcPr>
          <w:p>
            <w:pPr>
              <w:spacing w:after="0"/>
              <w:rPr>
                <w:sz w:val="20"/>
                <w:szCs w:val="20"/>
                <w:color w:val="auto"/>
              </w:rPr>
            </w:pPr>
            <w:r>
              <w:rPr>
                <w:rFonts w:ascii="Arial" w:cs="Arial" w:eastAsia="Arial" w:hAnsi="Arial"/>
                <w:sz w:val="16"/>
                <w:szCs w:val="16"/>
                <w:color w:val="auto"/>
              </w:rPr>
              <w:t>Pentair Free Cash Flow</w:t>
            </w:r>
            <w:r>
              <w:rPr>
                <w:rFonts w:ascii="Arial" w:cs="Arial" w:eastAsia="Arial" w:hAnsi="Arial"/>
                <w:sz w:val="21"/>
                <w:szCs w:val="21"/>
                <w:color w:val="auto"/>
                <w:vertAlign w:val="superscript"/>
              </w:rPr>
              <w:t>(2)</w:t>
            </w:r>
          </w:p>
        </w:tc>
        <w:tc>
          <w:tcPr>
            <w:tcW w:w="3500" w:type="dxa"/>
            <w:vAlign w:val="bottom"/>
          </w:tcPr>
          <w:p>
            <w:pPr>
              <w:jc w:val="right"/>
              <w:ind w:right="219"/>
              <w:spacing w:after="0"/>
              <w:rPr>
                <w:sz w:val="20"/>
                <w:szCs w:val="20"/>
                <w:color w:val="auto"/>
              </w:rPr>
            </w:pPr>
            <w:r>
              <w:rPr>
                <w:rFonts w:ascii="Arial" w:cs="Arial" w:eastAsia="Arial" w:hAnsi="Arial"/>
                <w:sz w:val="16"/>
                <w:szCs w:val="16"/>
                <w:color w:val="auto"/>
              </w:rPr>
              <w:t>121.4%</w:t>
            </w: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24.3%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2336800</wp:posOffset>
            </wp:positionH>
            <wp:positionV relativeFrom="paragraph">
              <wp:posOffset>384810</wp:posOffset>
            </wp:positionV>
            <wp:extent cx="2614295" cy="51435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2614295"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tbl>
      <w:tblPr>
        <w:tblLayout w:type="fixed"/>
        <w:tblInd w:w="1260" w:type="dxa"/>
        <w:tblCellMar>
          <w:top w:w="0" w:type="dxa"/>
          <w:left w:w="0" w:type="dxa"/>
          <w:bottom w:w="0" w:type="dxa"/>
          <w:right w:w="0" w:type="dxa"/>
        </w:tblCellMar>
      </w:tblPr>
      <w:tr>
        <w:trPr>
          <w:trHeight w:val="192"/>
        </w:trPr>
        <w:tc>
          <w:tcPr>
            <w:tcW w:w="2200" w:type="dxa"/>
            <w:vAlign w:val="bottom"/>
          </w:tcPr>
          <w:p>
            <w:pPr>
              <w:spacing w:after="0"/>
              <w:rPr>
                <w:sz w:val="20"/>
                <w:szCs w:val="20"/>
                <w:color w:val="auto"/>
              </w:rPr>
            </w:pPr>
            <w:r>
              <w:rPr>
                <w:rFonts w:ascii="Arial" w:cs="Arial" w:eastAsia="Arial" w:hAnsi="Arial"/>
                <w:sz w:val="16"/>
                <w:szCs w:val="16"/>
                <w:color w:val="auto"/>
              </w:rPr>
              <w:t>Pentair Adjusted</w:t>
            </w:r>
          </w:p>
        </w:tc>
        <w:tc>
          <w:tcPr>
            <w:tcW w:w="2840" w:type="dxa"/>
            <w:vAlign w:val="bottom"/>
          </w:tcPr>
          <w:p>
            <w:pPr>
              <w:spacing w:after="0"/>
              <w:rPr>
                <w:sz w:val="16"/>
                <w:szCs w:val="16"/>
                <w:color w:val="auto"/>
              </w:rPr>
            </w:pPr>
          </w:p>
        </w:tc>
        <w:tc>
          <w:tcPr>
            <w:tcW w:w="2940" w:type="dxa"/>
            <w:vAlign w:val="bottom"/>
            <w:vMerge w:val="restart"/>
          </w:tcPr>
          <w:p>
            <w:pPr>
              <w:jc w:val="right"/>
              <w:ind w:right="219"/>
              <w:spacing w:after="0"/>
              <w:rPr>
                <w:sz w:val="20"/>
                <w:szCs w:val="20"/>
                <w:color w:val="auto"/>
              </w:rPr>
            </w:pPr>
            <w:r>
              <w:rPr>
                <w:rFonts w:ascii="Arial" w:cs="Arial" w:eastAsia="Arial" w:hAnsi="Arial"/>
                <w:sz w:val="16"/>
                <w:szCs w:val="16"/>
                <w:color w:val="auto"/>
              </w:rPr>
              <w:t>111.1%</w:t>
            </w:r>
          </w:p>
        </w:tc>
        <w:tc>
          <w:tcPr>
            <w:tcW w:w="7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22.2%</w:t>
            </w:r>
          </w:p>
        </w:tc>
        <w:tc>
          <w:tcPr>
            <w:tcW w:w="0" w:type="dxa"/>
            <w:vAlign w:val="bottom"/>
          </w:tcPr>
          <w:p>
            <w:pPr>
              <w:spacing w:after="0"/>
              <w:rPr>
                <w:sz w:val="1"/>
                <w:szCs w:val="1"/>
                <w:color w:val="auto"/>
              </w:rPr>
            </w:pPr>
          </w:p>
        </w:tc>
      </w:tr>
      <w:tr>
        <w:trPr>
          <w:trHeight w:val="111"/>
        </w:trPr>
        <w:tc>
          <w:tcPr>
            <w:tcW w:w="2200" w:type="dxa"/>
            <w:vAlign w:val="bottom"/>
            <w:vMerge w:val="restart"/>
          </w:tcPr>
          <w:p>
            <w:pPr>
              <w:spacing w:after="0"/>
              <w:rPr>
                <w:sz w:val="20"/>
                <w:szCs w:val="20"/>
                <w:color w:val="auto"/>
              </w:rPr>
            </w:pPr>
            <w:r>
              <w:rPr>
                <w:rFonts w:ascii="Arial" w:cs="Arial" w:eastAsia="Arial" w:hAnsi="Arial"/>
                <w:sz w:val="16"/>
                <w:szCs w:val="16"/>
                <w:color w:val="auto"/>
              </w:rPr>
              <w:t>Operating Income</w:t>
            </w:r>
            <w:r>
              <w:rPr>
                <w:rFonts w:ascii="Arial" w:cs="Arial" w:eastAsia="Arial" w:hAnsi="Arial"/>
                <w:sz w:val="21"/>
                <w:szCs w:val="21"/>
                <w:color w:val="auto"/>
                <w:vertAlign w:val="superscript"/>
              </w:rPr>
              <w:t>(2)</w:t>
            </w:r>
          </w:p>
        </w:tc>
        <w:tc>
          <w:tcPr>
            <w:tcW w:w="2840" w:type="dxa"/>
            <w:vAlign w:val="bottom"/>
          </w:tcPr>
          <w:p>
            <w:pPr>
              <w:spacing w:after="0"/>
              <w:rPr>
                <w:sz w:val="9"/>
                <w:szCs w:val="9"/>
                <w:color w:val="auto"/>
              </w:rPr>
            </w:pPr>
          </w:p>
        </w:tc>
        <w:tc>
          <w:tcPr>
            <w:tcW w:w="294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200" w:type="dxa"/>
            <w:vAlign w:val="bottom"/>
            <w:vMerge w:val="continue"/>
          </w:tcPr>
          <w:p>
            <w:pPr>
              <w:spacing w:after="0"/>
              <w:rPr>
                <w:sz w:val="14"/>
                <w:szCs w:val="14"/>
                <w:color w:val="auto"/>
              </w:rPr>
            </w:pPr>
          </w:p>
        </w:tc>
        <w:tc>
          <w:tcPr>
            <w:tcW w:w="284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26"/>
        </w:trPr>
        <w:tc>
          <w:tcPr>
            <w:tcW w:w="2200" w:type="dxa"/>
            <w:vAlign w:val="bottom"/>
          </w:tcPr>
          <w:p>
            <w:pPr>
              <w:spacing w:after="0"/>
              <w:rPr>
                <w:sz w:val="20"/>
                <w:szCs w:val="20"/>
                <w:color w:val="auto"/>
              </w:rPr>
            </w:pPr>
            <w:r>
              <w:rPr>
                <w:rFonts w:ascii="Arial" w:cs="Arial" w:eastAsia="Arial" w:hAnsi="Arial"/>
                <w:sz w:val="16"/>
                <w:szCs w:val="16"/>
                <w:b w:val="1"/>
                <w:bCs w:val="1"/>
                <w:color w:val="auto"/>
              </w:rPr>
              <w:t>Total</w:t>
            </w:r>
          </w:p>
        </w:tc>
        <w:tc>
          <w:tcPr>
            <w:tcW w:w="2840" w:type="dxa"/>
            <w:vAlign w:val="bottom"/>
          </w:tcPr>
          <w:p>
            <w:pPr>
              <w:jc w:val="right"/>
              <w:ind w:right="1739"/>
              <w:spacing w:after="0"/>
              <w:rPr>
                <w:sz w:val="20"/>
                <w:szCs w:val="20"/>
                <w:color w:val="auto"/>
              </w:rPr>
            </w:pPr>
            <w:r>
              <w:rPr>
                <w:rFonts w:ascii="Arial" w:cs="Arial" w:eastAsia="Arial" w:hAnsi="Arial"/>
                <w:sz w:val="16"/>
                <w:szCs w:val="16"/>
                <w:color w:val="auto"/>
              </w:rPr>
              <w:t>100%</w:t>
            </w:r>
          </w:p>
        </w:tc>
        <w:tc>
          <w:tcPr>
            <w:tcW w:w="29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92.3%</w:t>
            </w:r>
          </w:p>
        </w:tc>
        <w:tc>
          <w:tcPr>
            <w:tcW w:w="0" w:type="dxa"/>
            <w:vAlign w:val="bottom"/>
          </w:tcPr>
          <w:p>
            <w:pPr>
              <w:spacing w:after="0"/>
              <w:rPr>
                <w:sz w:val="1"/>
                <w:szCs w:val="1"/>
                <w:color w:val="auto"/>
              </w:rPr>
            </w:pPr>
          </w:p>
        </w:tc>
      </w:tr>
      <w:tr>
        <w:trPr>
          <w:trHeight w:val="344"/>
        </w:trPr>
        <w:tc>
          <w:tcPr>
            <w:tcW w:w="2200" w:type="dxa"/>
            <w:vAlign w:val="bottom"/>
            <w:vMerge w:val="restart"/>
          </w:tcPr>
          <w:p>
            <w:pPr>
              <w:spacing w:after="0"/>
              <w:rPr>
                <w:sz w:val="20"/>
                <w:szCs w:val="20"/>
                <w:color w:val="auto"/>
              </w:rPr>
            </w:pPr>
            <w:r>
              <w:rPr>
                <w:rFonts w:ascii="Arial" w:cs="Arial" w:eastAsia="Arial" w:hAnsi="Arial"/>
                <w:sz w:val="16"/>
                <w:szCs w:val="16"/>
                <w:b w:val="1"/>
                <w:bCs w:val="1"/>
                <w:color w:val="auto"/>
              </w:rPr>
              <w:t>Sustainability Modifier</w:t>
            </w:r>
          </w:p>
        </w:tc>
        <w:tc>
          <w:tcPr>
            <w:tcW w:w="2840" w:type="dxa"/>
            <w:vAlign w:val="bottom"/>
          </w:tcPr>
          <w:p>
            <w:pPr>
              <w:jc w:val="right"/>
              <w:ind w:right="1739"/>
              <w:spacing w:after="0"/>
              <w:rPr>
                <w:sz w:val="20"/>
                <w:szCs w:val="20"/>
                <w:color w:val="auto"/>
              </w:rPr>
            </w:pPr>
            <w:r>
              <w:rPr>
                <w:rFonts w:ascii="Arial" w:cs="Arial" w:eastAsia="Arial" w:hAnsi="Arial"/>
                <w:sz w:val="16"/>
                <w:szCs w:val="16"/>
                <w:color w:val="auto"/>
              </w:rPr>
              <w:t>+/- 10%</w:t>
            </w:r>
          </w:p>
        </w:tc>
        <w:tc>
          <w:tcPr>
            <w:tcW w:w="2940" w:type="dxa"/>
            <w:vAlign w:val="bottom"/>
          </w:tcPr>
          <w:p>
            <w:pPr>
              <w:jc w:val="right"/>
              <w:ind w:right="219"/>
              <w:spacing w:after="0"/>
              <w:rPr>
                <w:sz w:val="20"/>
                <w:szCs w:val="20"/>
                <w:color w:val="auto"/>
              </w:rPr>
            </w:pPr>
            <w:r>
              <w:rPr>
                <w:rFonts w:ascii="Arial" w:cs="Arial" w:eastAsia="Arial" w:hAnsi="Arial"/>
                <w:sz w:val="16"/>
                <w:szCs w:val="16"/>
                <w:color w:val="auto"/>
              </w:rPr>
              <w:t>No modifier</w:t>
            </w:r>
          </w:p>
        </w:tc>
        <w:tc>
          <w:tcPr>
            <w:tcW w:w="7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100%</w:t>
            </w:r>
          </w:p>
        </w:tc>
        <w:tc>
          <w:tcPr>
            <w:tcW w:w="0" w:type="dxa"/>
            <w:vAlign w:val="bottom"/>
          </w:tcPr>
          <w:p>
            <w:pPr>
              <w:spacing w:after="0"/>
              <w:rPr>
                <w:sz w:val="1"/>
                <w:szCs w:val="1"/>
                <w:color w:val="auto"/>
              </w:rPr>
            </w:pPr>
          </w:p>
        </w:tc>
      </w:tr>
      <w:tr>
        <w:trPr>
          <w:trHeight w:val="115"/>
        </w:trPr>
        <w:tc>
          <w:tcPr>
            <w:tcW w:w="2200" w:type="dxa"/>
            <w:vAlign w:val="bottom"/>
            <w:vMerge w:val="continue"/>
          </w:tcPr>
          <w:p>
            <w:pPr>
              <w:spacing w:after="0"/>
              <w:rPr>
                <w:sz w:val="9"/>
                <w:szCs w:val="9"/>
                <w:color w:val="auto"/>
              </w:rPr>
            </w:pPr>
          </w:p>
        </w:tc>
        <w:tc>
          <w:tcPr>
            <w:tcW w:w="2840" w:type="dxa"/>
            <w:vAlign w:val="bottom"/>
            <w:vMerge w:val="restart"/>
          </w:tcPr>
          <w:p>
            <w:pPr>
              <w:jc w:val="right"/>
              <w:ind w:right="1739"/>
              <w:spacing w:after="0"/>
              <w:rPr>
                <w:sz w:val="20"/>
                <w:szCs w:val="20"/>
                <w:color w:val="auto"/>
              </w:rPr>
            </w:pPr>
            <w:r>
              <w:rPr>
                <w:rFonts w:ascii="Arial" w:cs="Arial" w:eastAsia="Arial" w:hAnsi="Arial"/>
                <w:sz w:val="16"/>
                <w:szCs w:val="16"/>
                <w:color w:val="auto"/>
              </w:rPr>
              <w:t>modifier</w:t>
            </w:r>
          </w:p>
        </w:tc>
        <w:tc>
          <w:tcPr>
            <w:tcW w:w="2940" w:type="dxa"/>
            <w:vAlign w:val="bottom"/>
            <w:vMerge w:val="restart"/>
          </w:tcPr>
          <w:p>
            <w:pPr>
              <w:jc w:val="right"/>
              <w:ind w:right="219"/>
              <w:spacing w:after="0"/>
              <w:rPr>
                <w:sz w:val="20"/>
                <w:szCs w:val="20"/>
                <w:color w:val="auto"/>
              </w:rPr>
            </w:pPr>
            <w:r>
              <w:rPr>
                <w:rFonts w:ascii="Arial" w:cs="Arial" w:eastAsia="Arial" w:hAnsi="Arial"/>
                <w:sz w:val="16"/>
                <w:szCs w:val="16"/>
                <w:color w:val="auto"/>
              </w:rPr>
              <w:t>applied</w:t>
            </w:r>
          </w:p>
        </w:tc>
        <w:tc>
          <w:tcPr>
            <w:tcW w:w="7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2200" w:type="dxa"/>
            <w:vAlign w:val="bottom"/>
          </w:tcPr>
          <w:p>
            <w:pPr>
              <w:spacing w:after="0"/>
              <w:rPr>
                <w:sz w:val="9"/>
                <w:szCs w:val="9"/>
                <w:color w:val="auto"/>
              </w:rPr>
            </w:pPr>
          </w:p>
        </w:tc>
        <w:tc>
          <w:tcPr>
            <w:tcW w:w="2840" w:type="dxa"/>
            <w:vAlign w:val="bottom"/>
            <w:vMerge w:val="continue"/>
          </w:tcPr>
          <w:p>
            <w:pPr>
              <w:spacing w:after="0"/>
              <w:rPr>
                <w:sz w:val="9"/>
                <w:szCs w:val="9"/>
                <w:color w:val="auto"/>
              </w:rPr>
            </w:pPr>
          </w:p>
        </w:tc>
        <w:tc>
          <w:tcPr>
            <w:tcW w:w="2940" w:type="dxa"/>
            <w:vAlign w:val="bottom"/>
            <w:vMerge w:val="continue"/>
          </w:tcPr>
          <w:p>
            <w:pPr>
              <w:spacing w:after="0"/>
              <w:rPr>
                <w:sz w:val="9"/>
                <w:szCs w:val="9"/>
                <w:color w:val="auto"/>
              </w:rPr>
            </w:pP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793750</wp:posOffset>
            </wp:positionH>
            <wp:positionV relativeFrom="paragraph">
              <wp:posOffset>113030</wp:posOffset>
            </wp:positionV>
            <wp:extent cx="555498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5554980" cy="8255"/>
                    </a:xfrm>
                    <a:prstGeom prst="rect">
                      <a:avLst/>
                    </a:prstGeom>
                    <a:noFill/>
                  </pic:spPr>
                </pic:pic>
              </a:graphicData>
            </a:graphic>
          </wp:anchor>
        </w:drawing>
      </w:r>
    </w:p>
    <w:p>
      <w:pPr>
        <w:spacing w:after="0" w:line="364" w:lineRule="exact"/>
        <w:rPr>
          <w:sz w:val="20"/>
          <w:szCs w:val="20"/>
          <w:color w:val="auto"/>
        </w:rPr>
      </w:pPr>
    </w:p>
    <w:p>
      <w:pPr>
        <w:ind w:left="240" w:hanging="232"/>
        <w:spacing w:after="0"/>
        <w:tabs>
          <w:tab w:leader="none" w:pos="240" w:val="left"/>
        </w:tabs>
        <w:numPr>
          <w:ilvl w:val="0"/>
          <w:numId w:val="90"/>
        </w:numPr>
        <w:rPr>
          <w:rFonts w:ascii="Arial" w:cs="Arial" w:eastAsia="Arial" w:hAnsi="Arial"/>
          <w:sz w:val="11"/>
          <w:szCs w:val="11"/>
          <w:color w:val="auto"/>
        </w:rPr>
      </w:pPr>
      <w:r>
        <w:rPr>
          <w:rFonts w:ascii="Arial" w:cs="Arial" w:eastAsia="Arial" w:hAnsi="Arial"/>
          <w:sz w:val="14"/>
          <w:szCs w:val="14"/>
          <w:color w:val="auto"/>
        </w:rPr>
        <w:t>Meeting 50% threshold is required for any payout.</w:t>
      </w:r>
    </w:p>
    <w:p>
      <w:pPr>
        <w:spacing w:after="0" w:line="67" w:lineRule="exact"/>
        <w:rPr>
          <w:rFonts w:ascii="Arial" w:cs="Arial" w:eastAsia="Arial" w:hAnsi="Arial"/>
          <w:sz w:val="11"/>
          <w:szCs w:val="11"/>
          <w:color w:val="auto"/>
        </w:rPr>
      </w:pPr>
    </w:p>
    <w:p>
      <w:pPr>
        <w:ind w:left="220" w:hanging="212"/>
        <w:spacing w:after="0"/>
        <w:tabs>
          <w:tab w:leader="none" w:pos="220" w:val="left"/>
        </w:tabs>
        <w:numPr>
          <w:ilvl w:val="0"/>
          <w:numId w:val="90"/>
        </w:numPr>
        <w:rPr>
          <w:rFonts w:ascii="Arial" w:cs="Arial" w:eastAsia="Arial" w:hAnsi="Arial"/>
          <w:sz w:val="19"/>
          <w:szCs w:val="19"/>
          <w:color w:val="auto"/>
          <w:vertAlign w:val="superscript"/>
        </w:rPr>
      </w:pPr>
      <w:r>
        <w:rPr>
          <w:rFonts w:ascii="Arial" w:cs="Arial" w:eastAsia="Arial" w:hAnsi="Arial"/>
          <w:sz w:val="14"/>
          <w:szCs w:val="14"/>
          <w:color w:val="auto"/>
        </w:rPr>
        <w:t>Please see Appendix A for reconciliation of GAAP to non-GAAP financial measures included in this section.</w:t>
      </w:r>
    </w:p>
    <w:p>
      <w:pPr>
        <w:spacing w:after="0" w:line="66" w:lineRule="exact"/>
        <w:rPr>
          <w:rFonts w:ascii="Arial" w:cs="Arial" w:eastAsia="Arial" w:hAnsi="Arial"/>
          <w:sz w:val="19"/>
          <w:szCs w:val="19"/>
          <w:color w:val="auto"/>
          <w:vertAlign w:val="superscript"/>
        </w:rPr>
      </w:pPr>
    </w:p>
    <w:p>
      <w:pPr>
        <w:ind w:left="200" w:right="60" w:hanging="192"/>
        <w:spacing w:after="0" w:line="303" w:lineRule="auto"/>
        <w:tabs>
          <w:tab w:leader="none" w:pos="214" w:val="left"/>
        </w:tabs>
        <w:numPr>
          <w:ilvl w:val="0"/>
          <w:numId w:val="90"/>
        </w:numPr>
        <w:rPr>
          <w:rFonts w:ascii="Arial" w:cs="Arial" w:eastAsia="Arial" w:hAnsi="Arial"/>
          <w:sz w:val="9"/>
          <w:szCs w:val="9"/>
          <w:color w:val="auto"/>
        </w:rPr>
      </w:pPr>
      <w:r>
        <w:rPr>
          <w:rFonts w:ascii="Arial" w:cs="Arial" w:eastAsia="Arial" w:hAnsi="Arial"/>
          <w:sz w:val="14"/>
          <w:szCs w:val="14"/>
          <w:color w:val="auto"/>
        </w:rPr>
        <w:t>Income at the reportable segment level represents operating income of each reportable segment inclusive of equity income of unconsolidated subsidiaries and exclusive of intangible amortization, certain acquisition related expenses, costs of restructuring and transformation activities, impairments, legal accrual adjustments and settlements and other unusual non-operating items.</w:t>
      </w:r>
    </w:p>
    <w:p>
      <w:pPr>
        <w:spacing w:after="0" w:line="24" w:lineRule="exact"/>
        <w:rPr>
          <w:rFonts w:ascii="Arial" w:cs="Arial" w:eastAsia="Arial" w:hAnsi="Arial"/>
          <w:sz w:val="9"/>
          <w:szCs w:val="9"/>
          <w:color w:val="auto"/>
        </w:rPr>
      </w:pPr>
    </w:p>
    <w:p>
      <w:pPr>
        <w:ind w:left="200" w:right="60"/>
        <w:spacing w:after="0" w:line="325" w:lineRule="auto"/>
        <w:rPr>
          <w:rFonts w:ascii="Arial" w:cs="Arial" w:eastAsia="Arial" w:hAnsi="Arial"/>
          <w:sz w:val="9"/>
          <w:szCs w:val="9"/>
          <w:color w:val="auto"/>
        </w:rPr>
      </w:pPr>
      <w:r>
        <w:rPr>
          <w:rFonts w:ascii="Arial" w:cs="Arial" w:eastAsia="Arial" w:hAnsi="Arial"/>
          <w:sz w:val="14"/>
          <w:szCs w:val="14"/>
          <w:color w:val="auto"/>
        </w:rPr>
        <w:t>Revenue at the reportable segment level represents each reportable segment’s gross sales less applicable deductions for discounts, returns, and price adjustments to arrive at net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85166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32320" cy="1851660"/>
                    </a:xfrm>
                    <a:prstGeom prst="rect">
                      <a:avLst/>
                    </a:prstGeom>
                    <a:noFill/>
                  </pic:spPr>
                </pic:pic>
              </a:graphicData>
            </a:graphic>
          </wp:anchor>
        </w:drawing>
      </w:r>
    </w:p>
    <w:p>
      <w:pPr>
        <w:spacing w:after="0" w:line="363" w:lineRule="exact"/>
        <w:rPr>
          <w:sz w:val="20"/>
          <w:szCs w:val="20"/>
          <w:color w:val="auto"/>
        </w:rPr>
      </w:pPr>
    </w:p>
    <w:p>
      <w:pPr>
        <w:ind w:left="180" w:right="340"/>
        <w:spacing w:after="0" w:line="289" w:lineRule="auto"/>
        <w:rPr>
          <w:sz w:val="20"/>
          <w:szCs w:val="20"/>
          <w:color w:val="auto"/>
        </w:rPr>
      </w:pPr>
      <w:r>
        <w:rPr>
          <w:rFonts w:ascii="Arial" w:cs="Arial" w:eastAsia="Arial" w:hAnsi="Arial"/>
          <w:sz w:val="16"/>
          <w:szCs w:val="16"/>
          <w:color w:val="auto"/>
        </w:rPr>
        <w:t>Consistent with our continuous effort to align pay with performance, and in response to shareholder feedback that compensation should be tied to strategic financial and operating performance goals, Named Executive Officer annual incentive compensation does not include an individual contribution component. As such, annual incentive compensation for Named Executive Officers is based on the achievement of financial performance goals and progress toward our social responsibility strategic targets.</w:t>
      </w:r>
    </w:p>
    <w:p>
      <w:pPr>
        <w:spacing w:after="0" w:line="72" w:lineRule="exact"/>
        <w:rPr>
          <w:sz w:val="20"/>
          <w:szCs w:val="20"/>
          <w:color w:val="auto"/>
        </w:rPr>
      </w:pPr>
    </w:p>
    <w:p>
      <w:pPr>
        <w:ind w:left="180" w:right="320"/>
        <w:spacing w:after="0" w:line="282" w:lineRule="auto"/>
        <w:rPr>
          <w:sz w:val="20"/>
          <w:szCs w:val="20"/>
          <w:color w:val="auto"/>
        </w:rPr>
      </w:pPr>
      <w:r>
        <w:rPr>
          <w:rFonts w:ascii="Arial" w:cs="Arial" w:eastAsia="Arial" w:hAnsi="Arial"/>
          <w:sz w:val="16"/>
          <w:szCs w:val="16"/>
          <w:color w:val="auto"/>
        </w:rPr>
        <w:t>To provide an added performance incentive, the Compensation Committee determined that the amount of incentive compensation related to each performance goal would be scaled according to the amount by which the measure exceeded or fell short of the target. The Compensation Committee reviews information about annual incentive plan design among peer companies and considers the need for the Company to ensure that performance goals are reasonably attainable to provide appropriate incentives for executive officers. As such, payouts for 2025 performance were scaled from 0.50 times at threshold performance to 2.0 times at the maximum, as detailed in the tables above. In line with our long-term goal to consistently generate free cash flow that equals or exceeds 100% of net income, we set our 2025 cash flow target to equal 100% conversion of our plan net income.</w:t>
      </w:r>
    </w:p>
    <w:p>
      <w:pPr>
        <w:sectPr>
          <w:pgSz w:w="11900" w:h="16838" w:orient="portrait"/>
          <w:cols w:equalWidth="0" w:num="1">
            <w:col w:w="11220"/>
          </w:cols>
          <w:pgMar w:left="320" w:top="179"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8260"/>
        <w:spacing w:after="0"/>
        <w:tabs>
          <w:tab w:leader="none" w:pos="10980" w:val="left"/>
        </w:tabs>
        <w:rPr>
          <w:sz w:val="20"/>
          <w:szCs w:val="20"/>
          <w:color w:val="auto"/>
        </w:rPr>
      </w:pPr>
      <w:r>
        <w:rPr>
          <w:rFonts w:ascii="Arial" w:cs="Arial" w:eastAsia="Arial" w:hAnsi="Arial"/>
          <w:sz w:val="16"/>
          <w:szCs w:val="16"/>
          <w:b w:val="1"/>
          <w:bCs w:val="1"/>
          <w:color w:val="auto"/>
        </w:rPr>
        <w:t xml:space="preserve">2026 Proxy Statement </w:t>
      </w:r>
      <w:r>
        <w:rPr>
          <w:rFonts w:ascii="Arial" w:cs="Arial" w:eastAsia="Arial" w:hAnsi="Arial"/>
          <w:sz w:val="16"/>
          <w:szCs w:val="16"/>
          <w:b w:val="1"/>
          <w:bCs w:val="1"/>
          <w:color w:val="0C3471"/>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Pentair</w:t>
      </w:r>
      <w:r>
        <w:rPr>
          <w:sz w:val="20"/>
          <w:szCs w:val="20"/>
          <w:color w:val="auto"/>
        </w:rPr>
        <w:tab/>
      </w:r>
      <w:r>
        <w:rPr>
          <w:rFonts w:ascii="Arial" w:cs="Arial" w:eastAsia="Arial" w:hAnsi="Arial"/>
          <w:sz w:val="16"/>
          <w:szCs w:val="16"/>
          <w:b w:val="1"/>
          <w:bCs w:val="1"/>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9" w:right="359" w:bottom="1440" w:gutter="0" w:footer="0" w:header="0"/>
          <w:type w:val="continuous"/>
        </w:sectPr>
      </w:pPr>
    </w:p>
    <w:bookmarkStart w:id="49" w:name="page50"/>
    <w:bookmarkEnd w:id="49"/>
    <w:p>
      <w:pPr>
        <w:ind w:left="36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216535</wp:posOffset>
            </wp:positionH>
            <wp:positionV relativeFrom="page">
              <wp:posOffset>106045</wp:posOffset>
            </wp:positionV>
            <wp:extent cx="102870" cy="11176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clrChange>
                        <a:clrFrom>
                          <a:srgbClr val="FFFFFF"/>
                        </a:clrFrom>
                        <a:clrTo>
                          <a:srgbClr val="FFFFFF">
                            <a:alpha val="0"/>
                          </a:srgbClr>
                        </a:clrTo>
                      </a:clrChange>
                      <a:extLst>
                        <a:ext uri="{28A0092B-C50C-407E-A947-70E740481C1C}"/>
                      </a:extLst>
                    </a:blip>
                    <a:srcRect/>
                    <a:stretch>
                      <a:fillRect/>
                    </a:stretch>
                  </pic:blipFill>
                  <pic:spPr bwMode="auto">
                    <a:xfrm>
                      <a:off x="0" y="0"/>
                      <a:ext cx="102870" cy="111760"/>
                    </a:xfrm>
                    <a:prstGeom prst="rect">
                      <a:avLst/>
                    </a:prstGeom>
                    <a:noFill/>
                  </pic:spPr>
                </pic:pic>
              </a:graphicData>
            </a:graphic>
          </wp:anchor>
        </w:drawing>
        <w:t>Compensation Discussion and Analysis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How We Evaluate Performance</w:t>
      </w:r>
    </w:p>
    <w:p>
      <w:pPr>
        <w:spacing w:after="0" w:line="128" w:lineRule="exact"/>
        <w:rPr>
          <w:sz w:val="20"/>
          <w:szCs w:val="20"/>
          <w:color w:val="auto"/>
        </w:rPr>
      </w:pPr>
    </w:p>
    <w:p>
      <w:pPr>
        <w:ind w:right="140"/>
        <w:spacing w:after="0" w:line="301" w:lineRule="auto"/>
        <w:rPr>
          <w:sz w:val="20"/>
          <w:szCs w:val="20"/>
          <w:color w:val="auto"/>
        </w:rPr>
      </w:pPr>
      <w:r>
        <w:rPr>
          <w:rFonts w:ascii="Arial" w:cs="Arial" w:eastAsia="Arial" w:hAnsi="Arial"/>
          <w:sz w:val="16"/>
          <w:szCs w:val="16"/>
          <w:color w:val="auto"/>
        </w:rPr>
        <w:t>In February 2026, the Compensation Committee reviewed our actual financial results against the approved performance metrics and certified the resulting payouts. The certified results yielded a payout at 109.9% of target for each Named Executive Officer, except Mr. Pedretti, Mr. Wiggins and Mr. Chiu, who received payouts of 118.3%, 134.4%, and 92.3% of target, respectively.</w:t>
      </w:r>
    </w:p>
    <w:p>
      <w:pPr>
        <w:spacing w:after="0" w:line="50"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With respect to the sustainability modifier, making progress towards our three sustainability strategic targets (water stewardship, greenhouse gas emissions reduction, and product design for sustainability) is a baseline expectation. The modifier is intended to apply only to achievement well above or below overall expected progress. For 2025, the Compensation Committee did not modify incentives up or down based on target progress results, reflecting that while progress was made, it was aligned with our expectations for continued progress against our goals.</w:t>
      </w:r>
    </w:p>
    <w:p>
      <w:pPr>
        <w:spacing w:after="0" w:line="72" w:lineRule="exact"/>
        <w:rPr>
          <w:sz w:val="20"/>
          <w:szCs w:val="20"/>
          <w:color w:val="auto"/>
        </w:rPr>
      </w:pPr>
    </w:p>
    <w:p>
      <w:pPr>
        <w:ind w:right="220"/>
        <w:spacing w:after="0" w:line="304" w:lineRule="auto"/>
        <w:rPr>
          <w:sz w:val="20"/>
          <w:szCs w:val="20"/>
          <w:color w:val="auto"/>
        </w:rPr>
      </w:pPr>
      <w:r>
        <w:rPr>
          <w:rFonts w:ascii="Arial" w:cs="Arial" w:eastAsia="Arial" w:hAnsi="Arial"/>
          <w:sz w:val="16"/>
          <w:szCs w:val="16"/>
          <w:color w:val="auto"/>
        </w:rPr>
        <w:t>The actual incentive compensation of each Named Executive Officer was determined by multiplying the eligible target incentive compensation amount by actual performance against the established targets.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175895</wp:posOffset>
            </wp:positionV>
            <wp:extent cx="282575" cy="28321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282575" cy="283210"/>
                    </a:xfrm>
                    <a:prstGeom prst="rect">
                      <a:avLst/>
                    </a:prstGeom>
                    <a:noFill/>
                  </pic:spPr>
                </pic:pic>
              </a:graphicData>
            </a:graphic>
          </wp:anchor>
        </w:drawing>
      </w:r>
    </w:p>
    <w:p>
      <w:pPr>
        <w:spacing w:after="0" w:line="319" w:lineRule="exact"/>
        <w:rPr>
          <w:sz w:val="20"/>
          <w:szCs w:val="20"/>
          <w:color w:val="auto"/>
        </w:rPr>
      </w:pPr>
    </w:p>
    <w:p>
      <w:pPr>
        <w:ind w:left="720"/>
        <w:spacing w:after="0"/>
        <w:rPr>
          <w:sz w:val="20"/>
          <w:szCs w:val="20"/>
          <w:color w:val="auto"/>
        </w:rPr>
      </w:pPr>
      <w:r>
        <w:rPr>
          <w:rFonts w:ascii="Arial" w:cs="Arial" w:eastAsia="Arial" w:hAnsi="Arial"/>
          <w:sz w:val="29"/>
          <w:szCs w:val="29"/>
          <w:color w:val="64A70B"/>
        </w:rPr>
        <w:t>2025 Long-Term Incentive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02945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029450" cy="8255"/>
                    </a:xfrm>
                    <a:prstGeom prst="rect">
                      <a:avLst/>
                    </a:prstGeom>
                    <a:noFill/>
                  </pic:spPr>
                </pic:pic>
              </a:graphicData>
            </a:graphic>
          </wp:anchor>
        </w:drawing>
      </w:r>
    </w:p>
    <w:p>
      <w:pPr>
        <w:spacing w:after="0" w:line="380" w:lineRule="exact"/>
        <w:rPr>
          <w:sz w:val="20"/>
          <w:szCs w:val="20"/>
          <w:color w:val="auto"/>
        </w:rPr>
      </w:pPr>
    </w:p>
    <w:p>
      <w:pPr>
        <w:ind w:right="400"/>
        <w:spacing w:after="0" w:line="304" w:lineRule="auto"/>
        <w:rPr>
          <w:sz w:val="20"/>
          <w:szCs w:val="20"/>
          <w:color w:val="auto"/>
        </w:rPr>
      </w:pPr>
      <w:r>
        <w:rPr>
          <w:rFonts w:ascii="Arial" w:cs="Arial" w:eastAsia="Arial" w:hAnsi="Arial"/>
          <w:sz w:val="16"/>
          <w:szCs w:val="16"/>
          <w:color w:val="auto"/>
        </w:rPr>
        <w:t>The Compensation Committee emphasizes executive compensation that is tied to building and sustaining our company’s value through ordinary share performance over time.</w:t>
      </w:r>
    </w:p>
    <w:p>
      <w:pPr>
        <w:spacing w:after="0" w:line="199"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How We Set Award Values</w:t>
      </w:r>
    </w:p>
    <w:p>
      <w:pPr>
        <w:spacing w:after="0" w:line="128" w:lineRule="exact"/>
        <w:rPr>
          <w:sz w:val="20"/>
          <w:szCs w:val="20"/>
          <w:color w:val="auto"/>
        </w:rPr>
      </w:pPr>
    </w:p>
    <w:p>
      <w:pPr>
        <w:spacing w:after="0" w:line="282" w:lineRule="auto"/>
        <w:rPr>
          <w:sz w:val="20"/>
          <w:szCs w:val="20"/>
          <w:color w:val="auto"/>
        </w:rPr>
      </w:pPr>
      <w:r>
        <w:rPr>
          <w:rFonts w:ascii="Arial" w:cs="Arial" w:eastAsia="Arial" w:hAnsi="Arial"/>
          <w:sz w:val="16"/>
          <w:szCs w:val="16"/>
          <w:color w:val="auto"/>
        </w:rPr>
        <w:t>The Compensation Committee establishes long-term incentive compensation targets taking into consideration both published survey data and data from our Comparator Group. The Compensation Committee does not set award levels based on a particular peer group benchmark or any single factor. The Compensation Committee determines appropriate performance incentives based on a wide range of factors, such as competitive conditions for the Named Executive Officer’s position within the Comparator Group and in the broader employment market, as well as the Named Executive Officer’s level of responsibility, experience, and individual performance.</w:t>
      </w:r>
    </w:p>
    <w:p>
      <w:pPr>
        <w:spacing w:after="0" w:line="80" w:lineRule="exact"/>
        <w:rPr>
          <w:sz w:val="20"/>
          <w:szCs w:val="20"/>
          <w:color w:val="auto"/>
        </w:rPr>
      </w:pPr>
    </w:p>
    <w:p>
      <w:pPr>
        <w:spacing w:after="0" w:line="292" w:lineRule="auto"/>
        <w:rPr>
          <w:sz w:val="20"/>
          <w:szCs w:val="20"/>
          <w:color w:val="auto"/>
        </w:rPr>
      </w:pPr>
      <w:r>
        <w:rPr>
          <w:rFonts w:ascii="Arial" w:cs="Arial" w:eastAsia="Arial" w:hAnsi="Arial"/>
          <w:sz w:val="16"/>
          <w:szCs w:val="16"/>
          <w:color w:val="auto"/>
        </w:rPr>
        <w:t>As it does each year, in determining 2025 long-term incentive compensation, the Compensation Committee referenced benchmark data (including compensation surveys, Comparator Group information, and other data provided by Aon Consulting) in setting target award levels for each Named Executive Officer and for each position or grade level.</w:t>
      </w:r>
    </w:p>
    <w:p>
      <w:pPr>
        <w:spacing w:after="0" w:line="71" w:lineRule="exact"/>
        <w:rPr>
          <w:sz w:val="20"/>
          <w:szCs w:val="20"/>
          <w:color w:val="auto"/>
        </w:rPr>
      </w:pPr>
    </w:p>
    <w:p>
      <w:pPr>
        <w:ind w:right="140"/>
        <w:spacing w:after="0" w:line="304" w:lineRule="auto"/>
        <w:rPr>
          <w:sz w:val="20"/>
          <w:szCs w:val="20"/>
          <w:color w:val="auto"/>
        </w:rPr>
      </w:pPr>
      <w:r>
        <w:rPr>
          <w:rFonts w:ascii="Arial" w:cs="Arial" w:eastAsia="Arial" w:hAnsi="Arial"/>
          <w:sz w:val="16"/>
          <w:szCs w:val="16"/>
          <w:color w:val="auto"/>
        </w:rPr>
        <w:t>As in prior years, the Compensation Committee continued to balance our long-term incentive compensation program components in a manner focused on shareholder wealth creation, the creation of a sustainable business, and the commitment of leadership to the long-term success of our company.</w:t>
      </w:r>
    </w:p>
    <w:p>
      <w:pPr>
        <w:spacing w:after="0" w:line="60" w:lineRule="exact"/>
        <w:rPr>
          <w:sz w:val="20"/>
          <w:szCs w:val="20"/>
          <w:color w:val="auto"/>
        </w:rPr>
      </w:pPr>
    </w:p>
    <w:p>
      <w:pPr>
        <w:ind w:right="440"/>
        <w:spacing w:after="0" w:line="292" w:lineRule="auto"/>
        <w:rPr>
          <w:sz w:val="20"/>
          <w:szCs w:val="20"/>
          <w:color w:val="auto"/>
        </w:rPr>
      </w:pPr>
      <w:r>
        <w:rPr>
          <w:rFonts w:ascii="Arial" w:cs="Arial" w:eastAsia="Arial" w:hAnsi="Arial"/>
          <w:sz w:val="16"/>
          <w:szCs w:val="16"/>
          <w:color w:val="auto"/>
        </w:rPr>
        <w:t>For 2025, the Compensation Committee modified the mix of long-term incentive awards for our CEO to emphasize performance share units and stock options, while maintaining the mix of performance share units, stock options and restricted stock units for our other Named Executive Officers. The components had the features and weights described below.</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600" w:hanging="574"/>
        <w:spacing w:after="0"/>
        <w:tabs>
          <w:tab w:leader="none" w:pos="600" w:val="left"/>
        </w:tabs>
        <w:numPr>
          <w:ilvl w:val="0"/>
          <w:numId w:val="91"/>
        </w:numPr>
        <w:rPr>
          <w:rFonts w:ascii="Arial" w:cs="Arial" w:eastAsia="Arial" w:hAnsi="Arial"/>
          <w:sz w:val="16"/>
          <w:szCs w:val="16"/>
          <w:b w:val="1"/>
          <w:bCs w:val="1"/>
          <w:color w:val="auto"/>
        </w:rPr>
      </w:pPr>
      <w:r>
        <w:rPr>
          <w:rFonts w:ascii="Arial" w:cs="Arial" w:eastAsia="Arial" w:hAnsi="Arial"/>
          <w:sz w:val="16"/>
          <w:szCs w:val="16"/>
          <w:color w:val="auto"/>
        </w:rPr>
        <w:t xml:space="preserve">Pentair </w:t>
      </w:r>
      <w:r>
        <w:rPr>
          <w:rFonts w:ascii="Arial" w:cs="Arial" w:eastAsia="Arial" w:hAnsi="Arial"/>
          <w:sz w:val="16"/>
          <w:szCs w:val="16"/>
          <w:b w:val="1"/>
          <w:bCs w:val="1"/>
          <w:color w:val="0C3471"/>
        </w:rPr>
        <w:t>|</w:t>
      </w:r>
      <w:r>
        <w:rPr>
          <w:rFonts w:ascii="Arial" w:cs="Arial" w:eastAsia="Arial" w:hAnsi="Arial"/>
          <w:sz w:val="16"/>
          <w:szCs w:val="16"/>
          <w:color w:val="auto"/>
        </w:rPr>
        <w:t xml:space="preserve"> </w:t>
      </w:r>
      <w:r>
        <w:rPr>
          <w:rFonts w:ascii="Arial" w:cs="Arial" w:eastAsia="Arial" w:hAnsi="Arial"/>
          <w:sz w:val="16"/>
          <w:szCs w:val="16"/>
          <w:b w:val="1"/>
          <w:bCs w:val="1"/>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213995</wp:posOffset>
            </wp:positionV>
            <wp:extent cx="7157720"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79" w:right="419" w:bottom="1440" w:gutter="0" w:footer="0" w:header="0"/>
        </w:sectPr>
      </w:pPr>
    </w:p>
    <w:bookmarkStart w:id="50" w:name="page51"/>
    <w:bookmarkEnd w:id="50"/>
    <w:p>
      <w:pPr>
        <w:ind w:left="8140"/>
        <w:spacing w:after="0"/>
        <w:rPr>
          <w:sz w:val="20"/>
          <w:szCs w:val="20"/>
          <w:color w:val="auto"/>
        </w:rPr>
      </w:pPr>
      <w:r>
        <w:rPr>
          <w:rFonts w:ascii="Arial" w:cs="Arial" w:eastAsia="Arial" w:hAnsi="Arial"/>
          <w:sz w:val="16"/>
          <w:szCs w:val="16"/>
          <w:b w:val="1"/>
          <w:bCs w:val="1"/>
          <w:color w:val="auto"/>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4659630</wp:posOffset>
            </wp:positionH>
            <wp:positionV relativeFrom="paragraph">
              <wp:posOffset>-107315</wp:posOffset>
            </wp:positionV>
            <wp:extent cx="102870" cy="11176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102870" cy="111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2025 Equity Mix</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500" w:type="dxa"/>
            <w:vAlign w:val="bottom"/>
          </w:tcPr>
          <w:p>
            <w:pPr>
              <w:spacing w:after="0"/>
              <w:rPr>
                <w:sz w:val="15"/>
                <w:szCs w:val="15"/>
                <w:color w:val="auto"/>
              </w:rPr>
            </w:pPr>
          </w:p>
        </w:tc>
        <w:tc>
          <w:tcPr>
            <w:tcW w:w="1760" w:type="dxa"/>
            <w:vAlign w:val="bottom"/>
          </w:tcPr>
          <w:p>
            <w:pPr>
              <w:jc w:val="center"/>
              <w:spacing w:after="0"/>
              <w:rPr>
                <w:sz w:val="20"/>
                <w:szCs w:val="20"/>
                <w:color w:val="auto"/>
              </w:rPr>
            </w:pPr>
            <w:r>
              <w:rPr>
                <w:rFonts w:ascii="Arial" w:cs="Arial" w:eastAsia="Arial" w:hAnsi="Arial"/>
                <w:sz w:val="14"/>
                <w:szCs w:val="14"/>
                <w:b w:val="1"/>
                <w:bCs w:val="1"/>
                <w:color w:val="auto"/>
              </w:rPr>
              <w:t>2025 Proportion</w:t>
            </w: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rPr>
              <w:t>2025 Proportion</w:t>
            </w:r>
          </w:p>
        </w:tc>
        <w:tc>
          <w:tcPr>
            <w:tcW w:w="5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500" w:type="dxa"/>
            <w:vAlign w:val="bottom"/>
            <w:tcBorders>
              <w:bottom w:val="single" w:sz="8" w:color="0C3471"/>
            </w:tcBorders>
          </w:tcPr>
          <w:p>
            <w:pPr>
              <w:ind w:left="20"/>
              <w:spacing w:after="0"/>
              <w:rPr>
                <w:sz w:val="20"/>
                <w:szCs w:val="20"/>
                <w:color w:val="auto"/>
              </w:rPr>
            </w:pPr>
            <w:r>
              <w:rPr>
                <w:rFonts w:ascii="Arial" w:cs="Arial" w:eastAsia="Arial" w:hAnsi="Arial"/>
                <w:sz w:val="14"/>
                <w:szCs w:val="14"/>
                <w:b w:val="1"/>
                <w:bCs w:val="1"/>
                <w:color w:val="auto"/>
              </w:rPr>
              <w:t>Component</w:t>
            </w:r>
          </w:p>
        </w:tc>
        <w:tc>
          <w:tcPr>
            <w:tcW w:w="1760" w:type="dxa"/>
            <w:vAlign w:val="bottom"/>
            <w:tcBorders>
              <w:bottom w:val="single" w:sz="8" w:color="0C3471"/>
            </w:tcBorders>
          </w:tcPr>
          <w:p>
            <w:pPr>
              <w:jc w:val="center"/>
              <w:spacing w:after="0"/>
              <w:rPr>
                <w:sz w:val="20"/>
                <w:szCs w:val="20"/>
                <w:color w:val="auto"/>
              </w:rPr>
            </w:pPr>
            <w:r>
              <w:rPr>
                <w:rFonts w:ascii="Arial" w:cs="Arial" w:eastAsia="Arial" w:hAnsi="Arial"/>
                <w:sz w:val="14"/>
                <w:szCs w:val="14"/>
                <w:b w:val="1"/>
                <w:bCs w:val="1"/>
                <w:color w:val="auto"/>
              </w:rPr>
              <w:t>CEO</w:t>
            </w:r>
          </w:p>
        </w:tc>
        <w:tc>
          <w:tcPr>
            <w:tcW w:w="1740" w:type="dxa"/>
            <w:vAlign w:val="bottom"/>
            <w:tcBorders>
              <w:bottom w:val="single" w:sz="8" w:color="0C3471"/>
            </w:tcBorders>
          </w:tcPr>
          <w:p>
            <w:pPr>
              <w:jc w:val="center"/>
              <w:spacing w:after="0"/>
              <w:rPr>
                <w:sz w:val="20"/>
                <w:szCs w:val="20"/>
                <w:color w:val="auto"/>
              </w:rPr>
            </w:pPr>
            <w:r>
              <w:rPr>
                <w:rFonts w:ascii="Arial" w:cs="Arial" w:eastAsia="Arial" w:hAnsi="Arial"/>
                <w:sz w:val="14"/>
                <w:szCs w:val="14"/>
                <w:b w:val="1"/>
                <w:bCs w:val="1"/>
                <w:color w:val="auto"/>
              </w:rPr>
              <w:t>Other NEOs</w:t>
            </w:r>
          </w:p>
        </w:tc>
        <w:tc>
          <w:tcPr>
            <w:tcW w:w="5240" w:type="dxa"/>
            <w:vAlign w:val="bottom"/>
            <w:tcBorders>
              <w:bottom w:val="single" w:sz="8" w:color="0C3471"/>
            </w:tcBorders>
          </w:tcPr>
          <w:p>
            <w:pPr>
              <w:ind w:left="120"/>
              <w:spacing w:after="0"/>
              <w:rPr>
                <w:sz w:val="20"/>
                <w:szCs w:val="20"/>
                <w:color w:val="auto"/>
              </w:rPr>
            </w:pPr>
            <w:r>
              <w:rPr>
                <w:rFonts w:ascii="Arial" w:cs="Arial" w:eastAsia="Arial" w:hAnsi="Arial"/>
                <w:sz w:val="14"/>
                <w:szCs w:val="14"/>
                <w:b w:val="1"/>
                <w:bCs w:val="1"/>
                <w:color w:val="auto"/>
              </w:rPr>
              <w:t>Features</w:t>
            </w:r>
          </w:p>
        </w:tc>
        <w:tc>
          <w:tcPr>
            <w:tcW w:w="0" w:type="dxa"/>
            <w:vAlign w:val="bottom"/>
          </w:tcPr>
          <w:p>
            <w:pPr>
              <w:spacing w:after="0"/>
              <w:rPr>
                <w:sz w:val="1"/>
                <w:szCs w:val="1"/>
                <w:color w:val="auto"/>
              </w:rPr>
            </w:pPr>
          </w:p>
        </w:tc>
      </w:tr>
      <w:tr>
        <w:trPr>
          <w:trHeight w:val="81"/>
        </w:trPr>
        <w:tc>
          <w:tcPr>
            <w:tcW w:w="250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Performance Share Units</w:t>
            </w:r>
          </w:p>
        </w:tc>
        <w:tc>
          <w:tcPr>
            <w:tcW w:w="1760" w:type="dxa"/>
            <w:vAlign w:val="bottom"/>
          </w:tcPr>
          <w:p>
            <w:pPr>
              <w:spacing w:after="0"/>
              <w:rPr>
                <w:sz w:val="7"/>
                <w:szCs w:val="7"/>
                <w:color w:val="auto"/>
              </w:rPr>
            </w:pPr>
          </w:p>
        </w:tc>
        <w:tc>
          <w:tcPr>
            <w:tcW w:w="1740" w:type="dxa"/>
            <w:vAlign w:val="bottom"/>
          </w:tcPr>
          <w:p>
            <w:pPr>
              <w:spacing w:after="0"/>
              <w:rPr>
                <w:sz w:val="7"/>
                <w:szCs w:val="7"/>
                <w:color w:val="auto"/>
              </w:rPr>
            </w:pPr>
          </w:p>
        </w:tc>
        <w:tc>
          <w:tcPr>
            <w:tcW w:w="5240" w:type="dxa"/>
            <w:vAlign w:val="bottom"/>
            <w:vMerge w:val="restart"/>
          </w:tcPr>
          <w:p>
            <w:pPr>
              <w:ind w:left="140"/>
              <w:spacing w:after="0"/>
              <w:rPr>
                <w:sz w:val="20"/>
                <w:szCs w:val="20"/>
                <w:color w:val="auto"/>
              </w:rPr>
            </w:pPr>
            <w:r>
              <w:rPr>
                <w:rFonts w:ascii="Arial" w:cs="Arial" w:eastAsia="Arial" w:hAnsi="Arial"/>
                <w:sz w:val="16"/>
                <w:szCs w:val="16"/>
                <w:color w:val="auto"/>
              </w:rPr>
              <w:t>Each performance share unit represents the right to receive one</w:t>
            </w:r>
          </w:p>
        </w:tc>
        <w:tc>
          <w:tcPr>
            <w:tcW w:w="0" w:type="dxa"/>
            <w:vAlign w:val="bottom"/>
          </w:tcPr>
          <w:p>
            <w:pPr>
              <w:spacing w:after="0"/>
              <w:rPr>
                <w:sz w:val="1"/>
                <w:szCs w:val="1"/>
                <w:color w:val="auto"/>
              </w:rPr>
            </w:pPr>
          </w:p>
        </w:tc>
      </w:tr>
      <w:tr>
        <w:trPr>
          <w:trHeight w:val="229"/>
        </w:trPr>
        <w:tc>
          <w:tcPr>
            <w:tcW w:w="2500" w:type="dxa"/>
            <w:vAlign w:val="bottom"/>
            <w:vMerge w:val="continue"/>
          </w:tcPr>
          <w:p>
            <w:pPr>
              <w:spacing w:after="0"/>
              <w:rPr>
                <w:sz w:val="19"/>
                <w:szCs w:val="19"/>
                <w:color w:val="auto"/>
              </w:rPr>
            </w:pPr>
          </w:p>
        </w:tc>
        <w:tc>
          <w:tcPr>
            <w:tcW w:w="1760" w:type="dxa"/>
            <w:vAlign w:val="bottom"/>
            <w:tcBorders>
              <w:left w:val="single" w:sz="8" w:color="BCBEC0"/>
              <w:right w:val="single" w:sz="8" w:color="BCBEC0"/>
            </w:tcBorders>
          </w:tcPr>
          <w:p>
            <w:pPr>
              <w:spacing w:after="0"/>
              <w:rPr>
                <w:sz w:val="19"/>
                <w:szCs w:val="19"/>
                <w:color w:val="auto"/>
              </w:rPr>
            </w:pPr>
          </w:p>
        </w:tc>
        <w:tc>
          <w:tcPr>
            <w:tcW w:w="1740" w:type="dxa"/>
            <w:vAlign w:val="bottom"/>
            <w:tcBorders>
              <w:right w:val="single" w:sz="8" w:color="BCBEC0"/>
            </w:tcBorders>
          </w:tcPr>
          <w:p>
            <w:pPr>
              <w:spacing w:after="0"/>
              <w:rPr>
                <w:sz w:val="19"/>
                <w:szCs w:val="19"/>
                <w:color w:val="auto"/>
              </w:rPr>
            </w:pPr>
          </w:p>
        </w:tc>
        <w:tc>
          <w:tcPr>
            <w:tcW w:w="52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500" w:type="dxa"/>
            <w:vAlign w:val="bottom"/>
          </w:tcPr>
          <w:p>
            <w:pPr>
              <w:spacing w:after="0"/>
              <w:rPr>
                <w:sz w:val="18"/>
                <w:szCs w:val="18"/>
                <w:color w:val="auto"/>
              </w:rPr>
            </w:pPr>
          </w:p>
        </w:tc>
        <w:tc>
          <w:tcPr>
            <w:tcW w:w="1760" w:type="dxa"/>
            <w:vAlign w:val="bottom"/>
            <w:tcBorders>
              <w:left w:val="single" w:sz="8" w:color="BCBEC0"/>
              <w:right w:val="single" w:sz="8" w:color="BCBEC0"/>
            </w:tcBorders>
          </w:tcPr>
          <w:p>
            <w:pPr>
              <w:spacing w:after="0"/>
              <w:rPr>
                <w:sz w:val="18"/>
                <w:szCs w:val="18"/>
                <w:color w:val="auto"/>
              </w:rPr>
            </w:pPr>
          </w:p>
        </w:tc>
        <w:tc>
          <w:tcPr>
            <w:tcW w:w="1740" w:type="dxa"/>
            <w:vAlign w:val="bottom"/>
            <w:tcBorders>
              <w:right w:val="single" w:sz="8" w:color="BCBEC0"/>
            </w:tcBorders>
          </w:tcPr>
          <w:p>
            <w:pPr>
              <w:spacing w:after="0"/>
              <w:rPr>
                <w:sz w:val="18"/>
                <w:szCs w:val="18"/>
                <w:color w:val="auto"/>
              </w:rPr>
            </w:pPr>
          </w:p>
        </w:tc>
        <w:tc>
          <w:tcPr>
            <w:tcW w:w="5240" w:type="dxa"/>
            <w:vAlign w:val="bottom"/>
          </w:tcPr>
          <w:p>
            <w:pPr>
              <w:ind w:left="140"/>
              <w:spacing w:after="0"/>
              <w:rPr>
                <w:sz w:val="20"/>
                <w:szCs w:val="20"/>
                <w:color w:val="auto"/>
              </w:rPr>
            </w:pPr>
            <w:r>
              <w:rPr>
                <w:rFonts w:ascii="Arial" w:cs="Arial" w:eastAsia="Arial" w:hAnsi="Arial"/>
                <w:sz w:val="16"/>
                <w:szCs w:val="16"/>
                <w:color w:val="auto"/>
              </w:rPr>
              <w:t>ordinary share at the end of a three-year performance period if</w:t>
            </w:r>
          </w:p>
        </w:tc>
        <w:tc>
          <w:tcPr>
            <w:tcW w:w="0" w:type="dxa"/>
            <w:vAlign w:val="bottom"/>
          </w:tcPr>
          <w:p>
            <w:pPr>
              <w:spacing w:after="0"/>
              <w:rPr>
                <w:sz w:val="1"/>
                <w:szCs w:val="1"/>
                <w:color w:val="auto"/>
              </w:rPr>
            </w:pPr>
          </w:p>
        </w:tc>
      </w:tr>
      <w:tr>
        <w:trPr>
          <w:trHeight w:val="204"/>
        </w:trPr>
        <w:tc>
          <w:tcPr>
            <w:tcW w:w="2500" w:type="dxa"/>
            <w:vAlign w:val="bottom"/>
          </w:tcPr>
          <w:p>
            <w:pPr>
              <w:spacing w:after="0"/>
              <w:rPr>
                <w:sz w:val="17"/>
                <w:szCs w:val="17"/>
                <w:color w:val="auto"/>
              </w:rPr>
            </w:pPr>
          </w:p>
        </w:tc>
        <w:tc>
          <w:tcPr>
            <w:tcW w:w="1760" w:type="dxa"/>
            <w:vAlign w:val="bottom"/>
            <w:tcBorders>
              <w:left w:val="single" w:sz="8" w:color="BCBEC0"/>
              <w:right w:val="single" w:sz="8" w:color="BCBEC0"/>
            </w:tcBorders>
          </w:tcPr>
          <w:p>
            <w:pPr>
              <w:spacing w:after="0"/>
              <w:rPr>
                <w:sz w:val="17"/>
                <w:szCs w:val="17"/>
                <w:color w:val="auto"/>
              </w:rPr>
            </w:pPr>
          </w:p>
        </w:tc>
        <w:tc>
          <w:tcPr>
            <w:tcW w:w="1740" w:type="dxa"/>
            <w:vAlign w:val="bottom"/>
            <w:tcBorders>
              <w:right w:val="single" w:sz="8" w:color="BCBEC0"/>
            </w:tcBorders>
          </w:tcPr>
          <w:p>
            <w:pPr>
              <w:spacing w:after="0"/>
              <w:rPr>
                <w:sz w:val="17"/>
                <w:szCs w:val="17"/>
                <w:color w:val="auto"/>
              </w:rPr>
            </w:pPr>
          </w:p>
        </w:tc>
        <w:tc>
          <w:tcPr>
            <w:tcW w:w="5240" w:type="dxa"/>
            <w:vAlign w:val="bottom"/>
          </w:tcPr>
          <w:p>
            <w:pPr>
              <w:ind w:left="140"/>
              <w:spacing w:after="0"/>
              <w:rPr>
                <w:sz w:val="20"/>
                <w:szCs w:val="20"/>
                <w:color w:val="auto"/>
              </w:rPr>
            </w:pPr>
            <w:r>
              <w:rPr>
                <w:rFonts w:ascii="Arial" w:cs="Arial" w:eastAsia="Arial" w:hAnsi="Arial"/>
                <w:sz w:val="16"/>
                <w:szCs w:val="16"/>
                <w:color w:val="auto"/>
              </w:rPr>
              <w:t>specified performance goals are achieved. For the performance share</w:t>
            </w:r>
          </w:p>
        </w:tc>
        <w:tc>
          <w:tcPr>
            <w:tcW w:w="0" w:type="dxa"/>
            <w:vAlign w:val="bottom"/>
          </w:tcPr>
          <w:p>
            <w:pPr>
              <w:spacing w:after="0"/>
              <w:rPr>
                <w:sz w:val="1"/>
                <w:szCs w:val="1"/>
                <w:color w:val="auto"/>
              </w:rPr>
            </w:pPr>
          </w:p>
        </w:tc>
      </w:tr>
      <w:tr>
        <w:trPr>
          <w:trHeight w:val="215"/>
        </w:trPr>
        <w:tc>
          <w:tcPr>
            <w:tcW w:w="2500" w:type="dxa"/>
            <w:vAlign w:val="bottom"/>
          </w:tcPr>
          <w:p>
            <w:pPr>
              <w:spacing w:after="0"/>
              <w:rPr>
                <w:sz w:val="18"/>
                <w:szCs w:val="18"/>
                <w:color w:val="auto"/>
              </w:rPr>
            </w:pPr>
          </w:p>
        </w:tc>
        <w:tc>
          <w:tcPr>
            <w:tcW w:w="1760" w:type="dxa"/>
            <w:vAlign w:val="bottom"/>
            <w:tcBorders>
              <w:left w:val="single" w:sz="8" w:color="BCBEC0"/>
              <w:right w:val="single" w:sz="8" w:color="BCBEC0"/>
            </w:tcBorders>
          </w:tcPr>
          <w:p>
            <w:pPr>
              <w:spacing w:after="0"/>
              <w:rPr>
                <w:sz w:val="18"/>
                <w:szCs w:val="18"/>
                <w:color w:val="auto"/>
              </w:rPr>
            </w:pPr>
          </w:p>
        </w:tc>
        <w:tc>
          <w:tcPr>
            <w:tcW w:w="1740" w:type="dxa"/>
            <w:vAlign w:val="bottom"/>
            <w:tcBorders>
              <w:right w:val="single" w:sz="8" w:color="BCBEC0"/>
            </w:tcBorders>
          </w:tcPr>
          <w:p>
            <w:pPr>
              <w:spacing w:after="0"/>
              <w:rPr>
                <w:sz w:val="18"/>
                <w:szCs w:val="18"/>
                <w:color w:val="auto"/>
              </w:rPr>
            </w:pPr>
          </w:p>
        </w:tc>
        <w:tc>
          <w:tcPr>
            <w:tcW w:w="5240" w:type="dxa"/>
            <w:vAlign w:val="bottom"/>
          </w:tcPr>
          <w:p>
            <w:pPr>
              <w:ind w:left="140"/>
              <w:spacing w:after="0"/>
              <w:rPr>
                <w:sz w:val="20"/>
                <w:szCs w:val="20"/>
                <w:color w:val="auto"/>
              </w:rPr>
            </w:pPr>
            <w:r>
              <w:rPr>
                <w:rFonts w:ascii="Arial" w:cs="Arial" w:eastAsia="Arial" w:hAnsi="Arial"/>
                <w:sz w:val="16"/>
                <w:szCs w:val="16"/>
                <w:color w:val="auto"/>
              </w:rPr>
              <w:t>units granted in 2025 for the performance period 2025-2027, the</w:t>
            </w:r>
          </w:p>
        </w:tc>
        <w:tc>
          <w:tcPr>
            <w:tcW w:w="0" w:type="dxa"/>
            <w:vAlign w:val="bottom"/>
          </w:tcPr>
          <w:p>
            <w:pPr>
              <w:spacing w:after="0"/>
              <w:rPr>
                <w:sz w:val="1"/>
                <w:szCs w:val="1"/>
                <w:color w:val="auto"/>
              </w:rPr>
            </w:pPr>
          </w:p>
        </w:tc>
      </w:tr>
      <w:tr>
        <w:trPr>
          <w:trHeight w:val="204"/>
        </w:trPr>
        <w:tc>
          <w:tcPr>
            <w:tcW w:w="2500" w:type="dxa"/>
            <w:vAlign w:val="bottom"/>
          </w:tcPr>
          <w:p>
            <w:pPr>
              <w:spacing w:after="0"/>
              <w:rPr>
                <w:sz w:val="17"/>
                <w:szCs w:val="17"/>
                <w:color w:val="auto"/>
              </w:rPr>
            </w:pPr>
          </w:p>
        </w:tc>
        <w:tc>
          <w:tcPr>
            <w:tcW w:w="1760" w:type="dxa"/>
            <w:vAlign w:val="bottom"/>
            <w:tcBorders>
              <w:left w:val="single" w:sz="8" w:color="BCBEC0"/>
              <w:right w:val="single" w:sz="8" w:color="BCBEC0"/>
            </w:tcBorders>
          </w:tcPr>
          <w:p>
            <w:pPr>
              <w:spacing w:after="0"/>
              <w:rPr>
                <w:sz w:val="17"/>
                <w:szCs w:val="17"/>
                <w:color w:val="auto"/>
              </w:rPr>
            </w:pPr>
          </w:p>
        </w:tc>
        <w:tc>
          <w:tcPr>
            <w:tcW w:w="1740" w:type="dxa"/>
            <w:vAlign w:val="bottom"/>
            <w:tcBorders>
              <w:right w:val="single" w:sz="8" w:color="BCBEC0"/>
            </w:tcBorders>
          </w:tcPr>
          <w:p>
            <w:pPr>
              <w:spacing w:after="0"/>
              <w:rPr>
                <w:sz w:val="17"/>
                <w:szCs w:val="17"/>
                <w:color w:val="auto"/>
              </w:rPr>
            </w:pPr>
          </w:p>
        </w:tc>
        <w:tc>
          <w:tcPr>
            <w:tcW w:w="5240" w:type="dxa"/>
            <w:vAlign w:val="bottom"/>
          </w:tcPr>
          <w:p>
            <w:pPr>
              <w:ind w:left="140"/>
              <w:spacing w:after="0"/>
              <w:rPr>
                <w:sz w:val="20"/>
                <w:szCs w:val="20"/>
                <w:color w:val="auto"/>
              </w:rPr>
            </w:pPr>
            <w:r>
              <w:rPr>
                <w:rFonts w:ascii="Arial" w:cs="Arial" w:eastAsia="Arial" w:hAnsi="Arial"/>
                <w:sz w:val="16"/>
                <w:szCs w:val="16"/>
                <w:color w:val="auto"/>
              </w:rPr>
              <w:t>Compensation Committee retained Adjusted EPS and ROIC as the</w:t>
            </w:r>
          </w:p>
        </w:tc>
        <w:tc>
          <w:tcPr>
            <w:tcW w:w="0" w:type="dxa"/>
            <w:vAlign w:val="bottom"/>
          </w:tcPr>
          <w:p>
            <w:pPr>
              <w:spacing w:after="0"/>
              <w:rPr>
                <w:sz w:val="1"/>
                <w:szCs w:val="1"/>
                <w:color w:val="auto"/>
              </w:rPr>
            </w:pPr>
          </w:p>
        </w:tc>
      </w:tr>
      <w:tr>
        <w:trPr>
          <w:trHeight w:val="257"/>
        </w:trPr>
        <w:tc>
          <w:tcPr>
            <w:tcW w:w="2500" w:type="dxa"/>
            <w:vAlign w:val="bottom"/>
          </w:tcPr>
          <w:p>
            <w:pPr>
              <w:spacing w:after="0"/>
              <w:rPr>
                <w:sz w:val="22"/>
                <w:szCs w:val="22"/>
                <w:color w:val="auto"/>
              </w:rPr>
            </w:pPr>
          </w:p>
        </w:tc>
        <w:tc>
          <w:tcPr>
            <w:tcW w:w="1760" w:type="dxa"/>
            <w:vAlign w:val="bottom"/>
            <w:tcBorders>
              <w:left w:val="single" w:sz="8" w:color="BCBEC0"/>
              <w:right w:val="single" w:sz="8" w:color="BCBEC0"/>
            </w:tcBorders>
          </w:tcPr>
          <w:p>
            <w:pPr>
              <w:spacing w:after="0"/>
              <w:rPr>
                <w:sz w:val="22"/>
                <w:szCs w:val="22"/>
                <w:color w:val="auto"/>
              </w:rPr>
            </w:pPr>
          </w:p>
        </w:tc>
        <w:tc>
          <w:tcPr>
            <w:tcW w:w="1740" w:type="dxa"/>
            <w:vAlign w:val="bottom"/>
            <w:tcBorders>
              <w:right w:val="single" w:sz="8" w:color="BCBEC0"/>
            </w:tcBorders>
          </w:tcPr>
          <w:p>
            <w:pPr>
              <w:spacing w:after="0"/>
              <w:rPr>
                <w:sz w:val="22"/>
                <w:szCs w:val="22"/>
                <w:color w:val="auto"/>
              </w:rPr>
            </w:pPr>
          </w:p>
        </w:tc>
        <w:tc>
          <w:tcPr>
            <w:tcW w:w="5240" w:type="dxa"/>
            <w:vAlign w:val="bottom"/>
          </w:tcPr>
          <w:p>
            <w:pPr>
              <w:ind w:left="140"/>
              <w:spacing w:after="0"/>
              <w:rPr>
                <w:sz w:val="20"/>
                <w:szCs w:val="20"/>
                <w:color w:val="auto"/>
              </w:rPr>
            </w:pPr>
            <w:r>
              <w:rPr>
                <w:rFonts w:ascii="Arial" w:cs="Arial" w:eastAsia="Arial" w:hAnsi="Arial"/>
                <w:sz w:val="16"/>
                <w:szCs w:val="16"/>
                <w:color w:val="auto"/>
              </w:rPr>
              <w:t>performance goals.</w:t>
            </w:r>
          </w:p>
        </w:tc>
        <w:tc>
          <w:tcPr>
            <w:tcW w:w="0" w:type="dxa"/>
            <w:vAlign w:val="bottom"/>
          </w:tcPr>
          <w:p>
            <w:pPr>
              <w:spacing w:after="0"/>
              <w:rPr>
                <w:sz w:val="1"/>
                <w:szCs w:val="1"/>
                <w:color w:val="auto"/>
              </w:rPr>
            </w:pPr>
          </w:p>
        </w:tc>
      </w:tr>
      <w:tr>
        <w:trPr>
          <w:trHeight w:val="94"/>
        </w:trPr>
        <w:tc>
          <w:tcPr>
            <w:tcW w:w="2500" w:type="dxa"/>
            <w:vAlign w:val="bottom"/>
            <w:tcBorders>
              <w:bottom w:val="single" w:sz="8" w:color="BCBEC0"/>
            </w:tcBorders>
          </w:tcPr>
          <w:p>
            <w:pPr>
              <w:spacing w:after="0"/>
              <w:rPr>
                <w:sz w:val="8"/>
                <w:szCs w:val="8"/>
                <w:color w:val="auto"/>
              </w:rPr>
            </w:pPr>
          </w:p>
        </w:tc>
        <w:tc>
          <w:tcPr>
            <w:tcW w:w="1760" w:type="dxa"/>
            <w:vAlign w:val="bottom"/>
            <w:tcBorders>
              <w:bottom w:val="single" w:sz="8" w:color="BCBEC0"/>
            </w:tcBorders>
          </w:tcPr>
          <w:p>
            <w:pPr>
              <w:spacing w:after="0"/>
              <w:rPr>
                <w:sz w:val="8"/>
                <w:szCs w:val="8"/>
                <w:color w:val="auto"/>
              </w:rPr>
            </w:pPr>
          </w:p>
        </w:tc>
        <w:tc>
          <w:tcPr>
            <w:tcW w:w="1740" w:type="dxa"/>
            <w:vAlign w:val="bottom"/>
            <w:tcBorders>
              <w:bottom w:val="single" w:sz="8" w:color="BCBEC0"/>
            </w:tcBorders>
          </w:tcPr>
          <w:p>
            <w:pPr>
              <w:spacing w:after="0"/>
              <w:rPr>
                <w:sz w:val="8"/>
                <w:szCs w:val="8"/>
                <w:color w:val="auto"/>
              </w:rPr>
            </w:pPr>
          </w:p>
        </w:tc>
        <w:tc>
          <w:tcPr>
            <w:tcW w:w="5240" w:type="dxa"/>
            <w:vAlign w:val="bottom"/>
            <w:tcBorders>
              <w:bottom w:val="single" w:sz="8" w:color="BCBEC0"/>
            </w:tcBorders>
          </w:tcPr>
          <w:p>
            <w:pPr>
              <w:spacing w:after="0"/>
              <w:rPr>
                <w:sz w:val="8"/>
                <w:szCs w:val="8"/>
                <w:color w:val="auto"/>
              </w:rPr>
            </w:pPr>
          </w:p>
        </w:tc>
        <w:tc>
          <w:tcPr>
            <w:tcW w:w="0" w:type="dxa"/>
            <w:vAlign w:val="bottom"/>
          </w:tcPr>
          <w:p>
            <w:pPr>
              <w:spacing w:after="0"/>
              <w:rPr>
                <w:sz w:val="1"/>
                <w:szCs w:val="1"/>
                <w:color w:val="auto"/>
              </w:rPr>
            </w:pPr>
          </w:p>
        </w:tc>
      </w:tr>
      <w:tr>
        <w:trPr>
          <w:trHeight w:val="74"/>
        </w:trPr>
        <w:tc>
          <w:tcPr>
            <w:tcW w:w="250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Stock Options</w:t>
            </w:r>
          </w:p>
        </w:tc>
        <w:tc>
          <w:tcPr>
            <w:tcW w:w="1760" w:type="dxa"/>
            <w:vAlign w:val="bottom"/>
          </w:tcPr>
          <w:p>
            <w:pPr>
              <w:spacing w:after="0"/>
              <w:rPr>
                <w:sz w:val="6"/>
                <w:szCs w:val="6"/>
                <w:color w:val="auto"/>
              </w:rPr>
            </w:pPr>
          </w:p>
        </w:tc>
        <w:tc>
          <w:tcPr>
            <w:tcW w:w="1740" w:type="dxa"/>
            <w:vAlign w:val="bottom"/>
          </w:tcPr>
          <w:p>
            <w:pPr>
              <w:spacing w:after="0"/>
              <w:rPr>
                <w:sz w:val="6"/>
                <w:szCs w:val="6"/>
                <w:color w:val="auto"/>
              </w:rPr>
            </w:pPr>
          </w:p>
        </w:tc>
        <w:tc>
          <w:tcPr>
            <w:tcW w:w="5240" w:type="dxa"/>
            <w:vAlign w:val="bottom"/>
            <w:vMerge w:val="restart"/>
          </w:tcPr>
          <w:p>
            <w:pPr>
              <w:ind w:left="140"/>
              <w:spacing w:after="0"/>
              <w:rPr>
                <w:sz w:val="20"/>
                <w:szCs w:val="20"/>
                <w:color w:val="auto"/>
              </w:rPr>
            </w:pPr>
            <w:r>
              <w:rPr>
                <w:rFonts w:ascii="Arial" w:cs="Arial" w:eastAsia="Arial" w:hAnsi="Arial"/>
                <w:sz w:val="16"/>
                <w:szCs w:val="16"/>
                <w:color w:val="auto"/>
              </w:rPr>
              <w:t>Each stock option has a term of 10 years, with one-third of the options</w:t>
            </w:r>
          </w:p>
        </w:tc>
        <w:tc>
          <w:tcPr>
            <w:tcW w:w="0" w:type="dxa"/>
            <w:vAlign w:val="bottom"/>
          </w:tcPr>
          <w:p>
            <w:pPr>
              <w:spacing w:after="0"/>
              <w:rPr>
                <w:sz w:val="1"/>
                <w:szCs w:val="1"/>
                <w:color w:val="auto"/>
              </w:rPr>
            </w:pPr>
          </w:p>
        </w:tc>
      </w:tr>
      <w:tr>
        <w:trPr>
          <w:trHeight w:val="229"/>
        </w:trPr>
        <w:tc>
          <w:tcPr>
            <w:tcW w:w="2500" w:type="dxa"/>
            <w:vAlign w:val="bottom"/>
            <w:vMerge w:val="continue"/>
          </w:tcPr>
          <w:p>
            <w:pPr>
              <w:spacing w:after="0"/>
              <w:rPr>
                <w:sz w:val="19"/>
                <w:szCs w:val="19"/>
                <w:color w:val="auto"/>
              </w:rPr>
            </w:pPr>
          </w:p>
        </w:tc>
        <w:tc>
          <w:tcPr>
            <w:tcW w:w="1760" w:type="dxa"/>
            <w:vAlign w:val="bottom"/>
            <w:tcBorders>
              <w:left w:val="single" w:sz="8" w:color="BCBEC0"/>
              <w:right w:val="single" w:sz="8" w:color="BCBEC0"/>
            </w:tcBorders>
          </w:tcPr>
          <w:p>
            <w:pPr>
              <w:spacing w:after="0"/>
              <w:rPr>
                <w:sz w:val="19"/>
                <w:szCs w:val="19"/>
                <w:color w:val="auto"/>
              </w:rPr>
            </w:pPr>
          </w:p>
        </w:tc>
        <w:tc>
          <w:tcPr>
            <w:tcW w:w="1740" w:type="dxa"/>
            <w:vAlign w:val="bottom"/>
            <w:tcBorders>
              <w:right w:val="single" w:sz="8" w:color="BCBEC0"/>
            </w:tcBorders>
          </w:tcPr>
          <w:p>
            <w:pPr>
              <w:spacing w:after="0"/>
              <w:rPr>
                <w:sz w:val="19"/>
                <w:szCs w:val="19"/>
                <w:color w:val="auto"/>
              </w:rPr>
            </w:pPr>
          </w:p>
        </w:tc>
        <w:tc>
          <w:tcPr>
            <w:tcW w:w="52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500" w:type="dxa"/>
            <w:vAlign w:val="bottom"/>
          </w:tcPr>
          <w:p>
            <w:pPr>
              <w:spacing w:after="0"/>
              <w:rPr>
                <w:sz w:val="18"/>
                <w:szCs w:val="18"/>
                <w:color w:val="auto"/>
              </w:rPr>
            </w:pPr>
          </w:p>
        </w:tc>
        <w:tc>
          <w:tcPr>
            <w:tcW w:w="1760" w:type="dxa"/>
            <w:vAlign w:val="bottom"/>
            <w:tcBorders>
              <w:left w:val="single" w:sz="8" w:color="BCBEC0"/>
              <w:right w:val="single" w:sz="8" w:color="BCBEC0"/>
            </w:tcBorders>
          </w:tcPr>
          <w:p>
            <w:pPr>
              <w:spacing w:after="0"/>
              <w:rPr>
                <w:sz w:val="18"/>
                <w:szCs w:val="18"/>
                <w:color w:val="auto"/>
              </w:rPr>
            </w:pPr>
          </w:p>
        </w:tc>
        <w:tc>
          <w:tcPr>
            <w:tcW w:w="1740" w:type="dxa"/>
            <w:vAlign w:val="bottom"/>
            <w:tcBorders>
              <w:right w:val="single" w:sz="8" w:color="BCBEC0"/>
            </w:tcBorders>
          </w:tcPr>
          <w:p>
            <w:pPr>
              <w:spacing w:after="0"/>
              <w:rPr>
                <w:sz w:val="18"/>
                <w:szCs w:val="18"/>
                <w:color w:val="auto"/>
              </w:rPr>
            </w:pPr>
          </w:p>
        </w:tc>
        <w:tc>
          <w:tcPr>
            <w:tcW w:w="5240" w:type="dxa"/>
            <w:vAlign w:val="bottom"/>
          </w:tcPr>
          <w:p>
            <w:pPr>
              <w:ind w:left="140"/>
              <w:spacing w:after="0"/>
              <w:rPr>
                <w:sz w:val="20"/>
                <w:szCs w:val="20"/>
                <w:color w:val="auto"/>
              </w:rPr>
            </w:pPr>
            <w:r>
              <w:rPr>
                <w:rFonts w:ascii="Arial" w:cs="Arial" w:eastAsia="Arial" w:hAnsi="Arial"/>
                <w:sz w:val="16"/>
                <w:szCs w:val="16"/>
                <w:color w:val="auto"/>
              </w:rPr>
              <w:t>vesting on each of the first, second, and third anniversaries of the</w:t>
            </w:r>
          </w:p>
        </w:tc>
        <w:tc>
          <w:tcPr>
            <w:tcW w:w="0" w:type="dxa"/>
            <w:vAlign w:val="bottom"/>
          </w:tcPr>
          <w:p>
            <w:pPr>
              <w:spacing w:after="0"/>
              <w:rPr>
                <w:sz w:val="1"/>
                <w:szCs w:val="1"/>
                <w:color w:val="auto"/>
              </w:rPr>
            </w:pPr>
          </w:p>
        </w:tc>
      </w:tr>
      <w:tr>
        <w:trPr>
          <w:trHeight w:val="216"/>
        </w:trPr>
        <w:tc>
          <w:tcPr>
            <w:tcW w:w="2500" w:type="dxa"/>
            <w:vAlign w:val="bottom"/>
          </w:tcPr>
          <w:p>
            <w:pPr>
              <w:spacing w:after="0"/>
              <w:rPr>
                <w:sz w:val="18"/>
                <w:szCs w:val="18"/>
                <w:color w:val="auto"/>
              </w:rPr>
            </w:pPr>
          </w:p>
        </w:tc>
        <w:tc>
          <w:tcPr>
            <w:tcW w:w="1760" w:type="dxa"/>
            <w:vAlign w:val="bottom"/>
            <w:tcBorders>
              <w:left w:val="single" w:sz="8" w:color="BCBEC0"/>
              <w:right w:val="single" w:sz="8" w:color="BCBEC0"/>
            </w:tcBorders>
          </w:tcPr>
          <w:p>
            <w:pPr>
              <w:spacing w:after="0"/>
              <w:rPr>
                <w:sz w:val="18"/>
                <w:szCs w:val="18"/>
                <w:color w:val="auto"/>
              </w:rPr>
            </w:pPr>
          </w:p>
        </w:tc>
        <w:tc>
          <w:tcPr>
            <w:tcW w:w="1740" w:type="dxa"/>
            <w:vAlign w:val="bottom"/>
            <w:tcBorders>
              <w:right w:val="single" w:sz="8" w:color="BCBEC0"/>
            </w:tcBorders>
          </w:tcPr>
          <w:p>
            <w:pPr>
              <w:spacing w:after="0"/>
              <w:rPr>
                <w:sz w:val="18"/>
                <w:szCs w:val="18"/>
                <w:color w:val="auto"/>
              </w:rPr>
            </w:pPr>
          </w:p>
        </w:tc>
        <w:tc>
          <w:tcPr>
            <w:tcW w:w="5240" w:type="dxa"/>
            <w:vAlign w:val="bottom"/>
          </w:tcPr>
          <w:p>
            <w:pPr>
              <w:ind w:left="140"/>
              <w:spacing w:after="0"/>
              <w:rPr>
                <w:sz w:val="20"/>
                <w:szCs w:val="20"/>
                <w:color w:val="auto"/>
              </w:rPr>
            </w:pPr>
            <w:r>
              <w:rPr>
                <w:rFonts w:ascii="Arial" w:cs="Arial" w:eastAsia="Arial" w:hAnsi="Arial"/>
                <w:sz w:val="16"/>
                <w:szCs w:val="16"/>
                <w:color w:val="auto"/>
              </w:rPr>
              <w:t>grant date.</w:t>
            </w:r>
          </w:p>
        </w:tc>
        <w:tc>
          <w:tcPr>
            <w:tcW w:w="0" w:type="dxa"/>
            <w:vAlign w:val="bottom"/>
          </w:tcPr>
          <w:p>
            <w:pPr>
              <w:spacing w:after="0"/>
              <w:rPr>
                <w:sz w:val="1"/>
                <w:szCs w:val="1"/>
                <w:color w:val="auto"/>
              </w:rPr>
            </w:pPr>
          </w:p>
        </w:tc>
      </w:tr>
      <w:tr>
        <w:trPr>
          <w:trHeight w:val="407"/>
        </w:trPr>
        <w:tc>
          <w:tcPr>
            <w:tcW w:w="2500" w:type="dxa"/>
            <w:vAlign w:val="bottom"/>
          </w:tcPr>
          <w:p>
            <w:pPr>
              <w:spacing w:after="0"/>
              <w:rPr>
                <w:sz w:val="24"/>
                <w:szCs w:val="24"/>
                <w:color w:val="auto"/>
              </w:rPr>
            </w:pPr>
          </w:p>
        </w:tc>
        <w:tc>
          <w:tcPr>
            <w:tcW w:w="1760" w:type="dxa"/>
            <w:vAlign w:val="bottom"/>
            <w:tcBorders>
              <w:left w:val="single" w:sz="8" w:color="BCBEC0"/>
              <w:right w:val="single" w:sz="8" w:color="BCBEC0"/>
            </w:tcBorders>
          </w:tcPr>
          <w:p>
            <w:pPr>
              <w:spacing w:after="0"/>
              <w:rPr>
                <w:sz w:val="24"/>
                <w:szCs w:val="24"/>
                <w:color w:val="auto"/>
              </w:rPr>
            </w:pPr>
          </w:p>
        </w:tc>
        <w:tc>
          <w:tcPr>
            <w:tcW w:w="1740" w:type="dxa"/>
            <w:vAlign w:val="bottom"/>
            <w:tcBorders>
              <w:right w:val="single" w:sz="8" w:color="BCBEC0"/>
            </w:tcBorders>
          </w:tcPr>
          <w:p>
            <w:pPr>
              <w:spacing w:after="0"/>
              <w:rPr>
                <w:sz w:val="24"/>
                <w:szCs w:val="24"/>
                <w:color w:val="auto"/>
              </w:rPr>
            </w:pPr>
          </w:p>
        </w:tc>
        <w:tc>
          <w:tcPr>
            <w:tcW w:w="5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4"/>
        </w:trPr>
        <w:tc>
          <w:tcPr>
            <w:tcW w:w="2500" w:type="dxa"/>
            <w:vAlign w:val="bottom"/>
            <w:tcBorders>
              <w:bottom w:val="single" w:sz="8" w:color="BCBEC0"/>
            </w:tcBorders>
          </w:tcPr>
          <w:p>
            <w:pPr>
              <w:spacing w:after="0"/>
              <w:rPr>
                <w:sz w:val="8"/>
                <w:szCs w:val="8"/>
                <w:color w:val="auto"/>
              </w:rPr>
            </w:pPr>
          </w:p>
        </w:tc>
        <w:tc>
          <w:tcPr>
            <w:tcW w:w="1760" w:type="dxa"/>
            <w:vAlign w:val="bottom"/>
            <w:tcBorders>
              <w:bottom w:val="single" w:sz="8" w:color="BCBEC0"/>
            </w:tcBorders>
          </w:tcPr>
          <w:p>
            <w:pPr>
              <w:spacing w:after="0"/>
              <w:rPr>
                <w:sz w:val="8"/>
                <w:szCs w:val="8"/>
                <w:color w:val="auto"/>
              </w:rPr>
            </w:pPr>
          </w:p>
        </w:tc>
        <w:tc>
          <w:tcPr>
            <w:tcW w:w="1740" w:type="dxa"/>
            <w:vAlign w:val="bottom"/>
            <w:tcBorders>
              <w:bottom w:val="single" w:sz="8" w:color="BCBEC0"/>
            </w:tcBorders>
          </w:tcPr>
          <w:p>
            <w:pPr>
              <w:spacing w:after="0"/>
              <w:rPr>
                <w:sz w:val="8"/>
                <w:szCs w:val="8"/>
                <w:color w:val="auto"/>
              </w:rPr>
            </w:pPr>
          </w:p>
        </w:tc>
        <w:tc>
          <w:tcPr>
            <w:tcW w:w="5240" w:type="dxa"/>
            <w:vAlign w:val="bottom"/>
            <w:tcBorders>
              <w:bottom w:val="single" w:sz="8" w:color="BCBEC0"/>
            </w:tcBorders>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50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Restricted Stock Units</w:t>
            </w:r>
          </w:p>
        </w:tc>
        <w:tc>
          <w:tcPr>
            <w:tcW w:w="1760" w:type="dxa"/>
            <w:vAlign w:val="bottom"/>
          </w:tcPr>
          <w:p>
            <w:pPr>
              <w:spacing w:after="0"/>
              <w:rPr>
                <w:sz w:val="6"/>
                <w:szCs w:val="6"/>
                <w:color w:val="auto"/>
              </w:rPr>
            </w:pPr>
          </w:p>
        </w:tc>
        <w:tc>
          <w:tcPr>
            <w:tcW w:w="1740" w:type="dxa"/>
            <w:vAlign w:val="bottom"/>
          </w:tcPr>
          <w:p>
            <w:pPr>
              <w:spacing w:after="0"/>
              <w:rPr>
                <w:sz w:val="6"/>
                <w:szCs w:val="6"/>
                <w:color w:val="auto"/>
              </w:rPr>
            </w:pPr>
          </w:p>
        </w:tc>
        <w:tc>
          <w:tcPr>
            <w:tcW w:w="5240" w:type="dxa"/>
            <w:vAlign w:val="bottom"/>
            <w:vMerge w:val="restart"/>
          </w:tcPr>
          <w:p>
            <w:pPr>
              <w:ind w:left="140"/>
              <w:spacing w:after="0"/>
              <w:rPr>
                <w:sz w:val="20"/>
                <w:szCs w:val="20"/>
                <w:color w:val="auto"/>
              </w:rPr>
            </w:pPr>
            <w:r>
              <w:rPr>
                <w:rFonts w:ascii="Arial" w:cs="Arial" w:eastAsia="Arial" w:hAnsi="Arial"/>
                <w:sz w:val="16"/>
                <w:szCs w:val="16"/>
                <w:color w:val="auto"/>
              </w:rPr>
              <w:t>Each restricted stock unit represents the right to receive one ordinary</w:t>
            </w:r>
          </w:p>
        </w:tc>
        <w:tc>
          <w:tcPr>
            <w:tcW w:w="0" w:type="dxa"/>
            <w:vAlign w:val="bottom"/>
          </w:tcPr>
          <w:p>
            <w:pPr>
              <w:spacing w:after="0"/>
              <w:rPr>
                <w:sz w:val="1"/>
                <w:szCs w:val="1"/>
                <w:color w:val="auto"/>
              </w:rPr>
            </w:pPr>
          </w:p>
        </w:tc>
      </w:tr>
      <w:tr>
        <w:trPr>
          <w:trHeight w:val="229"/>
        </w:trPr>
        <w:tc>
          <w:tcPr>
            <w:tcW w:w="2500" w:type="dxa"/>
            <w:vAlign w:val="bottom"/>
            <w:vMerge w:val="continue"/>
          </w:tcPr>
          <w:p>
            <w:pPr>
              <w:spacing w:after="0"/>
              <w:rPr>
                <w:sz w:val="19"/>
                <w:szCs w:val="19"/>
                <w:color w:val="auto"/>
              </w:rPr>
            </w:pPr>
          </w:p>
        </w:tc>
        <w:tc>
          <w:tcPr>
            <w:tcW w:w="1760" w:type="dxa"/>
            <w:vAlign w:val="bottom"/>
            <w:tcBorders>
              <w:left w:val="single" w:sz="8" w:color="BCBEC0"/>
              <w:right w:val="single" w:sz="8" w:color="BCBEC0"/>
            </w:tcBorders>
          </w:tcPr>
          <w:p>
            <w:pPr>
              <w:spacing w:after="0"/>
              <w:rPr>
                <w:sz w:val="19"/>
                <w:szCs w:val="19"/>
                <w:color w:val="auto"/>
              </w:rPr>
            </w:pPr>
          </w:p>
        </w:tc>
        <w:tc>
          <w:tcPr>
            <w:tcW w:w="1740" w:type="dxa"/>
            <w:vAlign w:val="bottom"/>
            <w:tcBorders>
              <w:right w:val="single" w:sz="8" w:color="BCBEC0"/>
            </w:tcBorders>
          </w:tcPr>
          <w:p>
            <w:pPr>
              <w:spacing w:after="0"/>
              <w:rPr>
                <w:sz w:val="19"/>
                <w:szCs w:val="19"/>
                <w:color w:val="auto"/>
              </w:rPr>
            </w:pPr>
          </w:p>
        </w:tc>
        <w:tc>
          <w:tcPr>
            <w:tcW w:w="52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500" w:type="dxa"/>
            <w:vAlign w:val="bottom"/>
          </w:tcPr>
          <w:p>
            <w:pPr>
              <w:spacing w:after="0"/>
              <w:rPr>
                <w:sz w:val="18"/>
                <w:szCs w:val="18"/>
                <w:color w:val="auto"/>
              </w:rPr>
            </w:pPr>
          </w:p>
        </w:tc>
        <w:tc>
          <w:tcPr>
            <w:tcW w:w="1760" w:type="dxa"/>
            <w:vAlign w:val="bottom"/>
            <w:tcBorders>
              <w:left w:val="single" w:sz="8" w:color="BCBEC0"/>
              <w:right w:val="single" w:sz="8" w:color="BCBEC0"/>
            </w:tcBorders>
          </w:tcPr>
          <w:p>
            <w:pPr>
              <w:spacing w:after="0"/>
              <w:rPr>
                <w:sz w:val="18"/>
                <w:szCs w:val="18"/>
                <w:color w:val="auto"/>
              </w:rPr>
            </w:pPr>
          </w:p>
        </w:tc>
        <w:tc>
          <w:tcPr>
            <w:tcW w:w="1740" w:type="dxa"/>
            <w:vAlign w:val="bottom"/>
            <w:tcBorders>
              <w:right w:val="single" w:sz="8" w:color="BCBEC0"/>
            </w:tcBorders>
          </w:tcPr>
          <w:p>
            <w:pPr>
              <w:spacing w:after="0"/>
              <w:rPr>
                <w:sz w:val="18"/>
                <w:szCs w:val="18"/>
                <w:color w:val="auto"/>
              </w:rPr>
            </w:pPr>
          </w:p>
        </w:tc>
        <w:tc>
          <w:tcPr>
            <w:tcW w:w="5240" w:type="dxa"/>
            <w:vAlign w:val="bottom"/>
          </w:tcPr>
          <w:p>
            <w:pPr>
              <w:ind w:left="140"/>
              <w:spacing w:after="0"/>
              <w:rPr>
                <w:sz w:val="20"/>
                <w:szCs w:val="20"/>
                <w:color w:val="auto"/>
              </w:rPr>
            </w:pPr>
            <w:r>
              <w:rPr>
                <w:rFonts w:ascii="Arial" w:cs="Arial" w:eastAsia="Arial" w:hAnsi="Arial"/>
                <w:sz w:val="16"/>
                <w:szCs w:val="16"/>
                <w:color w:val="auto"/>
              </w:rPr>
              <w:t>share upon vesting. The restricted stock units generally vest as to one-</w:t>
            </w:r>
          </w:p>
        </w:tc>
        <w:tc>
          <w:tcPr>
            <w:tcW w:w="0" w:type="dxa"/>
            <w:vAlign w:val="bottom"/>
          </w:tcPr>
          <w:p>
            <w:pPr>
              <w:spacing w:after="0"/>
              <w:rPr>
                <w:sz w:val="1"/>
                <w:szCs w:val="1"/>
                <w:color w:val="auto"/>
              </w:rPr>
            </w:pPr>
          </w:p>
        </w:tc>
      </w:tr>
      <w:tr>
        <w:trPr>
          <w:trHeight w:val="204"/>
        </w:trPr>
        <w:tc>
          <w:tcPr>
            <w:tcW w:w="2500" w:type="dxa"/>
            <w:vAlign w:val="bottom"/>
          </w:tcPr>
          <w:p>
            <w:pPr>
              <w:spacing w:after="0"/>
              <w:rPr>
                <w:sz w:val="17"/>
                <w:szCs w:val="17"/>
                <w:color w:val="auto"/>
              </w:rPr>
            </w:pPr>
          </w:p>
        </w:tc>
        <w:tc>
          <w:tcPr>
            <w:tcW w:w="1760" w:type="dxa"/>
            <w:vAlign w:val="bottom"/>
            <w:tcBorders>
              <w:left w:val="single" w:sz="8" w:color="BCBEC0"/>
              <w:right w:val="single" w:sz="8" w:color="BCBEC0"/>
            </w:tcBorders>
          </w:tcPr>
          <w:p>
            <w:pPr>
              <w:spacing w:after="0"/>
              <w:rPr>
                <w:sz w:val="17"/>
                <w:szCs w:val="17"/>
                <w:color w:val="auto"/>
              </w:rPr>
            </w:pPr>
          </w:p>
        </w:tc>
        <w:tc>
          <w:tcPr>
            <w:tcW w:w="1740" w:type="dxa"/>
            <w:vAlign w:val="bottom"/>
            <w:tcBorders>
              <w:right w:val="single" w:sz="8" w:color="BCBEC0"/>
            </w:tcBorders>
          </w:tcPr>
          <w:p>
            <w:pPr>
              <w:spacing w:after="0"/>
              <w:rPr>
                <w:sz w:val="17"/>
                <w:szCs w:val="17"/>
                <w:color w:val="auto"/>
              </w:rPr>
            </w:pPr>
          </w:p>
        </w:tc>
        <w:tc>
          <w:tcPr>
            <w:tcW w:w="5240" w:type="dxa"/>
            <w:vAlign w:val="bottom"/>
          </w:tcPr>
          <w:p>
            <w:pPr>
              <w:ind w:left="140"/>
              <w:spacing w:after="0"/>
              <w:rPr>
                <w:sz w:val="20"/>
                <w:szCs w:val="20"/>
                <w:color w:val="auto"/>
              </w:rPr>
            </w:pPr>
            <w:r>
              <w:rPr>
                <w:rFonts w:ascii="Arial" w:cs="Arial" w:eastAsia="Arial" w:hAnsi="Arial"/>
                <w:sz w:val="16"/>
                <w:szCs w:val="16"/>
                <w:color w:val="auto"/>
              </w:rPr>
              <w:t>third of the restricted stock units on each of the first, second, and third</w:t>
            </w:r>
          </w:p>
        </w:tc>
        <w:tc>
          <w:tcPr>
            <w:tcW w:w="0" w:type="dxa"/>
            <w:vAlign w:val="bottom"/>
          </w:tcPr>
          <w:p>
            <w:pPr>
              <w:spacing w:after="0"/>
              <w:rPr>
                <w:sz w:val="1"/>
                <w:szCs w:val="1"/>
                <w:color w:val="auto"/>
              </w:rPr>
            </w:pPr>
          </w:p>
        </w:tc>
      </w:tr>
      <w:tr>
        <w:trPr>
          <w:trHeight w:val="215"/>
        </w:trPr>
        <w:tc>
          <w:tcPr>
            <w:tcW w:w="2500" w:type="dxa"/>
            <w:vAlign w:val="bottom"/>
          </w:tcPr>
          <w:p>
            <w:pPr>
              <w:spacing w:after="0"/>
              <w:rPr>
                <w:sz w:val="18"/>
                <w:szCs w:val="18"/>
                <w:color w:val="auto"/>
              </w:rPr>
            </w:pPr>
          </w:p>
        </w:tc>
        <w:tc>
          <w:tcPr>
            <w:tcW w:w="1760" w:type="dxa"/>
            <w:vAlign w:val="bottom"/>
            <w:tcBorders>
              <w:left w:val="single" w:sz="8" w:color="BCBEC0"/>
              <w:right w:val="single" w:sz="8" w:color="BCBEC0"/>
            </w:tcBorders>
          </w:tcPr>
          <w:p>
            <w:pPr>
              <w:spacing w:after="0"/>
              <w:rPr>
                <w:sz w:val="18"/>
                <w:szCs w:val="18"/>
                <w:color w:val="auto"/>
              </w:rPr>
            </w:pPr>
          </w:p>
        </w:tc>
        <w:tc>
          <w:tcPr>
            <w:tcW w:w="1740" w:type="dxa"/>
            <w:vAlign w:val="bottom"/>
            <w:tcBorders>
              <w:right w:val="single" w:sz="8" w:color="BCBEC0"/>
            </w:tcBorders>
          </w:tcPr>
          <w:p>
            <w:pPr>
              <w:spacing w:after="0"/>
              <w:rPr>
                <w:sz w:val="18"/>
                <w:szCs w:val="18"/>
                <w:color w:val="auto"/>
              </w:rPr>
            </w:pPr>
          </w:p>
        </w:tc>
        <w:tc>
          <w:tcPr>
            <w:tcW w:w="5240" w:type="dxa"/>
            <w:vAlign w:val="bottom"/>
          </w:tcPr>
          <w:p>
            <w:pPr>
              <w:ind w:left="140"/>
              <w:spacing w:after="0"/>
              <w:rPr>
                <w:sz w:val="20"/>
                <w:szCs w:val="20"/>
                <w:color w:val="auto"/>
              </w:rPr>
            </w:pPr>
            <w:r>
              <w:rPr>
                <w:rFonts w:ascii="Arial" w:cs="Arial" w:eastAsia="Arial" w:hAnsi="Arial"/>
                <w:sz w:val="16"/>
                <w:szCs w:val="16"/>
                <w:color w:val="auto"/>
              </w:rPr>
              <w:t>anniversaries of the grant date. Restricted stock units accrue dividend</w:t>
            </w:r>
          </w:p>
        </w:tc>
        <w:tc>
          <w:tcPr>
            <w:tcW w:w="0" w:type="dxa"/>
            <w:vAlign w:val="bottom"/>
          </w:tcPr>
          <w:p>
            <w:pPr>
              <w:spacing w:after="0"/>
              <w:rPr>
                <w:sz w:val="1"/>
                <w:szCs w:val="1"/>
                <w:color w:val="auto"/>
              </w:rPr>
            </w:pPr>
          </w:p>
        </w:tc>
      </w:tr>
      <w:tr>
        <w:trPr>
          <w:trHeight w:val="204"/>
        </w:trPr>
        <w:tc>
          <w:tcPr>
            <w:tcW w:w="2500" w:type="dxa"/>
            <w:vAlign w:val="bottom"/>
          </w:tcPr>
          <w:p>
            <w:pPr>
              <w:spacing w:after="0"/>
              <w:rPr>
                <w:sz w:val="17"/>
                <w:szCs w:val="17"/>
                <w:color w:val="auto"/>
              </w:rPr>
            </w:pPr>
          </w:p>
        </w:tc>
        <w:tc>
          <w:tcPr>
            <w:tcW w:w="1760" w:type="dxa"/>
            <w:vAlign w:val="bottom"/>
            <w:tcBorders>
              <w:left w:val="single" w:sz="8" w:color="BCBEC0"/>
              <w:right w:val="single" w:sz="8" w:color="BCBEC0"/>
            </w:tcBorders>
          </w:tcPr>
          <w:p>
            <w:pPr>
              <w:spacing w:after="0"/>
              <w:rPr>
                <w:sz w:val="17"/>
                <w:szCs w:val="17"/>
                <w:color w:val="auto"/>
              </w:rPr>
            </w:pPr>
          </w:p>
        </w:tc>
        <w:tc>
          <w:tcPr>
            <w:tcW w:w="1740" w:type="dxa"/>
            <w:vAlign w:val="bottom"/>
            <w:tcBorders>
              <w:right w:val="single" w:sz="8" w:color="BCBEC0"/>
            </w:tcBorders>
          </w:tcPr>
          <w:p>
            <w:pPr>
              <w:spacing w:after="0"/>
              <w:rPr>
                <w:sz w:val="17"/>
                <w:szCs w:val="17"/>
                <w:color w:val="auto"/>
              </w:rPr>
            </w:pPr>
          </w:p>
        </w:tc>
        <w:tc>
          <w:tcPr>
            <w:tcW w:w="5240" w:type="dxa"/>
            <w:vAlign w:val="bottom"/>
          </w:tcPr>
          <w:p>
            <w:pPr>
              <w:ind w:left="140"/>
              <w:spacing w:after="0"/>
              <w:rPr>
                <w:sz w:val="20"/>
                <w:szCs w:val="20"/>
                <w:color w:val="auto"/>
              </w:rPr>
            </w:pPr>
            <w:r>
              <w:rPr>
                <w:rFonts w:ascii="Arial" w:cs="Arial" w:eastAsia="Arial" w:hAnsi="Arial"/>
                <w:sz w:val="16"/>
                <w:szCs w:val="16"/>
                <w:color w:val="auto"/>
              </w:rPr>
              <w:t>equivalents that will be paid out in ordinary shares if and when the</w:t>
            </w:r>
          </w:p>
        </w:tc>
        <w:tc>
          <w:tcPr>
            <w:tcW w:w="0" w:type="dxa"/>
            <w:vAlign w:val="bottom"/>
          </w:tcPr>
          <w:p>
            <w:pPr>
              <w:spacing w:after="0"/>
              <w:rPr>
                <w:sz w:val="1"/>
                <w:szCs w:val="1"/>
                <w:color w:val="auto"/>
              </w:rPr>
            </w:pPr>
          </w:p>
        </w:tc>
      </w:tr>
      <w:tr>
        <w:trPr>
          <w:trHeight w:val="257"/>
        </w:trPr>
        <w:tc>
          <w:tcPr>
            <w:tcW w:w="2500" w:type="dxa"/>
            <w:vAlign w:val="bottom"/>
          </w:tcPr>
          <w:p>
            <w:pPr>
              <w:spacing w:after="0"/>
              <w:rPr>
                <w:sz w:val="22"/>
                <w:szCs w:val="22"/>
                <w:color w:val="auto"/>
              </w:rPr>
            </w:pPr>
          </w:p>
        </w:tc>
        <w:tc>
          <w:tcPr>
            <w:tcW w:w="1760" w:type="dxa"/>
            <w:vAlign w:val="bottom"/>
            <w:tcBorders>
              <w:left w:val="single" w:sz="8" w:color="BCBEC0"/>
              <w:right w:val="single" w:sz="8" w:color="BCBEC0"/>
            </w:tcBorders>
          </w:tcPr>
          <w:p>
            <w:pPr>
              <w:spacing w:after="0"/>
              <w:rPr>
                <w:sz w:val="22"/>
                <w:szCs w:val="22"/>
                <w:color w:val="auto"/>
              </w:rPr>
            </w:pPr>
          </w:p>
        </w:tc>
        <w:tc>
          <w:tcPr>
            <w:tcW w:w="1740" w:type="dxa"/>
            <w:vAlign w:val="bottom"/>
            <w:tcBorders>
              <w:right w:val="single" w:sz="8" w:color="BCBEC0"/>
            </w:tcBorders>
          </w:tcPr>
          <w:p>
            <w:pPr>
              <w:spacing w:after="0"/>
              <w:rPr>
                <w:sz w:val="22"/>
                <w:szCs w:val="22"/>
                <w:color w:val="auto"/>
              </w:rPr>
            </w:pPr>
          </w:p>
        </w:tc>
        <w:tc>
          <w:tcPr>
            <w:tcW w:w="5240" w:type="dxa"/>
            <w:vAlign w:val="bottom"/>
          </w:tcPr>
          <w:p>
            <w:pPr>
              <w:ind w:left="140"/>
              <w:spacing w:after="0"/>
              <w:rPr>
                <w:sz w:val="20"/>
                <w:szCs w:val="20"/>
                <w:color w:val="auto"/>
              </w:rPr>
            </w:pPr>
            <w:r>
              <w:rPr>
                <w:rFonts w:ascii="Arial" w:cs="Arial" w:eastAsia="Arial" w:hAnsi="Arial"/>
                <w:sz w:val="16"/>
                <w:szCs w:val="16"/>
                <w:color w:val="auto"/>
              </w:rPr>
              <w:t>award vests.</w:t>
            </w:r>
          </w:p>
        </w:tc>
        <w:tc>
          <w:tcPr>
            <w:tcW w:w="0" w:type="dxa"/>
            <w:vAlign w:val="bottom"/>
          </w:tcPr>
          <w:p>
            <w:pPr>
              <w:spacing w:after="0"/>
              <w:rPr>
                <w:sz w:val="1"/>
                <w:szCs w:val="1"/>
                <w:color w:val="auto"/>
              </w:rPr>
            </w:pPr>
          </w:p>
        </w:tc>
      </w:tr>
      <w:tr>
        <w:trPr>
          <w:trHeight w:val="95"/>
        </w:trPr>
        <w:tc>
          <w:tcPr>
            <w:tcW w:w="2500" w:type="dxa"/>
            <w:vAlign w:val="bottom"/>
            <w:tcBorders>
              <w:bottom w:val="single" w:sz="8" w:color="0C3471"/>
            </w:tcBorders>
          </w:tcPr>
          <w:p>
            <w:pPr>
              <w:spacing w:after="0"/>
              <w:rPr>
                <w:sz w:val="8"/>
                <w:szCs w:val="8"/>
                <w:color w:val="auto"/>
              </w:rPr>
            </w:pPr>
          </w:p>
        </w:tc>
        <w:tc>
          <w:tcPr>
            <w:tcW w:w="1760" w:type="dxa"/>
            <w:vAlign w:val="bottom"/>
            <w:tcBorders>
              <w:bottom w:val="single" w:sz="8" w:color="0C3471"/>
            </w:tcBorders>
          </w:tcPr>
          <w:p>
            <w:pPr>
              <w:spacing w:after="0"/>
              <w:rPr>
                <w:sz w:val="8"/>
                <w:szCs w:val="8"/>
                <w:color w:val="auto"/>
              </w:rPr>
            </w:pPr>
          </w:p>
        </w:tc>
        <w:tc>
          <w:tcPr>
            <w:tcW w:w="1740" w:type="dxa"/>
            <w:vAlign w:val="bottom"/>
            <w:tcBorders>
              <w:bottom w:val="single" w:sz="8" w:color="0C3471"/>
            </w:tcBorders>
          </w:tcPr>
          <w:p>
            <w:pPr>
              <w:spacing w:after="0"/>
              <w:rPr>
                <w:sz w:val="8"/>
                <w:szCs w:val="8"/>
                <w:color w:val="auto"/>
              </w:rPr>
            </w:pPr>
          </w:p>
        </w:tc>
        <w:tc>
          <w:tcPr>
            <w:tcW w:w="5240" w:type="dxa"/>
            <w:vAlign w:val="bottom"/>
            <w:tcBorders>
              <w:bottom w:val="single" w:sz="8" w:color="0C3471"/>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1830705</wp:posOffset>
            </wp:positionH>
            <wp:positionV relativeFrom="paragraph">
              <wp:posOffset>-2588260</wp:posOffset>
            </wp:positionV>
            <wp:extent cx="617220" cy="61722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17220" cy="617220"/>
                    </a:xfrm>
                    <a:prstGeom prst="rect">
                      <a:avLst/>
                    </a:prstGeom>
                    <a:noFill/>
                  </pic:spPr>
                </pic:pic>
              </a:graphicData>
            </a:graphic>
          </wp:anchor>
        </w:drawing>
        <w:drawing>
          <wp:anchor simplePos="0" relativeHeight="251657728" behindDoc="1" locked="0" layoutInCell="0" allowOverlap="1">
            <wp:simplePos x="0" y="0"/>
            <wp:positionH relativeFrom="column">
              <wp:posOffset>2936875</wp:posOffset>
            </wp:positionH>
            <wp:positionV relativeFrom="paragraph">
              <wp:posOffset>-2588260</wp:posOffset>
            </wp:positionV>
            <wp:extent cx="617220" cy="61722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17220" cy="617220"/>
                    </a:xfrm>
                    <a:prstGeom prst="rect">
                      <a:avLst/>
                    </a:prstGeom>
                    <a:noFill/>
                  </pic:spPr>
                </pic:pic>
              </a:graphicData>
            </a:graphic>
          </wp:anchor>
        </w:drawing>
        <w:drawing>
          <wp:anchor simplePos="0" relativeHeight="251657728" behindDoc="1" locked="0" layoutInCell="0" allowOverlap="1">
            <wp:simplePos x="0" y="0"/>
            <wp:positionH relativeFrom="column">
              <wp:posOffset>1830705</wp:posOffset>
            </wp:positionH>
            <wp:positionV relativeFrom="paragraph">
              <wp:posOffset>-1705610</wp:posOffset>
            </wp:positionV>
            <wp:extent cx="617220" cy="61722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17220" cy="617220"/>
                    </a:xfrm>
                    <a:prstGeom prst="rect">
                      <a:avLst/>
                    </a:prstGeom>
                    <a:noFill/>
                  </pic:spPr>
                </pic:pic>
              </a:graphicData>
            </a:graphic>
          </wp:anchor>
        </w:drawing>
        <w:drawing>
          <wp:anchor simplePos="0" relativeHeight="251657728" behindDoc="1" locked="0" layoutInCell="0" allowOverlap="1">
            <wp:simplePos x="0" y="0"/>
            <wp:positionH relativeFrom="column">
              <wp:posOffset>2936875</wp:posOffset>
            </wp:positionH>
            <wp:positionV relativeFrom="paragraph">
              <wp:posOffset>-1705610</wp:posOffset>
            </wp:positionV>
            <wp:extent cx="617220" cy="61722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17220" cy="617220"/>
                    </a:xfrm>
                    <a:prstGeom prst="rect">
                      <a:avLst/>
                    </a:prstGeom>
                    <a:noFill/>
                  </pic:spPr>
                </pic:pic>
              </a:graphicData>
            </a:graphic>
          </wp:anchor>
        </w:drawing>
        <w:drawing>
          <wp:anchor simplePos="0" relativeHeight="251657728" behindDoc="1" locked="0" layoutInCell="0" allowOverlap="1">
            <wp:simplePos x="0" y="0"/>
            <wp:positionH relativeFrom="column">
              <wp:posOffset>1830705</wp:posOffset>
            </wp:positionH>
            <wp:positionV relativeFrom="paragraph">
              <wp:posOffset>-831215</wp:posOffset>
            </wp:positionV>
            <wp:extent cx="617220" cy="61722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17220" cy="617220"/>
                    </a:xfrm>
                    <a:prstGeom prst="rect">
                      <a:avLst/>
                    </a:prstGeom>
                    <a:noFill/>
                  </pic:spPr>
                </pic:pic>
              </a:graphicData>
            </a:graphic>
          </wp:anchor>
        </w:drawing>
        <w:drawing>
          <wp:anchor simplePos="0" relativeHeight="251657728" behindDoc="1" locked="0" layoutInCell="0" allowOverlap="1">
            <wp:simplePos x="0" y="0"/>
            <wp:positionH relativeFrom="column">
              <wp:posOffset>2936875</wp:posOffset>
            </wp:positionH>
            <wp:positionV relativeFrom="paragraph">
              <wp:posOffset>-831215</wp:posOffset>
            </wp:positionV>
            <wp:extent cx="617220" cy="61722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17220" cy="617220"/>
                    </a:xfrm>
                    <a:prstGeom prst="rect">
                      <a:avLst/>
                    </a:prstGeom>
                    <a:noFill/>
                  </pic:spPr>
                </pic:pic>
              </a:graphicData>
            </a:graphic>
          </wp:anchor>
        </w:drawing>
      </w:r>
    </w:p>
    <w:p>
      <w:pPr>
        <w:spacing w:after="0" w:line="168" w:lineRule="exact"/>
        <w:rPr>
          <w:sz w:val="20"/>
          <w:szCs w:val="20"/>
          <w:color w:val="auto"/>
        </w:rPr>
      </w:pPr>
    </w:p>
    <w:p>
      <w:pPr>
        <w:ind w:right="20"/>
        <w:spacing w:after="0" w:line="282" w:lineRule="auto"/>
        <w:rPr>
          <w:sz w:val="20"/>
          <w:szCs w:val="20"/>
          <w:color w:val="auto"/>
        </w:rPr>
      </w:pPr>
      <w:r>
        <w:rPr>
          <w:rFonts w:ascii="Arial" w:cs="Arial" w:eastAsia="Arial" w:hAnsi="Arial"/>
          <w:sz w:val="16"/>
          <w:szCs w:val="16"/>
          <w:color w:val="auto"/>
        </w:rPr>
        <w:t>The Compensation Committee selected Adjusted EPS and ROIC as the performance share unit metrics because of their relationship to driving long-term shareholder value and alignment with business strategy. The Compensation Committee believes that, while long-term interests should be reflected in performance-based awards, the targets should also be realistic and attainable. As such, the Compensation Committee set performance metrics for the 2025-2027 performance share units based on Adjusted EPS and ROIC targets aligned with the growth objectives as defined within Pentair’s strategic plan, including payouts only if threshold levels of minimum Adjusted EPS growth and minimum ROIC performance are met. Payouts would be based on achievement of the threshold, target, and maximum level of performance set for each metric, with payouts scaled for performance between those levels.</w:t>
      </w:r>
    </w:p>
    <w:p>
      <w:pPr>
        <w:spacing w:after="0" w:line="128" w:lineRule="exact"/>
        <w:rPr>
          <w:sz w:val="20"/>
          <w:szCs w:val="20"/>
          <w:color w:val="auto"/>
        </w:rPr>
      </w:pPr>
    </w:p>
    <w:tbl>
      <w:tblPr>
        <w:tblLayout w:type="fixed"/>
        <w:tblInd w:w="10" w:type="dxa"/>
        <w:tblCellMar>
          <w:top w:w="0" w:type="dxa"/>
          <w:left w:w="0" w:type="dxa"/>
          <w:bottom w:w="0" w:type="dxa"/>
          <w:right w:w="0" w:type="dxa"/>
        </w:tblCellMar>
      </w:tblPr>
      <w:tr>
        <w:trPr>
          <w:trHeight w:val="323"/>
        </w:trPr>
        <w:tc>
          <w:tcPr>
            <w:tcW w:w="3320" w:type="dxa"/>
            <w:vAlign w:val="bottom"/>
            <w:tcBorders>
              <w:top w:val="single" w:sz="8" w:color="0C3471"/>
              <w:left w:val="single" w:sz="8" w:color="0C3471"/>
              <w:right w:val="single" w:sz="8" w:color="0C3471"/>
            </w:tcBorders>
            <w:shd w:val="clear" w:color="auto" w:fill="6D85AA"/>
          </w:tcPr>
          <w:p>
            <w:pPr>
              <w:jc w:val="center"/>
              <w:spacing w:after="0"/>
              <w:rPr>
                <w:sz w:val="20"/>
                <w:szCs w:val="20"/>
                <w:color w:val="auto"/>
              </w:rPr>
            </w:pPr>
            <w:r>
              <w:rPr>
                <w:rFonts w:ascii="Arial" w:cs="Arial" w:eastAsia="Arial" w:hAnsi="Arial"/>
                <w:sz w:val="16"/>
                <w:szCs w:val="16"/>
                <w:b w:val="1"/>
                <w:bCs w:val="1"/>
                <w:color w:val="FFFFFF"/>
              </w:rPr>
              <w:t>Adjusted EPS</w:t>
            </w:r>
          </w:p>
        </w:tc>
        <w:tc>
          <w:tcPr>
            <w:tcW w:w="640" w:type="dxa"/>
            <w:vAlign w:val="bottom"/>
            <w:tcBorders>
              <w:right w:val="single" w:sz="8" w:color="0C3471"/>
            </w:tcBorders>
            <w:vMerge w:val="restart"/>
          </w:tcPr>
          <w:p>
            <w:pPr>
              <w:jc w:val="right"/>
              <w:ind w:right="152"/>
              <w:spacing w:after="0"/>
              <w:rPr>
                <w:sz w:val="20"/>
                <w:szCs w:val="20"/>
                <w:color w:val="auto"/>
              </w:rPr>
            </w:pPr>
            <w:r>
              <w:rPr>
                <w:rFonts w:ascii="Arial" w:cs="Arial" w:eastAsia="Arial" w:hAnsi="Arial"/>
                <w:sz w:val="22"/>
                <w:szCs w:val="22"/>
                <w:b w:val="1"/>
                <w:bCs w:val="1"/>
                <w:color w:val="64A70B"/>
              </w:rPr>
              <w:t>+</w:t>
            </w:r>
          </w:p>
        </w:tc>
        <w:tc>
          <w:tcPr>
            <w:tcW w:w="3320" w:type="dxa"/>
            <w:vAlign w:val="bottom"/>
            <w:tcBorders>
              <w:top w:val="single" w:sz="8" w:color="0C3471"/>
              <w:right w:val="single" w:sz="8" w:color="0C3471"/>
            </w:tcBorders>
            <w:shd w:val="clear" w:color="auto" w:fill="6D85AA"/>
          </w:tcPr>
          <w:p>
            <w:pPr>
              <w:jc w:val="center"/>
              <w:spacing w:after="0"/>
              <w:rPr>
                <w:sz w:val="20"/>
                <w:szCs w:val="20"/>
                <w:color w:val="auto"/>
              </w:rPr>
            </w:pPr>
            <w:r>
              <w:rPr>
                <w:rFonts w:ascii="Arial" w:cs="Arial" w:eastAsia="Arial" w:hAnsi="Arial"/>
                <w:sz w:val="16"/>
                <w:szCs w:val="16"/>
                <w:b w:val="1"/>
                <w:bCs w:val="1"/>
                <w:color w:val="FFFFFF"/>
              </w:rPr>
              <w:t>ROIC</w:t>
            </w:r>
          </w:p>
        </w:tc>
        <w:tc>
          <w:tcPr>
            <w:tcW w:w="640" w:type="dxa"/>
            <w:vAlign w:val="bottom"/>
            <w:tcBorders>
              <w:right w:val="single" w:sz="8" w:color="64A70B"/>
            </w:tcBorders>
            <w:vMerge w:val="restart"/>
          </w:tcPr>
          <w:p>
            <w:pPr>
              <w:jc w:val="right"/>
              <w:ind w:right="152"/>
              <w:spacing w:after="0"/>
              <w:rPr>
                <w:sz w:val="20"/>
                <w:szCs w:val="20"/>
                <w:color w:val="auto"/>
              </w:rPr>
            </w:pPr>
            <w:r>
              <w:rPr>
                <w:rFonts w:ascii="Arial" w:cs="Arial" w:eastAsia="Arial" w:hAnsi="Arial"/>
                <w:sz w:val="22"/>
                <w:szCs w:val="22"/>
                <w:b w:val="1"/>
                <w:bCs w:val="1"/>
                <w:color w:val="64A70B"/>
              </w:rPr>
              <w:t>=</w:t>
            </w:r>
          </w:p>
        </w:tc>
        <w:tc>
          <w:tcPr>
            <w:tcW w:w="3300" w:type="dxa"/>
            <w:vAlign w:val="bottom"/>
            <w:tcBorders>
              <w:top w:val="single" w:sz="8" w:color="64A70B"/>
            </w:tcBorders>
            <w:vMerge w:val="restart"/>
            <w:shd w:val="clear" w:color="auto" w:fill="0C3471"/>
          </w:tcPr>
          <w:p>
            <w:pPr>
              <w:ind w:left="1180"/>
              <w:spacing w:after="0"/>
              <w:rPr>
                <w:sz w:val="20"/>
                <w:szCs w:val="20"/>
                <w:color w:val="auto"/>
              </w:rPr>
            </w:pPr>
            <w:r>
              <w:rPr>
                <w:rFonts w:ascii="Arial" w:cs="Arial" w:eastAsia="Arial" w:hAnsi="Arial"/>
                <w:sz w:val="16"/>
                <w:szCs w:val="16"/>
                <w:b w:val="1"/>
                <w:bCs w:val="1"/>
                <w:color w:val="FFFFFF"/>
              </w:rPr>
              <w:t>PSU Payout</w:t>
            </w:r>
          </w:p>
        </w:tc>
        <w:tc>
          <w:tcPr>
            <w:tcW w:w="0" w:type="dxa"/>
            <w:vAlign w:val="bottom"/>
          </w:tcPr>
          <w:p>
            <w:pPr>
              <w:spacing w:after="0"/>
              <w:rPr>
                <w:sz w:val="1"/>
                <w:szCs w:val="1"/>
                <w:color w:val="auto"/>
              </w:rPr>
            </w:pPr>
          </w:p>
        </w:tc>
      </w:tr>
      <w:tr>
        <w:trPr>
          <w:trHeight w:val="148"/>
        </w:trPr>
        <w:tc>
          <w:tcPr>
            <w:tcW w:w="3320" w:type="dxa"/>
            <w:vAlign w:val="bottom"/>
            <w:tcBorders>
              <w:left w:val="single" w:sz="8" w:color="0C3471"/>
              <w:right w:val="single" w:sz="8" w:color="0C3471"/>
            </w:tcBorders>
            <w:vMerge w:val="restart"/>
            <w:shd w:val="clear" w:color="auto" w:fill="6D85AA"/>
          </w:tcPr>
          <w:p>
            <w:pPr>
              <w:jc w:val="center"/>
              <w:spacing w:after="0"/>
              <w:rPr>
                <w:sz w:val="20"/>
                <w:szCs w:val="20"/>
                <w:color w:val="auto"/>
              </w:rPr>
            </w:pPr>
            <w:r>
              <w:rPr>
                <w:rFonts w:ascii="Arial" w:cs="Arial" w:eastAsia="Arial" w:hAnsi="Arial"/>
                <w:sz w:val="16"/>
                <w:szCs w:val="16"/>
                <w:b w:val="1"/>
                <w:bCs w:val="1"/>
                <w:color w:val="FFFFFF"/>
              </w:rPr>
              <w:t>75% weighting</w:t>
            </w:r>
          </w:p>
        </w:tc>
        <w:tc>
          <w:tcPr>
            <w:tcW w:w="640" w:type="dxa"/>
            <w:vAlign w:val="bottom"/>
            <w:tcBorders>
              <w:right w:val="single" w:sz="8" w:color="0C3471"/>
            </w:tcBorders>
            <w:vMerge w:val="continue"/>
          </w:tcPr>
          <w:p>
            <w:pPr>
              <w:spacing w:after="0"/>
              <w:rPr>
                <w:sz w:val="12"/>
                <w:szCs w:val="12"/>
                <w:color w:val="auto"/>
              </w:rPr>
            </w:pPr>
          </w:p>
        </w:tc>
        <w:tc>
          <w:tcPr>
            <w:tcW w:w="3320" w:type="dxa"/>
            <w:vAlign w:val="bottom"/>
            <w:tcBorders>
              <w:right w:val="single" w:sz="8" w:color="0C3471"/>
            </w:tcBorders>
            <w:vMerge w:val="restart"/>
            <w:shd w:val="clear" w:color="auto" w:fill="6D85AA"/>
          </w:tcPr>
          <w:p>
            <w:pPr>
              <w:jc w:val="center"/>
              <w:spacing w:after="0"/>
              <w:rPr>
                <w:sz w:val="20"/>
                <w:szCs w:val="20"/>
                <w:color w:val="auto"/>
              </w:rPr>
            </w:pPr>
            <w:r>
              <w:rPr>
                <w:rFonts w:ascii="Arial" w:cs="Arial" w:eastAsia="Arial" w:hAnsi="Arial"/>
                <w:sz w:val="16"/>
                <w:szCs w:val="16"/>
                <w:b w:val="1"/>
                <w:bCs w:val="1"/>
                <w:color w:val="FFFFFF"/>
              </w:rPr>
              <w:t>25% weighting</w:t>
            </w:r>
          </w:p>
        </w:tc>
        <w:tc>
          <w:tcPr>
            <w:tcW w:w="640" w:type="dxa"/>
            <w:vAlign w:val="bottom"/>
            <w:tcBorders>
              <w:right w:val="single" w:sz="8" w:color="64A70B"/>
            </w:tcBorders>
            <w:vMerge w:val="continue"/>
          </w:tcPr>
          <w:p>
            <w:pPr>
              <w:spacing w:after="0"/>
              <w:rPr>
                <w:sz w:val="12"/>
                <w:szCs w:val="12"/>
                <w:color w:val="auto"/>
              </w:rPr>
            </w:pPr>
          </w:p>
        </w:tc>
        <w:tc>
          <w:tcPr>
            <w:tcW w:w="3300" w:type="dxa"/>
            <w:vAlign w:val="bottom"/>
            <w:vMerge w:val="continue"/>
            <w:shd w:val="clear" w:color="auto" w:fill="0C3471"/>
          </w:tcPr>
          <w:p>
            <w:pPr>
              <w:spacing w:after="0"/>
              <w:rPr>
                <w:sz w:val="12"/>
                <w:szCs w:val="12"/>
                <w:color w:val="auto"/>
              </w:rPr>
            </w:pPr>
          </w:p>
        </w:tc>
        <w:tc>
          <w:tcPr>
            <w:tcW w:w="0" w:type="dxa"/>
            <w:vAlign w:val="bottom"/>
          </w:tcPr>
          <w:p>
            <w:pPr>
              <w:spacing w:after="0"/>
              <w:rPr>
                <w:sz w:val="1"/>
                <w:szCs w:val="1"/>
                <w:color w:val="auto"/>
              </w:rPr>
            </w:pPr>
          </w:p>
        </w:tc>
      </w:tr>
      <w:tr>
        <w:trPr>
          <w:trHeight w:val="75"/>
        </w:trPr>
        <w:tc>
          <w:tcPr>
            <w:tcW w:w="3320" w:type="dxa"/>
            <w:vAlign w:val="bottom"/>
            <w:tcBorders>
              <w:left w:val="single" w:sz="8" w:color="0C3471"/>
              <w:right w:val="single" w:sz="8" w:color="0C3471"/>
            </w:tcBorders>
            <w:vMerge w:val="continue"/>
            <w:shd w:val="clear" w:color="auto" w:fill="6D85AA"/>
          </w:tcPr>
          <w:p>
            <w:pPr>
              <w:spacing w:after="0"/>
              <w:rPr>
                <w:sz w:val="6"/>
                <w:szCs w:val="6"/>
                <w:color w:val="auto"/>
              </w:rPr>
            </w:pPr>
          </w:p>
        </w:tc>
        <w:tc>
          <w:tcPr>
            <w:tcW w:w="640" w:type="dxa"/>
            <w:vAlign w:val="bottom"/>
            <w:tcBorders>
              <w:right w:val="single" w:sz="8" w:color="0C3471"/>
            </w:tcBorders>
          </w:tcPr>
          <w:p>
            <w:pPr>
              <w:spacing w:after="0"/>
              <w:rPr>
                <w:sz w:val="6"/>
                <w:szCs w:val="6"/>
                <w:color w:val="auto"/>
              </w:rPr>
            </w:pPr>
          </w:p>
        </w:tc>
        <w:tc>
          <w:tcPr>
            <w:tcW w:w="3320" w:type="dxa"/>
            <w:vAlign w:val="bottom"/>
            <w:tcBorders>
              <w:right w:val="single" w:sz="8" w:color="0C3471"/>
            </w:tcBorders>
            <w:vMerge w:val="continue"/>
            <w:shd w:val="clear" w:color="auto" w:fill="6D85AA"/>
          </w:tcPr>
          <w:p>
            <w:pPr>
              <w:spacing w:after="0"/>
              <w:rPr>
                <w:sz w:val="6"/>
                <w:szCs w:val="6"/>
                <w:color w:val="auto"/>
              </w:rPr>
            </w:pPr>
          </w:p>
        </w:tc>
        <w:tc>
          <w:tcPr>
            <w:tcW w:w="640" w:type="dxa"/>
            <w:vAlign w:val="bottom"/>
            <w:tcBorders>
              <w:right w:val="single" w:sz="8" w:color="64A70B"/>
            </w:tcBorders>
          </w:tcPr>
          <w:p>
            <w:pPr>
              <w:spacing w:after="0"/>
              <w:rPr>
                <w:sz w:val="6"/>
                <w:szCs w:val="6"/>
                <w:color w:val="auto"/>
              </w:rPr>
            </w:pPr>
          </w:p>
        </w:tc>
        <w:tc>
          <w:tcPr>
            <w:tcW w:w="3300" w:type="dxa"/>
            <w:vAlign w:val="bottom"/>
            <w:shd w:val="clear" w:color="auto" w:fill="0C3471"/>
          </w:tcPr>
          <w:p>
            <w:pPr>
              <w:spacing w:after="0"/>
              <w:rPr>
                <w:sz w:val="6"/>
                <w:szCs w:val="6"/>
                <w:color w:val="auto"/>
              </w:rPr>
            </w:pPr>
          </w:p>
        </w:tc>
        <w:tc>
          <w:tcPr>
            <w:tcW w:w="0" w:type="dxa"/>
            <w:vAlign w:val="bottom"/>
          </w:tcPr>
          <w:p>
            <w:pPr>
              <w:spacing w:after="0"/>
              <w:rPr>
                <w:sz w:val="1"/>
                <w:szCs w:val="1"/>
                <w:color w:val="auto"/>
              </w:rPr>
            </w:pPr>
          </w:p>
        </w:tc>
      </w:tr>
      <w:tr>
        <w:trPr>
          <w:trHeight w:val="115"/>
        </w:trPr>
        <w:tc>
          <w:tcPr>
            <w:tcW w:w="3320" w:type="dxa"/>
            <w:vAlign w:val="bottom"/>
            <w:tcBorders>
              <w:left w:val="single" w:sz="8" w:color="0C3471"/>
              <w:bottom w:val="single" w:sz="8" w:color="0C3471"/>
              <w:right w:val="single" w:sz="8" w:color="0C3471"/>
            </w:tcBorders>
            <w:shd w:val="clear" w:color="auto" w:fill="6D85AA"/>
          </w:tcPr>
          <w:p>
            <w:pPr>
              <w:spacing w:after="0"/>
              <w:rPr>
                <w:sz w:val="10"/>
                <w:szCs w:val="10"/>
                <w:color w:val="auto"/>
              </w:rPr>
            </w:pPr>
          </w:p>
        </w:tc>
        <w:tc>
          <w:tcPr>
            <w:tcW w:w="640" w:type="dxa"/>
            <w:vAlign w:val="bottom"/>
            <w:tcBorders>
              <w:right w:val="single" w:sz="8" w:color="0C3471"/>
            </w:tcBorders>
          </w:tcPr>
          <w:p>
            <w:pPr>
              <w:spacing w:after="0"/>
              <w:rPr>
                <w:sz w:val="10"/>
                <w:szCs w:val="10"/>
                <w:color w:val="auto"/>
              </w:rPr>
            </w:pPr>
          </w:p>
        </w:tc>
        <w:tc>
          <w:tcPr>
            <w:tcW w:w="3320" w:type="dxa"/>
            <w:vAlign w:val="bottom"/>
            <w:tcBorders>
              <w:bottom w:val="single" w:sz="8" w:color="0C3471"/>
              <w:right w:val="single" w:sz="8" w:color="0C3471"/>
            </w:tcBorders>
            <w:shd w:val="clear" w:color="auto" w:fill="6D85AA"/>
          </w:tcPr>
          <w:p>
            <w:pPr>
              <w:spacing w:after="0"/>
              <w:rPr>
                <w:sz w:val="10"/>
                <w:szCs w:val="10"/>
                <w:color w:val="auto"/>
              </w:rPr>
            </w:pPr>
          </w:p>
        </w:tc>
        <w:tc>
          <w:tcPr>
            <w:tcW w:w="640" w:type="dxa"/>
            <w:vAlign w:val="bottom"/>
            <w:tcBorders>
              <w:right w:val="single" w:sz="8" w:color="64A70B"/>
            </w:tcBorders>
          </w:tcPr>
          <w:p>
            <w:pPr>
              <w:spacing w:after="0"/>
              <w:rPr>
                <w:sz w:val="10"/>
                <w:szCs w:val="10"/>
                <w:color w:val="auto"/>
              </w:rPr>
            </w:pPr>
          </w:p>
        </w:tc>
        <w:tc>
          <w:tcPr>
            <w:tcW w:w="3300" w:type="dxa"/>
            <w:vAlign w:val="bottom"/>
            <w:tcBorders>
              <w:bottom w:val="single" w:sz="8" w:color="64A70B"/>
            </w:tcBorders>
            <w:shd w:val="clear" w:color="auto" w:fill="0C3471"/>
          </w:tcPr>
          <w:p>
            <w:pPr>
              <w:spacing w:after="0"/>
              <w:rPr>
                <w:sz w:val="10"/>
                <w:szCs w:val="10"/>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right="180"/>
        <w:spacing w:after="0" w:line="321" w:lineRule="auto"/>
        <w:rPr>
          <w:sz w:val="20"/>
          <w:szCs w:val="20"/>
          <w:color w:val="auto"/>
        </w:rPr>
      </w:pPr>
      <w:r>
        <w:rPr>
          <w:rFonts w:ascii="Arial" w:cs="Arial" w:eastAsia="Arial" w:hAnsi="Arial"/>
          <w:sz w:val="16"/>
          <w:szCs w:val="16"/>
          <w:color w:val="auto"/>
        </w:rPr>
        <w:t>The number of performance share units, stock options, and restricted stock units, and the values of the awards granted to the Named Executive Officers in 2025 are reflected under “Executive Compensation Tables — Grants of Plan-Based Awards in 2025.”</w:t>
      </w:r>
    </w:p>
    <w:p>
      <w:pPr>
        <w:spacing w:after="0" w:line="34" w:lineRule="exact"/>
        <w:rPr>
          <w:sz w:val="20"/>
          <w:szCs w:val="20"/>
          <w:color w:val="auto"/>
        </w:rPr>
      </w:pPr>
    </w:p>
    <w:p>
      <w:pPr>
        <w:ind w:right="520"/>
        <w:spacing w:after="0" w:line="321" w:lineRule="auto"/>
        <w:rPr>
          <w:sz w:val="20"/>
          <w:szCs w:val="20"/>
          <w:color w:val="auto"/>
        </w:rPr>
      </w:pPr>
      <w:r>
        <w:rPr>
          <w:rFonts w:ascii="Arial" w:cs="Arial" w:eastAsia="Arial" w:hAnsi="Arial"/>
          <w:sz w:val="16"/>
          <w:szCs w:val="16"/>
          <w:color w:val="auto"/>
        </w:rPr>
        <w:t>The value of restricted stock units that vested for each Named Executive Officer in 2025 and the value of options exercised by each Named Executive Officer in 2025 are shown in the table under “Executive Compensation Tables — 2025 Option Exercises and Stock Vested Table.”</w:t>
      </w:r>
    </w:p>
    <w:p>
      <w:pPr>
        <w:spacing w:after="0" w:line="200" w:lineRule="exact"/>
        <w:rPr>
          <w:sz w:val="20"/>
          <w:szCs w:val="20"/>
          <w:color w:val="auto"/>
        </w:rPr>
      </w:pP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10780" w:type="dxa"/>
            <w:vAlign w:val="bottom"/>
          </w:tcPr>
          <w:p>
            <w:pPr>
              <w:ind w:left="8260"/>
              <w:spacing w:after="0"/>
              <w:rPr>
                <w:sz w:val="20"/>
                <w:szCs w:val="20"/>
                <w:color w:val="auto"/>
              </w:rPr>
            </w:pPr>
            <w:r>
              <w:rPr>
                <w:rFonts w:ascii="Arial" w:cs="Arial" w:eastAsia="Arial" w:hAnsi="Arial"/>
                <w:sz w:val="16"/>
                <w:szCs w:val="16"/>
                <w:b w:val="1"/>
                <w:bCs w:val="1"/>
                <w:color w:val="auto"/>
              </w:rPr>
              <w:t xml:space="preserve">2026 Proxy Statement </w:t>
            </w:r>
            <w:r>
              <w:rPr>
                <w:rFonts w:ascii="Arial" w:cs="Arial" w:eastAsia="Arial" w:hAnsi="Arial"/>
                <w:sz w:val="16"/>
                <w:szCs w:val="16"/>
                <w:b w:val="1"/>
                <w:bCs w:val="1"/>
                <w:color w:val="0C3471"/>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Pentair</w:t>
            </w:r>
          </w:p>
        </w:tc>
        <w:tc>
          <w:tcPr>
            <w:tcW w:w="460" w:type="dxa"/>
            <w:vAlign w:val="bottom"/>
          </w:tcPr>
          <w:p>
            <w:pPr>
              <w:jc w:val="right"/>
              <w:spacing w:after="0"/>
              <w:rPr>
                <w:sz w:val="20"/>
                <w:szCs w:val="20"/>
                <w:color w:val="auto"/>
              </w:rPr>
            </w:pPr>
            <w:r>
              <w:rPr>
                <w:rFonts w:ascii="Arial" w:cs="Arial" w:eastAsia="Arial" w:hAnsi="Arial"/>
                <w:sz w:val="16"/>
                <w:szCs w:val="16"/>
                <w:b w:val="1"/>
                <w:bCs w:val="1"/>
                <w:color w:val="auto"/>
              </w:rPr>
              <w:t>49</w:t>
            </w:r>
          </w:p>
        </w:tc>
      </w:tr>
      <w:tr>
        <w:trPr>
          <w:trHeight w:val="311"/>
        </w:trPr>
        <w:tc>
          <w:tcPr>
            <w:tcW w:w="107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51" w:name="page52"/>
    <w:bookmarkEnd w:id="51"/>
    <w:p>
      <w:pPr>
        <w:ind w:left="36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216535</wp:posOffset>
            </wp:positionH>
            <wp:positionV relativeFrom="page">
              <wp:posOffset>106045</wp:posOffset>
            </wp:positionV>
            <wp:extent cx="102870" cy="11176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clrChange>
                        <a:clrFrom>
                          <a:srgbClr val="FFFFFF"/>
                        </a:clrFrom>
                        <a:clrTo>
                          <a:srgbClr val="FFFFFF">
                            <a:alpha val="0"/>
                          </a:srgbClr>
                        </a:clrTo>
                      </a:clrChange>
                      <a:extLst>
                        <a:ext uri="{28A0092B-C50C-407E-A947-70E740481C1C}"/>
                      </a:extLst>
                    </a:blip>
                    <a:srcRect/>
                    <a:stretch>
                      <a:fillRect/>
                    </a:stretch>
                  </pic:blipFill>
                  <pic:spPr bwMode="auto">
                    <a:xfrm>
                      <a:off x="0" y="0"/>
                      <a:ext cx="102870" cy="111760"/>
                    </a:xfrm>
                    <a:prstGeom prst="rect">
                      <a:avLst/>
                    </a:prstGeom>
                    <a:noFill/>
                  </pic:spPr>
                </pic:pic>
              </a:graphicData>
            </a:graphic>
          </wp:anchor>
        </w:drawing>
        <w:t>Compensation Discussion and Analysis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Results of Performance Measures Under 2023-2025 PSUs</w:t>
      </w:r>
    </w:p>
    <w:p>
      <w:pPr>
        <w:spacing w:after="0" w:line="128" w:lineRule="exact"/>
        <w:rPr>
          <w:sz w:val="20"/>
          <w:szCs w:val="20"/>
          <w:color w:val="auto"/>
        </w:rPr>
      </w:pPr>
    </w:p>
    <w:p>
      <w:pPr>
        <w:ind w:right="20"/>
        <w:spacing w:after="0" w:line="282" w:lineRule="auto"/>
        <w:rPr>
          <w:sz w:val="20"/>
          <w:szCs w:val="20"/>
          <w:color w:val="auto"/>
        </w:rPr>
      </w:pPr>
      <w:r>
        <w:rPr>
          <w:rFonts w:ascii="Arial" w:cs="Arial" w:eastAsia="Arial" w:hAnsi="Arial"/>
          <w:sz w:val="16"/>
          <w:szCs w:val="16"/>
          <w:color w:val="auto"/>
        </w:rPr>
        <w:t>The Compensation Committee granted stock-settled performance share units to the Named Executive Officers in 2023, relating to the three-year performance period from 2023 to 2025. Each performance share unit entitled the holder to one ordinary share following the end of the three-year performance period if the Company achieved specific performance goals on metrics established by the Compensation Committee. The performance goals selected by the Compensation Committee for the 2023-2025 performance period were Adjusted EPS and ROIC, weighted at 75% and 25%, respectively. The targets set were reflective of our long-term growth and acquisition strategy. Payouts would be scaled for performance between threshold and target, and between target and maximum.</w:t>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The Compensation Committee reviewed and approved the performance share units for the 2023-2025 performance period as reflected in the chart below.</w:t>
      </w:r>
    </w:p>
    <w:p>
      <w:pPr>
        <w:spacing w:after="0" w:line="226" w:lineRule="exact"/>
        <w:rPr>
          <w:sz w:val="20"/>
          <w:szCs w:val="20"/>
          <w:color w:val="auto"/>
        </w:rPr>
      </w:pPr>
    </w:p>
    <w:tbl>
      <w:tblPr>
        <w:tblLayout w:type="fixed"/>
        <w:tblInd w:w="1240" w:type="dxa"/>
        <w:tblCellMar>
          <w:top w:w="0" w:type="dxa"/>
          <w:left w:w="0" w:type="dxa"/>
          <w:bottom w:w="0" w:type="dxa"/>
          <w:right w:w="0" w:type="dxa"/>
        </w:tblCellMar>
      </w:tblPr>
      <w:tr>
        <w:trPr>
          <w:trHeight w:val="162"/>
        </w:trPr>
        <w:tc>
          <w:tcPr>
            <w:tcW w:w="2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20" w:type="dxa"/>
            <w:vAlign w:val="bottom"/>
          </w:tcPr>
          <w:p>
            <w:pPr>
              <w:jc w:val="center"/>
              <w:ind w:left="28"/>
              <w:spacing w:after="0"/>
              <w:rPr>
                <w:sz w:val="20"/>
                <w:szCs w:val="20"/>
                <w:color w:val="auto"/>
              </w:rPr>
            </w:pPr>
            <w:r>
              <w:rPr>
                <w:rFonts w:ascii="Arial" w:cs="Arial" w:eastAsia="Arial" w:hAnsi="Arial"/>
                <w:sz w:val="14"/>
                <w:szCs w:val="14"/>
                <w:b w:val="1"/>
                <w:bCs w:val="1"/>
                <w:color w:val="auto"/>
              </w:rPr>
              <w:t>Threshold</w:t>
            </w: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98"/>
              </w:rPr>
              <w:t>Target</w:t>
            </w: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rPr>
              <w:t>Maximum</w:t>
            </w:r>
          </w:p>
        </w:tc>
        <w:tc>
          <w:tcPr>
            <w:tcW w:w="1560" w:type="dxa"/>
            <w:vAlign w:val="bottom"/>
          </w:tcPr>
          <w:p>
            <w:pPr>
              <w:jc w:val="right"/>
              <w:spacing w:after="0"/>
              <w:rPr>
                <w:sz w:val="20"/>
                <w:szCs w:val="20"/>
                <w:color w:val="auto"/>
              </w:rPr>
            </w:pPr>
            <w:r>
              <w:rPr>
                <w:rFonts w:ascii="Arial" w:cs="Arial" w:eastAsia="Arial" w:hAnsi="Arial"/>
                <w:sz w:val="14"/>
                <w:szCs w:val="14"/>
                <w:b w:val="1"/>
                <w:bCs w:val="1"/>
                <w:color w:val="auto"/>
              </w:rPr>
              <w:t>Actual Weighted</w:t>
            </w:r>
          </w:p>
        </w:tc>
      </w:tr>
      <w:tr>
        <w:trPr>
          <w:trHeight w:val="219"/>
        </w:trPr>
        <w:tc>
          <w:tcPr>
            <w:tcW w:w="2400" w:type="dxa"/>
            <w:vAlign w:val="bottom"/>
            <w:tcBorders>
              <w:bottom w:val="single" w:sz="8" w:color="0C3471"/>
            </w:tcBorders>
          </w:tcPr>
          <w:p>
            <w:pPr>
              <w:ind w:left="20"/>
              <w:spacing w:after="0"/>
              <w:rPr>
                <w:sz w:val="20"/>
                <w:szCs w:val="20"/>
                <w:color w:val="auto"/>
              </w:rPr>
            </w:pPr>
            <w:r>
              <w:rPr>
                <w:rFonts w:ascii="Arial" w:cs="Arial" w:eastAsia="Arial" w:hAnsi="Arial"/>
                <w:sz w:val="14"/>
                <w:szCs w:val="14"/>
                <w:b w:val="1"/>
                <w:bCs w:val="1"/>
                <w:color w:val="auto"/>
              </w:rPr>
              <w:t>Financial Performance Measure</w:t>
            </w:r>
          </w:p>
        </w:tc>
        <w:tc>
          <w:tcPr>
            <w:tcW w:w="940" w:type="dxa"/>
            <w:vAlign w:val="bottom"/>
            <w:tcBorders>
              <w:bottom w:val="single" w:sz="8" w:color="0C3471"/>
            </w:tcBorders>
          </w:tcPr>
          <w:p>
            <w:pPr>
              <w:ind w:left="200"/>
              <w:spacing w:after="0"/>
              <w:rPr>
                <w:sz w:val="20"/>
                <w:szCs w:val="20"/>
                <w:color w:val="auto"/>
              </w:rPr>
            </w:pPr>
            <w:r>
              <w:rPr>
                <w:rFonts w:ascii="Arial" w:cs="Arial" w:eastAsia="Arial" w:hAnsi="Arial"/>
                <w:sz w:val="14"/>
                <w:szCs w:val="14"/>
                <w:b w:val="1"/>
                <w:bCs w:val="1"/>
                <w:color w:val="auto"/>
              </w:rPr>
              <w:t>Weight</w:t>
            </w:r>
          </w:p>
        </w:tc>
        <w:tc>
          <w:tcPr>
            <w:tcW w:w="1320" w:type="dxa"/>
            <w:vAlign w:val="bottom"/>
            <w:tcBorders>
              <w:bottom w:val="single" w:sz="8" w:color="0C3471"/>
            </w:tcBorders>
          </w:tcPr>
          <w:p>
            <w:pPr>
              <w:jc w:val="center"/>
              <w:ind w:left="28"/>
              <w:spacing w:after="0"/>
              <w:rPr>
                <w:sz w:val="20"/>
                <w:szCs w:val="20"/>
                <w:color w:val="auto"/>
              </w:rPr>
            </w:pPr>
            <w:r>
              <w:rPr>
                <w:rFonts w:ascii="Arial" w:cs="Arial" w:eastAsia="Arial" w:hAnsi="Arial"/>
                <w:sz w:val="14"/>
                <w:szCs w:val="14"/>
                <w:b w:val="1"/>
                <w:bCs w:val="1"/>
                <w:color w:val="auto"/>
              </w:rPr>
              <w:t>(50% Payout)</w:t>
            </w:r>
          </w:p>
        </w:tc>
        <w:tc>
          <w:tcPr>
            <w:tcW w:w="1280" w:type="dxa"/>
            <w:vAlign w:val="bottom"/>
            <w:tcBorders>
              <w:bottom w:val="single" w:sz="8" w:color="0C3471"/>
            </w:tcBorders>
          </w:tcPr>
          <w:p>
            <w:pPr>
              <w:jc w:val="center"/>
              <w:spacing w:after="0"/>
              <w:rPr>
                <w:sz w:val="20"/>
                <w:szCs w:val="20"/>
                <w:color w:val="auto"/>
              </w:rPr>
            </w:pPr>
            <w:r>
              <w:rPr>
                <w:rFonts w:ascii="Arial" w:cs="Arial" w:eastAsia="Arial" w:hAnsi="Arial"/>
                <w:sz w:val="14"/>
                <w:szCs w:val="14"/>
                <w:b w:val="1"/>
                <w:bCs w:val="1"/>
                <w:color w:val="auto"/>
              </w:rPr>
              <w:t>(100% Payout)</w:t>
            </w:r>
          </w:p>
        </w:tc>
        <w:tc>
          <w:tcPr>
            <w:tcW w:w="1260" w:type="dxa"/>
            <w:vAlign w:val="bottom"/>
            <w:tcBorders>
              <w:bottom w:val="single" w:sz="8" w:color="0C3471"/>
            </w:tcBorders>
          </w:tcPr>
          <w:p>
            <w:pPr>
              <w:jc w:val="center"/>
              <w:spacing w:after="0"/>
              <w:rPr>
                <w:sz w:val="20"/>
                <w:szCs w:val="20"/>
                <w:color w:val="auto"/>
              </w:rPr>
            </w:pPr>
            <w:r>
              <w:rPr>
                <w:rFonts w:ascii="Arial" w:cs="Arial" w:eastAsia="Arial" w:hAnsi="Arial"/>
                <w:sz w:val="14"/>
                <w:szCs w:val="14"/>
                <w:b w:val="1"/>
                <w:bCs w:val="1"/>
                <w:color w:val="auto"/>
              </w:rPr>
              <w:t>(200% Payout)</w:t>
            </w:r>
          </w:p>
        </w:tc>
        <w:tc>
          <w:tcPr>
            <w:tcW w:w="1560" w:type="dxa"/>
            <w:vAlign w:val="bottom"/>
            <w:tcBorders>
              <w:bottom w:val="single" w:sz="8" w:color="0C3471"/>
            </w:tcBorders>
          </w:tcPr>
          <w:p>
            <w:pPr>
              <w:jc w:val="right"/>
              <w:spacing w:after="0"/>
              <w:rPr>
                <w:sz w:val="20"/>
                <w:szCs w:val="20"/>
                <w:color w:val="auto"/>
              </w:rPr>
            </w:pPr>
            <w:r>
              <w:rPr>
                <w:rFonts w:ascii="Arial" w:cs="Arial" w:eastAsia="Arial" w:hAnsi="Arial"/>
                <w:sz w:val="14"/>
                <w:szCs w:val="14"/>
                <w:b w:val="1"/>
                <w:bCs w:val="1"/>
                <w:color w:val="auto"/>
              </w:rPr>
              <w:t>Payout (% of Target)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2345055</wp:posOffset>
            </wp:positionH>
            <wp:positionV relativeFrom="paragraph">
              <wp:posOffset>68580</wp:posOffset>
            </wp:positionV>
            <wp:extent cx="2802890" cy="48895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2802890" cy="488950"/>
                    </a:xfrm>
                    <a:prstGeom prst="rect">
                      <a:avLst/>
                    </a:prstGeom>
                    <a:noFill/>
                  </pic:spPr>
                </pic:pic>
              </a:graphicData>
            </a:graphic>
          </wp:anchor>
        </w:drawing>
      </w:r>
    </w:p>
    <w:p>
      <w:pPr>
        <w:spacing w:after="0" w:line="398" w:lineRule="exact"/>
        <w:rPr>
          <w:sz w:val="20"/>
          <w:szCs w:val="20"/>
          <w:color w:val="auto"/>
        </w:rPr>
      </w:pPr>
    </w:p>
    <w:tbl>
      <w:tblPr>
        <w:tblLayout w:type="fixed"/>
        <w:tblInd w:w="1260" w:type="dxa"/>
        <w:tblCellMar>
          <w:top w:w="0" w:type="dxa"/>
          <w:left w:w="0" w:type="dxa"/>
          <w:bottom w:w="0" w:type="dxa"/>
          <w:right w:w="0" w:type="dxa"/>
        </w:tblCellMar>
      </w:tblPr>
      <w:tr>
        <w:trPr>
          <w:trHeight w:val="228"/>
        </w:trPr>
        <w:tc>
          <w:tcPr>
            <w:tcW w:w="4580" w:type="dxa"/>
            <w:vAlign w:val="bottom"/>
          </w:tcPr>
          <w:p>
            <w:pPr>
              <w:spacing w:after="0"/>
              <w:rPr>
                <w:sz w:val="20"/>
                <w:szCs w:val="20"/>
                <w:color w:val="auto"/>
              </w:rPr>
            </w:pPr>
            <w:r>
              <w:rPr>
                <w:rFonts w:ascii="Arial" w:cs="Arial" w:eastAsia="Arial" w:hAnsi="Arial"/>
                <w:sz w:val="16"/>
                <w:szCs w:val="16"/>
                <w:color w:val="auto"/>
              </w:rPr>
              <w:t>Adjusted EPS*</w:t>
            </w:r>
          </w:p>
        </w:tc>
        <w:tc>
          <w:tcPr>
            <w:tcW w:w="4140" w:type="dxa"/>
            <w:vAlign w:val="bottom"/>
          </w:tcPr>
          <w:p>
            <w:pPr>
              <w:jc w:val="right"/>
              <w:spacing w:after="0"/>
              <w:rPr>
                <w:sz w:val="20"/>
                <w:szCs w:val="20"/>
                <w:color w:val="auto"/>
              </w:rPr>
            </w:pPr>
            <w:r>
              <w:rPr>
                <w:rFonts w:ascii="Arial" w:cs="Arial" w:eastAsia="Arial" w:hAnsi="Arial"/>
                <w:sz w:val="16"/>
                <w:szCs w:val="16"/>
                <w:b w:val="1"/>
                <w:bCs w:val="1"/>
                <w:color w:val="auto"/>
              </w:rPr>
              <w:t>103.24%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793750</wp:posOffset>
            </wp:positionH>
            <wp:positionV relativeFrom="paragraph">
              <wp:posOffset>258445</wp:posOffset>
            </wp:positionV>
            <wp:extent cx="5554980" cy="53975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5554980" cy="539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tbl>
      <w:tblPr>
        <w:tblLayout w:type="fixed"/>
        <w:tblInd w:w="1260" w:type="dxa"/>
        <w:tblCellMar>
          <w:top w:w="0" w:type="dxa"/>
          <w:left w:w="0" w:type="dxa"/>
          <w:bottom w:w="0" w:type="dxa"/>
          <w:right w:w="0" w:type="dxa"/>
        </w:tblCellMar>
      </w:tblPr>
      <w:tr>
        <w:trPr>
          <w:trHeight w:val="228"/>
        </w:trPr>
        <w:tc>
          <w:tcPr>
            <w:tcW w:w="4360" w:type="dxa"/>
            <w:vAlign w:val="bottom"/>
          </w:tcPr>
          <w:p>
            <w:pPr>
              <w:spacing w:after="0"/>
              <w:rPr>
                <w:sz w:val="20"/>
                <w:szCs w:val="20"/>
                <w:color w:val="auto"/>
              </w:rPr>
            </w:pPr>
            <w:r>
              <w:rPr>
                <w:rFonts w:ascii="Arial" w:cs="Arial" w:eastAsia="Arial" w:hAnsi="Arial"/>
                <w:sz w:val="16"/>
                <w:szCs w:val="16"/>
                <w:color w:val="auto"/>
              </w:rPr>
              <w:t>ROIC**</w:t>
            </w:r>
          </w:p>
        </w:tc>
        <w:tc>
          <w:tcPr>
            <w:tcW w:w="4360" w:type="dxa"/>
            <w:vAlign w:val="bottom"/>
          </w:tcPr>
          <w:p>
            <w:pPr>
              <w:jc w:val="right"/>
              <w:spacing w:after="0"/>
              <w:rPr>
                <w:sz w:val="20"/>
                <w:szCs w:val="20"/>
                <w:color w:val="auto"/>
              </w:rPr>
            </w:pPr>
            <w:r>
              <w:rPr>
                <w:rFonts w:ascii="Arial" w:cs="Arial" w:eastAsia="Arial" w:hAnsi="Arial"/>
                <w:sz w:val="16"/>
                <w:szCs w:val="16"/>
                <w:b w:val="1"/>
                <w:bCs w:val="1"/>
                <w:color w:val="auto"/>
              </w:rPr>
              <w:t>38.91%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793750</wp:posOffset>
            </wp:positionH>
            <wp:positionV relativeFrom="paragraph">
              <wp:posOffset>258445</wp:posOffset>
            </wp:positionV>
            <wp:extent cx="5554980" cy="53975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5554980" cy="539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1260" w:type="dxa"/>
        <w:tblCellMar>
          <w:top w:w="0" w:type="dxa"/>
          <w:left w:w="0" w:type="dxa"/>
          <w:bottom w:w="0" w:type="dxa"/>
          <w:right w:w="0" w:type="dxa"/>
        </w:tblCellMar>
      </w:tblPr>
      <w:tr>
        <w:trPr>
          <w:trHeight w:val="189"/>
        </w:trPr>
        <w:tc>
          <w:tcPr>
            <w:tcW w:w="5020" w:type="dxa"/>
            <w:vAlign w:val="bottom"/>
          </w:tcPr>
          <w:p>
            <w:pPr>
              <w:spacing w:after="0"/>
              <w:rPr>
                <w:sz w:val="20"/>
                <w:szCs w:val="20"/>
                <w:color w:val="auto"/>
              </w:rPr>
            </w:pPr>
            <w:r>
              <w:rPr>
                <w:rFonts w:ascii="Arial" w:cs="Arial" w:eastAsia="Arial" w:hAnsi="Arial"/>
                <w:sz w:val="16"/>
                <w:szCs w:val="16"/>
                <w:b w:val="1"/>
                <w:bCs w:val="1"/>
                <w:color w:val="auto"/>
              </w:rPr>
              <w:t>2023-2025 Total Weighted</w:t>
            </w:r>
          </w:p>
        </w:tc>
        <w:tc>
          <w:tcPr>
            <w:tcW w:w="37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142.15%</w:t>
            </w:r>
          </w:p>
        </w:tc>
        <w:tc>
          <w:tcPr>
            <w:tcW w:w="0" w:type="dxa"/>
            <w:vAlign w:val="bottom"/>
          </w:tcPr>
          <w:p>
            <w:pPr>
              <w:spacing w:after="0"/>
              <w:rPr>
                <w:sz w:val="1"/>
                <w:szCs w:val="1"/>
                <w:color w:val="auto"/>
              </w:rPr>
            </w:pPr>
          </w:p>
        </w:tc>
      </w:tr>
      <w:tr>
        <w:trPr>
          <w:trHeight w:val="128"/>
        </w:trPr>
        <w:tc>
          <w:tcPr>
            <w:tcW w:w="5020" w:type="dxa"/>
            <w:vAlign w:val="bottom"/>
            <w:vMerge w:val="restart"/>
          </w:tcPr>
          <w:p>
            <w:pPr>
              <w:spacing w:after="0"/>
              <w:rPr>
                <w:sz w:val="20"/>
                <w:szCs w:val="20"/>
                <w:color w:val="auto"/>
              </w:rPr>
            </w:pPr>
            <w:r>
              <w:rPr>
                <w:rFonts w:ascii="Arial" w:cs="Arial" w:eastAsia="Arial" w:hAnsi="Arial"/>
                <w:sz w:val="16"/>
                <w:szCs w:val="16"/>
                <w:b w:val="1"/>
                <w:bCs w:val="1"/>
                <w:color w:val="auto"/>
              </w:rPr>
              <w:t>Performance</w:t>
            </w:r>
          </w:p>
        </w:tc>
        <w:tc>
          <w:tcPr>
            <w:tcW w:w="37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5020" w:type="dxa"/>
            <w:vAlign w:val="bottom"/>
            <w:vMerge w:val="continue"/>
          </w:tcPr>
          <w:p>
            <w:pPr>
              <w:spacing w:after="0"/>
              <w:rPr>
                <w:sz w:val="8"/>
                <w:szCs w:val="8"/>
                <w:color w:val="auto"/>
              </w:rPr>
            </w:pPr>
          </w:p>
        </w:tc>
        <w:tc>
          <w:tcPr>
            <w:tcW w:w="37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793750</wp:posOffset>
            </wp:positionH>
            <wp:positionV relativeFrom="paragraph">
              <wp:posOffset>201930</wp:posOffset>
            </wp:positionV>
            <wp:extent cx="5554980"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5554980" cy="8890"/>
                    </a:xfrm>
                    <a:prstGeom prst="rect">
                      <a:avLst/>
                    </a:prstGeom>
                    <a:noFill/>
                  </pic:spPr>
                </pic:pic>
              </a:graphicData>
            </a:graphic>
          </wp:anchor>
        </w:drawing>
      </w:r>
    </w:p>
    <w:p>
      <w:pPr>
        <w:spacing w:after="0" w:line="200" w:lineRule="exact"/>
        <w:rPr>
          <w:sz w:val="20"/>
          <w:szCs w:val="20"/>
          <w:color w:val="auto"/>
        </w:rPr>
      </w:pPr>
    </w:p>
    <w:p>
      <w:pPr>
        <w:spacing w:after="0" w:line="291" w:lineRule="exact"/>
        <w:rPr>
          <w:sz w:val="20"/>
          <w:szCs w:val="20"/>
          <w:color w:val="auto"/>
        </w:rPr>
      </w:pPr>
    </w:p>
    <w:p>
      <w:pPr>
        <w:ind w:left="220" w:hanging="212"/>
        <w:spacing w:after="0"/>
        <w:tabs>
          <w:tab w:leader="none" w:pos="220" w:val="left"/>
        </w:tabs>
        <w:numPr>
          <w:ilvl w:val="0"/>
          <w:numId w:val="92"/>
        </w:numPr>
        <w:rPr>
          <w:rFonts w:ascii="Arial" w:cs="Arial" w:eastAsia="Arial" w:hAnsi="Arial"/>
          <w:sz w:val="14"/>
          <w:szCs w:val="14"/>
          <w:color w:val="auto"/>
        </w:rPr>
      </w:pPr>
      <w:r>
        <w:rPr>
          <w:rFonts w:ascii="Arial" w:cs="Arial" w:eastAsia="Arial" w:hAnsi="Arial"/>
          <w:sz w:val="14"/>
          <w:szCs w:val="14"/>
          <w:color w:val="auto"/>
        </w:rPr>
        <w:t>Adjusted EPS is determined based on full year 2025 adjusted earnings per diluted share from continuing operations.</w:t>
      </w:r>
    </w:p>
    <w:p>
      <w:pPr>
        <w:spacing w:after="0" w:line="96" w:lineRule="exact"/>
        <w:rPr>
          <w:sz w:val="20"/>
          <w:szCs w:val="20"/>
          <w:color w:val="auto"/>
        </w:rPr>
      </w:pPr>
    </w:p>
    <w:p>
      <w:pPr>
        <w:jc w:val="both"/>
        <w:ind w:left="200" w:hanging="192"/>
        <w:spacing w:after="0" w:line="303" w:lineRule="auto"/>
        <w:tabs>
          <w:tab w:leader="none" w:pos="278" w:val="left"/>
        </w:tabs>
        <w:numPr>
          <w:ilvl w:val="0"/>
          <w:numId w:val="93"/>
        </w:numPr>
        <w:rPr>
          <w:rFonts w:ascii="Arial" w:cs="Arial" w:eastAsia="Arial" w:hAnsi="Arial"/>
          <w:sz w:val="14"/>
          <w:szCs w:val="14"/>
          <w:color w:val="auto"/>
        </w:rPr>
      </w:pPr>
      <w:r>
        <w:rPr>
          <w:rFonts w:ascii="Arial" w:cs="Arial" w:eastAsia="Arial" w:hAnsi="Arial"/>
          <w:sz w:val="14"/>
          <w:szCs w:val="14"/>
          <w:color w:val="auto"/>
        </w:rPr>
        <w:t>ROIC is determined by the sum of the trailing four quarters of Adjusted Operating Income after tax plus depreciation less capital expenditures for each of the quarters ended March 31, June 30, September 30 and December 31, 2025 divided by the average of the trailing five quarters invested capital (Total Shareholders’ Equity + Long-term Debt + Current Maturities of Long-term Debt and Short-term Borrowings — Cash and Cash Equivalents) as of December 31, 2025.</w:t>
      </w:r>
    </w:p>
    <w:p>
      <w:pPr>
        <w:spacing w:after="0" w:line="19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2026 Performance Measures</w:t>
      </w:r>
    </w:p>
    <w:p>
      <w:pPr>
        <w:spacing w:after="0" w:line="128" w:lineRule="exact"/>
        <w:rPr>
          <w:sz w:val="20"/>
          <w:szCs w:val="20"/>
          <w:color w:val="auto"/>
        </w:rPr>
      </w:pPr>
    </w:p>
    <w:p>
      <w:pPr>
        <w:ind w:right="460"/>
        <w:spacing w:after="0" w:line="321" w:lineRule="auto"/>
        <w:rPr>
          <w:sz w:val="20"/>
          <w:szCs w:val="20"/>
          <w:color w:val="auto"/>
        </w:rPr>
      </w:pPr>
      <w:r>
        <w:rPr>
          <w:rFonts w:ascii="Arial" w:cs="Arial" w:eastAsia="Arial" w:hAnsi="Arial"/>
          <w:sz w:val="16"/>
          <w:szCs w:val="16"/>
          <w:color w:val="auto"/>
        </w:rPr>
        <w:t>For the performance share units granted in 2026 for the 2026-2028 performance period, the Compensation Committee approved adding a third metric, revenue, weighted 25%, to accelerate the focus on growth. Adjusted EPS will have a reduced weight of 50% and ROIC will retain a weighting of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167640</wp:posOffset>
            </wp:positionV>
            <wp:extent cx="282575" cy="28257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282575" cy="282575"/>
                    </a:xfrm>
                    <a:prstGeom prst="rect">
                      <a:avLst/>
                    </a:prstGeom>
                    <a:noFill/>
                  </pic:spPr>
                </pic:pic>
              </a:graphicData>
            </a:graphic>
          </wp:anchor>
        </w:drawing>
      </w:r>
    </w:p>
    <w:p>
      <w:pPr>
        <w:spacing w:after="0" w:line="307" w:lineRule="exact"/>
        <w:rPr>
          <w:sz w:val="20"/>
          <w:szCs w:val="20"/>
          <w:color w:val="auto"/>
        </w:rPr>
      </w:pPr>
    </w:p>
    <w:p>
      <w:pPr>
        <w:ind w:left="720"/>
        <w:spacing w:after="0"/>
        <w:rPr>
          <w:sz w:val="20"/>
          <w:szCs w:val="20"/>
          <w:color w:val="auto"/>
        </w:rPr>
      </w:pPr>
      <w:r>
        <w:rPr>
          <w:rFonts w:ascii="Arial" w:cs="Arial" w:eastAsia="Arial" w:hAnsi="Arial"/>
          <w:sz w:val="29"/>
          <w:szCs w:val="29"/>
          <w:color w:val="64A70B"/>
        </w:rPr>
        <w:t>Additional Benefits and Perquisites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32320"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Perquisites and Other Personal Benefits</w:t>
      </w:r>
    </w:p>
    <w:p>
      <w:pPr>
        <w:spacing w:after="0" w:line="128" w:lineRule="exact"/>
        <w:rPr>
          <w:sz w:val="20"/>
          <w:szCs w:val="20"/>
          <w:color w:val="auto"/>
        </w:rPr>
      </w:pPr>
    </w:p>
    <w:p>
      <w:pPr>
        <w:ind w:right="160"/>
        <w:spacing w:after="0" w:line="321" w:lineRule="auto"/>
        <w:rPr>
          <w:sz w:val="20"/>
          <w:szCs w:val="20"/>
          <w:color w:val="auto"/>
        </w:rPr>
      </w:pPr>
      <w:r>
        <w:rPr>
          <w:rFonts w:ascii="Arial" w:cs="Arial" w:eastAsia="Arial" w:hAnsi="Arial"/>
          <w:sz w:val="16"/>
          <w:szCs w:val="16"/>
          <w:color w:val="auto"/>
        </w:rPr>
        <w:t>The Compensation Committee periodically reviews market data provided by Aon Consulting to assess the levels of perquisites and other personal benefits provided to the Named Executive Officers.</w:t>
      </w:r>
    </w:p>
    <w:p>
      <w:pPr>
        <w:spacing w:after="0" w:line="34"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We provide our executive officers with limited perquisites in the form of occasional personal use of event tickets when such tickets are not being used for business purposes, a limited financial counseling benefit and we provide certain executive officers with corporate golf club membership benefits for business development purposes, for which, in each case, we have no aggregate incremental cost. We also provide one executive physical per year for preventative care. In addition, we occasionally provide for travel and expenses for spouses of executive officers to attend certain events, in each of these cases, we also have no aggregate incremental cost.</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600" w:hanging="574"/>
        <w:spacing w:after="0"/>
        <w:tabs>
          <w:tab w:leader="none" w:pos="600" w:val="left"/>
        </w:tabs>
        <w:numPr>
          <w:ilvl w:val="0"/>
          <w:numId w:val="94"/>
        </w:numPr>
        <w:rPr>
          <w:rFonts w:ascii="Arial" w:cs="Arial" w:eastAsia="Arial" w:hAnsi="Arial"/>
          <w:sz w:val="16"/>
          <w:szCs w:val="16"/>
          <w:b w:val="1"/>
          <w:bCs w:val="1"/>
          <w:color w:val="auto"/>
        </w:rPr>
      </w:pPr>
      <w:r>
        <w:rPr>
          <w:rFonts w:ascii="Arial" w:cs="Arial" w:eastAsia="Arial" w:hAnsi="Arial"/>
          <w:sz w:val="16"/>
          <w:szCs w:val="16"/>
          <w:color w:val="auto"/>
        </w:rPr>
        <w:t xml:space="preserve">Pentair </w:t>
      </w:r>
      <w:r>
        <w:rPr>
          <w:rFonts w:ascii="Arial" w:cs="Arial" w:eastAsia="Arial" w:hAnsi="Arial"/>
          <w:sz w:val="16"/>
          <w:szCs w:val="16"/>
          <w:b w:val="1"/>
          <w:bCs w:val="1"/>
          <w:color w:val="0C3471"/>
        </w:rPr>
        <w:t>|</w:t>
      </w:r>
      <w:r>
        <w:rPr>
          <w:rFonts w:ascii="Arial" w:cs="Arial" w:eastAsia="Arial" w:hAnsi="Arial"/>
          <w:sz w:val="16"/>
          <w:szCs w:val="16"/>
          <w:color w:val="auto"/>
        </w:rPr>
        <w:t xml:space="preserve"> </w:t>
      </w:r>
      <w:r>
        <w:rPr>
          <w:rFonts w:ascii="Arial" w:cs="Arial" w:eastAsia="Arial" w:hAnsi="Arial"/>
          <w:sz w:val="16"/>
          <w:szCs w:val="16"/>
          <w:b w:val="1"/>
          <w:bCs w:val="1"/>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205105</wp:posOffset>
            </wp:positionV>
            <wp:extent cx="7157720"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9" w:right="359" w:bottom="1440" w:gutter="0" w:footer="0" w:header="0"/>
        </w:sectPr>
      </w:pPr>
    </w:p>
    <w:bookmarkStart w:id="52" w:name="page53"/>
    <w:bookmarkEnd w:id="52"/>
    <w:p>
      <w:pPr>
        <w:jc w:val="right"/>
        <w:ind w:right="20"/>
        <w:spacing w:after="0"/>
        <w:rPr>
          <w:sz w:val="20"/>
          <w:szCs w:val="20"/>
          <w:color w:val="auto"/>
        </w:rPr>
      </w:pPr>
      <w:r>
        <w:rPr>
          <w:rFonts w:ascii="Arial" w:cs="Arial" w:eastAsia="Arial" w:hAnsi="Arial"/>
          <w:sz w:val="16"/>
          <w:szCs w:val="16"/>
          <w:b w:val="1"/>
          <w:bCs w:val="1"/>
          <w:color w:val="auto"/>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4659630</wp:posOffset>
            </wp:positionH>
            <wp:positionV relativeFrom="paragraph">
              <wp:posOffset>-107315</wp:posOffset>
            </wp:positionV>
            <wp:extent cx="102870" cy="11176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102870" cy="111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right="40"/>
        <w:spacing w:after="0" w:line="292" w:lineRule="auto"/>
        <w:rPr>
          <w:sz w:val="20"/>
          <w:szCs w:val="20"/>
          <w:color w:val="auto"/>
        </w:rPr>
      </w:pPr>
      <w:r>
        <w:rPr>
          <w:rFonts w:ascii="Arial" w:cs="Arial" w:eastAsia="Arial" w:hAnsi="Arial"/>
          <w:sz w:val="16"/>
          <w:szCs w:val="16"/>
          <w:color w:val="auto"/>
        </w:rPr>
        <w:t>In September 2021, the Compensation Committee adopted a Products and Services Program for Executives. The program is intended to encourage the use and promotion of Pentair’s products and service offerings by our executives, and to give our executive officers firsthand knowledge of our customers’ experiences.</w:t>
      </w:r>
    </w:p>
    <w:p>
      <w:pPr>
        <w:spacing w:after="0" w:line="71" w:lineRule="exact"/>
        <w:rPr>
          <w:sz w:val="20"/>
          <w:szCs w:val="20"/>
          <w:color w:val="auto"/>
        </w:rPr>
      </w:pPr>
    </w:p>
    <w:p>
      <w:pPr>
        <w:ind w:right="340"/>
        <w:spacing w:after="0" w:line="292" w:lineRule="auto"/>
        <w:rPr>
          <w:sz w:val="20"/>
          <w:szCs w:val="20"/>
          <w:color w:val="auto"/>
        </w:rPr>
      </w:pPr>
      <w:r>
        <w:rPr>
          <w:rFonts w:ascii="Arial" w:cs="Arial" w:eastAsia="Arial" w:hAnsi="Arial"/>
          <w:sz w:val="16"/>
          <w:szCs w:val="16"/>
          <w:color w:val="auto"/>
        </w:rPr>
        <w:t>Executive officers are eligible for a maximum of $50,000 of products and services annually to provide our executive officers a broader opportunity to experience and promote products. Pentair covers sales taxes on the products and services; and executive officers are responsible for paying associated income taxes.</w:t>
      </w:r>
    </w:p>
    <w:p>
      <w:pPr>
        <w:spacing w:after="0" w:line="19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Retirement and Other Benefits</w:t>
      </w:r>
    </w:p>
    <w:p>
      <w:pPr>
        <w:spacing w:after="0" w:line="141" w:lineRule="exact"/>
        <w:rPr>
          <w:sz w:val="20"/>
          <w:szCs w:val="20"/>
          <w:color w:val="auto"/>
        </w:rPr>
      </w:pPr>
    </w:p>
    <w:p>
      <w:pPr>
        <w:ind w:right="280"/>
        <w:spacing w:after="0" w:line="283" w:lineRule="auto"/>
        <w:rPr>
          <w:sz w:val="20"/>
          <w:szCs w:val="20"/>
          <w:color w:val="auto"/>
        </w:rPr>
      </w:pPr>
      <w:r>
        <w:rPr>
          <w:rFonts w:ascii="Arial" w:cs="Arial" w:eastAsia="Arial" w:hAnsi="Arial"/>
          <w:sz w:val="16"/>
          <w:szCs w:val="16"/>
          <w:color w:val="auto"/>
        </w:rPr>
        <w:t>Eligible Named Executive Officers and other executives and employees participate in a number of retirement and similar plans that are described below under “Executive Compensation Tables — 2025 Pension Benefits.” We also provide other benefits such as medical, dental, life insurance and disability coverage to substantially all of our full-time U.S. salaried employees, including the Named Executive Officers. We aim to provide employee and executive benefits that are competitive in the market.</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Medical, Dental, Life Insurance, and Disability Coverage</w:t>
      </w:r>
    </w:p>
    <w:p>
      <w:pPr>
        <w:spacing w:after="0" w:line="112"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Employee benefits such as medical, dental, life insurance and disability coverage are available to all full-time U.S.- based employees through our active employee plans. In addition to these benefits for active employees, we provide post-retirement medical, dental and life insurance coverage to certain retirees in accordance with the legacy company plans that applied at the time the employees were hired. We provide up to one and one-half times annual salary (up to $1,000,000) in life insurance, and up to $15,000 per month in long-term disability coverage. The value of these benefits is not required to be included in the Summary Compensation Table because they are made available to all full-time U.S. employees.</w:t>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Other Paid Time-Off Benefits</w:t>
      </w:r>
    </w:p>
    <w:p>
      <w:pPr>
        <w:spacing w:after="0" w:line="112" w:lineRule="exact"/>
        <w:rPr>
          <w:sz w:val="20"/>
          <w:szCs w:val="20"/>
          <w:color w:val="auto"/>
        </w:rPr>
      </w:pPr>
    </w:p>
    <w:p>
      <w:pPr>
        <w:ind w:right="100"/>
        <w:spacing w:after="0" w:line="321" w:lineRule="auto"/>
        <w:rPr>
          <w:sz w:val="20"/>
          <w:szCs w:val="20"/>
          <w:color w:val="auto"/>
        </w:rPr>
      </w:pPr>
      <w:r>
        <w:rPr>
          <w:rFonts w:ascii="Arial" w:cs="Arial" w:eastAsia="Arial" w:hAnsi="Arial"/>
          <w:sz w:val="16"/>
          <w:szCs w:val="16"/>
          <w:color w:val="auto"/>
        </w:rPr>
        <w:t>We also provide vacation, paid sick time and other paid holidays to all employees, including the Named Executive Officers, which we have determined to be comparable to those provided at other large companies.</w:t>
      </w:r>
    </w:p>
    <w:p>
      <w:pPr>
        <w:spacing w:after="0" w:line="15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Deferred Compensation</w:t>
      </w:r>
    </w:p>
    <w:p>
      <w:pPr>
        <w:spacing w:after="0" w:line="112" w:lineRule="exact"/>
        <w:rPr>
          <w:sz w:val="20"/>
          <w:szCs w:val="20"/>
          <w:color w:val="auto"/>
        </w:rPr>
      </w:pPr>
    </w:p>
    <w:p>
      <w:pPr>
        <w:spacing w:after="0"/>
        <w:rPr>
          <w:sz w:val="20"/>
          <w:szCs w:val="20"/>
          <w:color w:val="auto"/>
        </w:rPr>
      </w:pPr>
      <w:r>
        <w:rPr>
          <w:rFonts w:ascii="Arial" w:cs="Arial" w:eastAsia="Arial" w:hAnsi="Arial"/>
          <w:sz w:val="16"/>
          <w:szCs w:val="16"/>
          <w:color w:val="auto"/>
        </w:rPr>
        <w:t>We sponsor a non-qualified deferred compensation program, called the Sidekick Plan, for our U.S. executives within or above the pay grade that has a</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midpoint annual salary of $212,900 in 2025. This plan permits executives to defer up to 25% of their base salary and 75% of their annual cash incentive</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compensation. Certain executives may also defer receipt of restricted stock units or performance share units. We normally make contributions to the</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Sidekick Plan on behalf of participants with respect to each participant’s contributions from that portion of his or her income above the maximum imposed by</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the U.S. Internal Revenue Code of 1986, as amended (the “Code”), which was $350,000 in 2025, but below the Sidekick Plan’s compensation limit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$700,000. Please see the narrative following the “2025 Non-Qualified Deferred Compensation Table” below for additional information on our contributions.</w:t>
      </w:r>
    </w:p>
    <w:p>
      <w:pPr>
        <w:spacing w:after="0" w:line="127" w:lineRule="exact"/>
        <w:rPr>
          <w:sz w:val="20"/>
          <w:szCs w:val="20"/>
          <w:color w:val="auto"/>
        </w:rPr>
      </w:pPr>
    </w:p>
    <w:p>
      <w:pPr>
        <w:ind w:right="120"/>
        <w:spacing w:after="0" w:line="289" w:lineRule="auto"/>
        <w:rPr>
          <w:sz w:val="20"/>
          <w:szCs w:val="20"/>
          <w:color w:val="auto"/>
        </w:rPr>
      </w:pPr>
      <w:r>
        <w:rPr>
          <w:rFonts w:ascii="Arial" w:cs="Arial" w:eastAsia="Arial" w:hAnsi="Arial"/>
          <w:sz w:val="16"/>
          <w:szCs w:val="16"/>
          <w:color w:val="auto"/>
        </w:rPr>
        <w:t>Participants in the Sidekick Plan may invest their account balances in a number of possible mutual fund investments. Fidelity Investments Institutional Services Co. provides these investment vehicles for participants and handles all allocation and accounting services for the Sidekick Plan. We do not guarantee or subsidize any investment earnings under the Sidekick Plan, and our ordinary shares are not a permitted investment choice under the Sidekick Plan, although deferred restricted stock units and performance share units are automatically invested in Pentair shares.</w:t>
      </w:r>
    </w:p>
    <w:p>
      <w:pPr>
        <w:spacing w:after="0" w:line="72" w:lineRule="exact"/>
        <w:rPr>
          <w:sz w:val="20"/>
          <w:szCs w:val="20"/>
          <w:color w:val="auto"/>
        </w:rPr>
      </w:pPr>
    </w:p>
    <w:p>
      <w:pPr>
        <w:ind w:right="380"/>
        <w:spacing w:after="0" w:line="292" w:lineRule="auto"/>
        <w:rPr>
          <w:sz w:val="20"/>
          <w:szCs w:val="20"/>
          <w:color w:val="auto"/>
        </w:rPr>
      </w:pPr>
      <w:r>
        <w:rPr>
          <w:rFonts w:ascii="Arial" w:cs="Arial" w:eastAsia="Arial" w:hAnsi="Arial"/>
          <w:sz w:val="16"/>
          <w:szCs w:val="16"/>
          <w:color w:val="auto"/>
        </w:rPr>
        <w:t>Amounts deferred, if any, under the Sidekick Plan by the Named Executive Officers are included in the “Salary” and “Non-Equity Incentive Plan Compensation” columns in the Summary Compensation Table. Our contributions allocated to the Named Executive Officers under the Sidekick Plan are included in the “All Other Compensation” column in the Summary Compensation Table.</w:t>
      </w:r>
    </w:p>
    <w:p>
      <w:pPr>
        <w:spacing w:after="0" w:line="200" w:lineRule="exact"/>
        <w:rPr>
          <w:sz w:val="20"/>
          <w:szCs w:val="20"/>
          <w:color w:val="auto"/>
        </w:rPr>
      </w:pP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10780" w:type="dxa"/>
            <w:vAlign w:val="bottom"/>
          </w:tcPr>
          <w:p>
            <w:pPr>
              <w:ind w:left="8260"/>
              <w:spacing w:after="0"/>
              <w:rPr>
                <w:sz w:val="20"/>
                <w:szCs w:val="20"/>
                <w:color w:val="auto"/>
              </w:rPr>
            </w:pPr>
            <w:r>
              <w:rPr>
                <w:rFonts w:ascii="Arial" w:cs="Arial" w:eastAsia="Arial" w:hAnsi="Arial"/>
                <w:sz w:val="16"/>
                <w:szCs w:val="16"/>
                <w:b w:val="1"/>
                <w:bCs w:val="1"/>
                <w:color w:val="auto"/>
              </w:rPr>
              <w:t xml:space="preserve">2026 Proxy Statement </w:t>
            </w:r>
            <w:r>
              <w:rPr>
                <w:rFonts w:ascii="Arial" w:cs="Arial" w:eastAsia="Arial" w:hAnsi="Arial"/>
                <w:sz w:val="16"/>
                <w:szCs w:val="16"/>
                <w:b w:val="1"/>
                <w:bCs w:val="1"/>
                <w:color w:val="0C3471"/>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Pentair</w:t>
            </w:r>
          </w:p>
        </w:tc>
        <w:tc>
          <w:tcPr>
            <w:tcW w:w="460" w:type="dxa"/>
            <w:vAlign w:val="bottom"/>
          </w:tcPr>
          <w:p>
            <w:pPr>
              <w:jc w:val="right"/>
              <w:spacing w:after="0"/>
              <w:rPr>
                <w:sz w:val="20"/>
                <w:szCs w:val="20"/>
                <w:color w:val="auto"/>
              </w:rPr>
            </w:pPr>
            <w:r>
              <w:rPr>
                <w:rFonts w:ascii="Arial" w:cs="Arial" w:eastAsia="Arial" w:hAnsi="Arial"/>
                <w:sz w:val="16"/>
                <w:szCs w:val="16"/>
                <w:b w:val="1"/>
                <w:bCs w:val="1"/>
                <w:color w:val="auto"/>
              </w:rPr>
              <w:t>51</w:t>
            </w:r>
          </w:p>
        </w:tc>
      </w:tr>
      <w:tr>
        <w:trPr>
          <w:trHeight w:val="312"/>
        </w:trPr>
        <w:tc>
          <w:tcPr>
            <w:tcW w:w="107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53" w:name="page54"/>
    <w:bookmarkEnd w:id="53"/>
    <w:p>
      <w:pPr>
        <w:ind w:left="36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216535</wp:posOffset>
            </wp:positionH>
            <wp:positionV relativeFrom="page">
              <wp:posOffset>106045</wp:posOffset>
            </wp:positionV>
            <wp:extent cx="102870" cy="11176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clrChange>
                        <a:clrFrom>
                          <a:srgbClr val="FFFFFF"/>
                        </a:clrFrom>
                        <a:clrTo>
                          <a:srgbClr val="FFFFFF">
                            <a:alpha val="0"/>
                          </a:srgbClr>
                        </a:clrTo>
                      </a:clrChange>
                      <a:extLst>
                        <a:ext uri="{28A0092B-C50C-407E-A947-70E740481C1C}"/>
                      </a:extLst>
                    </a:blip>
                    <a:srcRect/>
                    <a:stretch>
                      <a:fillRect/>
                    </a:stretch>
                  </pic:blipFill>
                  <pic:spPr bwMode="auto">
                    <a:xfrm>
                      <a:off x="0" y="0"/>
                      <a:ext cx="102870" cy="111760"/>
                    </a:xfrm>
                    <a:prstGeom prst="rect">
                      <a:avLst/>
                    </a:prstGeom>
                    <a:noFill/>
                  </pic:spPr>
                </pic:pic>
              </a:graphicData>
            </a:graphic>
          </wp:anchor>
        </w:drawing>
        <w:t>Compensation Discussion and Analysis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Severance and Change in Control Benefits</w:t>
      </w:r>
    </w:p>
    <w:p>
      <w:pPr>
        <w:spacing w:after="0" w:line="128" w:lineRule="exact"/>
        <w:rPr>
          <w:sz w:val="20"/>
          <w:szCs w:val="20"/>
          <w:color w:val="auto"/>
        </w:rPr>
      </w:pPr>
    </w:p>
    <w:p>
      <w:pPr>
        <w:spacing w:after="0" w:line="274" w:lineRule="auto"/>
        <w:rPr>
          <w:sz w:val="20"/>
          <w:szCs w:val="20"/>
          <w:color w:val="auto"/>
        </w:rPr>
      </w:pPr>
      <w:r>
        <w:rPr>
          <w:rFonts w:ascii="Arial" w:cs="Arial" w:eastAsia="Arial" w:hAnsi="Arial"/>
          <w:sz w:val="16"/>
          <w:szCs w:val="16"/>
          <w:color w:val="auto"/>
        </w:rPr>
        <w:t>We provide severance and change in control benefits to selected executives to facilitate smooth executive transitions, attract and retain executive talent, and provide for continuity of management upon a threatened or completed change in control. We believe that the security that these benefits provide helps our key executives to remain focused on our ongoing business and reduces the key executives’ concerns about future employment. We also believe that these benefits, due to the economic security they afford, allow our executives to consider the best interests of our company and shareholders. We currently provide the following severance and change in control benefits to our executive officers:</w:t>
      </w:r>
    </w:p>
    <w:p>
      <w:pPr>
        <w:spacing w:after="0" w:line="70" w:lineRule="exact"/>
        <w:rPr>
          <w:sz w:val="20"/>
          <w:szCs w:val="20"/>
          <w:color w:val="auto"/>
        </w:rPr>
      </w:pPr>
    </w:p>
    <w:p>
      <w:pPr>
        <w:ind w:left="200" w:right="80" w:hanging="192"/>
        <w:spacing w:after="0" w:line="284" w:lineRule="auto"/>
        <w:tabs>
          <w:tab w:leader="none" w:pos="157" w:val="left"/>
        </w:tabs>
        <w:numPr>
          <w:ilvl w:val="0"/>
          <w:numId w:val="95"/>
        </w:numPr>
        <w:rPr>
          <w:rFonts w:ascii="Arial" w:cs="Arial" w:eastAsia="Arial" w:hAnsi="Arial"/>
          <w:sz w:val="13"/>
          <w:szCs w:val="13"/>
          <w:color w:val="64A70B"/>
        </w:rPr>
      </w:pPr>
      <w:r>
        <w:rPr>
          <w:rFonts w:ascii="Arial" w:cs="Arial" w:eastAsia="Arial" w:hAnsi="Arial"/>
          <w:sz w:val="16"/>
          <w:szCs w:val="16"/>
          <w:color w:val="auto"/>
        </w:rPr>
        <w:t>We have KEESAs with our Named Executive Officers that provide for certain benefits upon a covered termination following a change in control. The benefits under these agreements are designed to provide economic protection to key executives following a change in control of our company so that our executives can remain focused on our business without undue personal concern.</w:t>
      </w:r>
    </w:p>
    <w:p>
      <w:pPr>
        <w:spacing w:after="0" w:line="35" w:lineRule="exact"/>
        <w:rPr>
          <w:rFonts w:ascii="Arial" w:cs="Arial" w:eastAsia="Arial" w:hAnsi="Arial"/>
          <w:sz w:val="13"/>
          <w:szCs w:val="13"/>
          <w:color w:val="64A70B"/>
        </w:rPr>
      </w:pPr>
    </w:p>
    <w:p>
      <w:pPr>
        <w:ind w:left="200" w:right="100" w:hanging="192"/>
        <w:spacing w:after="0" w:line="270" w:lineRule="auto"/>
        <w:tabs>
          <w:tab w:leader="none" w:pos="157" w:val="left"/>
        </w:tabs>
        <w:numPr>
          <w:ilvl w:val="0"/>
          <w:numId w:val="95"/>
        </w:numPr>
        <w:rPr>
          <w:rFonts w:ascii="Arial" w:cs="Arial" w:eastAsia="Arial" w:hAnsi="Arial"/>
          <w:sz w:val="13"/>
          <w:szCs w:val="13"/>
          <w:color w:val="64A70B"/>
        </w:rPr>
      </w:pPr>
      <w:r>
        <w:rPr>
          <w:rFonts w:ascii="Arial" w:cs="Arial" w:eastAsia="Arial" w:hAnsi="Arial"/>
          <w:sz w:val="16"/>
          <w:szCs w:val="16"/>
          <w:color w:val="auto"/>
        </w:rPr>
        <w:t>If after a change in control of the Company, an eligible employee is terminated by the Company other than by reason of death, disability or cause (as defined in the KEESA), then all options, restricted stock and restricted stock units that are unvested become fully vested (e.g., double trigger vesting); all performance awards (other than annual incentive awards) are paid in full based on performance at the better of target or trend; and all annual incentive awards are paid based on full satisfaction of the performance goals (i.e., target). In addition, if an employee’s employment is involuntarily terminated for a reason other than cause, death or disability, or if an employee who is a Board-appointed corporate officer voluntarily terminates employment for good reason, then the employee’s outstanding awards will be eligible for continued or accelerated vesting as described below under “Executive Compensation Tables — Potential Payments Upon Termination or Change in Control.”</w:t>
      </w:r>
    </w:p>
    <w:p>
      <w:pPr>
        <w:spacing w:after="0" w:line="36" w:lineRule="exact"/>
        <w:rPr>
          <w:rFonts w:ascii="Arial" w:cs="Arial" w:eastAsia="Arial" w:hAnsi="Arial"/>
          <w:sz w:val="13"/>
          <w:szCs w:val="13"/>
          <w:color w:val="64A70B"/>
        </w:rPr>
      </w:pPr>
    </w:p>
    <w:p>
      <w:pPr>
        <w:ind w:left="200" w:right="20" w:hanging="192"/>
        <w:spacing w:after="0" w:line="284" w:lineRule="auto"/>
        <w:tabs>
          <w:tab w:leader="none" w:pos="157" w:val="left"/>
        </w:tabs>
        <w:numPr>
          <w:ilvl w:val="0"/>
          <w:numId w:val="95"/>
        </w:numPr>
        <w:rPr>
          <w:rFonts w:ascii="Arial" w:cs="Arial" w:eastAsia="Arial" w:hAnsi="Arial"/>
          <w:sz w:val="13"/>
          <w:szCs w:val="13"/>
          <w:color w:val="64A70B"/>
        </w:rPr>
      </w:pPr>
      <w:r>
        <w:rPr>
          <w:rFonts w:ascii="Arial" w:cs="Arial" w:eastAsia="Arial" w:hAnsi="Arial"/>
          <w:sz w:val="16"/>
          <w:szCs w:val="16"/>
          <w:color w:val="auto"/>
        </w:rPr>
        <w:t>Our Executive Officer Severance Plan (“Executive Severance Plan”) provides our executive officers with severance benefits in the event of certain types of terminations of employment (other than a termination following a change in control). The severance benefits are aligned with market practices and are designed to attract and retain executive talent.</w:t>
      </w: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color w:val="auto"/>
        </w:rPr>
        <w:t>We explain these benefits more fully below under “Executive Compensation Tables — Potential Payments Upon Termination or Change in Control.”</w:t>
      </w:r>
    </w:p>
    <w:p>
      <w:pPr>
        <w:spacing w:after="0" w:line="220" w:lineRule="exact"/>
        <w:rPr>
          <w:sz w:val="20"/>
          <w:szCs w:val="20"/>
          <w:color w:val="auto"/>
        </w:rPr>
      </w:pPr>
    </w:p>
    <w:p>
      <w:pPr>
        <w:spacing w:after="0"/>
        <w:rPr>
          <w:sz w:val="20"/>
          <w:szCs w:val="20"/>
          <w:color w:val="auto"/>
        </w:rPr>
      </w:pPr>
      <w:r>
        <w:rPr>
          <w:rFonts w:ascii="Arial" w:cs="Arial" w:eastAsia="Arial" w:hAnsi="Arial"/>
          <w:sz w:val="32"/>
          <w:szCs w:val="32"/>
          <w:color w:val="0C3471"/>
        </w:rPr>
        <w:t>Other Compensation Policies and Practices</w:t>
      </w:r>
    </w:p>
    <w:p>
      <w:pPr>
        <w:spacing w:after="0" w:line="249" w:lineRule="exact"/>
        <w:rPr>
          <w:sz w:val="20"/>
          <w:szCs w:val="20"/>
          <w:color w:val="auto"/>
        </w:rPr>
      </w:pPr>
    </w:p>
    <w:p>
      <w:pPr>
        <w:ind w:left="20"/>
        <w:spacing w:after="0"/>
        <w:rPr>
          <w:sz w:val="20"/>
          <w:szCs w:val="20"/>
          <w:color w:val="auto"/>
        </w:rPr>
      </w:pPr>
      <w:r>
        <w:rPr>
          <w:rFonts w:ascii="Arial" w:cs="Arial" w:eastAsia="Arial" w:hAnsi="Arial"/>
          <w:sz w:val="29"/>
          <w:szCs w:val="29"/>
          <w:color w:val="64A70B"/>
        </w:rPr>
        <w:t>Stock Ownership Guidelines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13" w:lineRule="exact"/>
        <w:rPr>
          <w:sz w:val="20"/>
          <w:szCs w:val="20"/>
          <w:color w:val="auto"/>
        </w:rPr>
      </w:pPr>
    </w:p>
    <w:p>
      <w:pPr>
        <w:ind w:right="80"/>
        <w:spacing w:after="0" w:line="269" w:lineRule="auto"/>
        <w:rPr>
          <w:sz w:val="20"/>
          <w:szCs w:val="20"/>
          <w:color w:val="auto"/>
        </w:rPr>
      </w:pPr>
      <w:r>
        <w:rPr>
          <w:rFonts w:ascii="Arial" w:cs="Arial" w:eastAsia="Arial" w:hAnsi="Arial"/>
          <w:sz w:val="16"/>
          <w:szCs w:val="16"/>
          <w:color w:val="auto"/>
        </w:rPr>
        <w:t>The Compensation Committee has established stock ownership guidelines for the Named Executive Officers and other executives to motivate them to become significant shareholders, to further encourage long-term performance and growth and to align their interests with those of shareholders generally. The Compensation Committee monitors executives’ compliance with these guidelines and periodically reviews the definition of “stock ownership” to reflect the practices of companies in the Comparator Group. “Stock ownership” currently includes ordinary shares owned by the executive officers both directly and indirectly, the pro-rated portion of unvested restricted stock units and shares held in our employee stock ownership plan or our employee stock purchase plan. Stock ownership does not include performance share units until they are earned at the end of the performance period and unvested or vested but unexercised stock options. The Compensation Committee determined that, over a period of five years from appointment, certain executives should accumulate and hold ordinary shares equal to specified multiples of their base salaries.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960" w:type="dxa"/>
            <w:vAlign w:val="bottom"/>
          </w:tcPr>
          <w:p>
            <w:pPr>
              <w:spacing w:after="0"/>
              <w:rPr>
                <w:sz w:val="16"/>
                <w:szCs w:val="16"/>
                <w:color w:val="auto"/>
              </w:rPr>
            </w:pPr>
          </w:p>
        </w:tc>
        <w:tc>
          <w:tcPr>
            <w:tcW w:w="3280" w:type="dxa"/>
            <w:vAlign w:val="bottom"/>
          </w:tcPr>
          <w:p>
            <w:pPr>
              <w:jc w:val="right"/>
              <w:spacing w:after="0"/>
              <w:rPr>
                <w:sz w:val="20"/>
                <w:szCs w:val="20"/>
                <w:color w:val="auto"/>
              </w:rPr>
            </w:pPr>
            <w:r>
              <w:rPr>
                <w:rFonts w:ascii="Arial" w:cs="Arial" w:eastAsia="Arial" w:hAnsi="Arial"/>
                <w:sz w:val="16"/>
                <w:szCs w:val="16"/>
                <w:b w:val="1"/>
                <w:bCs w:val="1"/>
                <w:color w:val="auto"/>
              </w:rPr>
              <w:t>Stock Ownership</w:t>
            </w:r>
          </w:p>
        </w:tc>
        <w:tc>
          <w:tcPr>
            <w:tcW w:w="0" w:type="dxa"/>
            <w:vAlign w:val="bottom"/>
          </w:tcPr>
          <w:p>
            <w:pPr>
              <w:spacing w:after="0"/>
              <w:rPr>
                <w:sz w:val="1"/>
                <w:szCs w:val="1"/>
                <w:color w:val="auto"/>
              </w:rPr>
            </w:pPr>
          </w:p>
        </w:tc>
      </w:tr>
      <w:tr>
        <w:trPr>
          <w:trHeight w:val="203"/>
        </w:trPr>
        <w:tc>
          <w:tcPr>
            <w:tcW w:w="7960" w:type="dxa"/>
            <w:vAlign w:val="bottom"/>
          </w:tcPr>
          <w:p>
            <w:pPr>
              <w:spacing w:after="0"/>
              <w:rPr>
                <w:sz w:val="17"/>
                <w:szCs w:val="17"/>
                <w:color w:val="auto"/>
              </w:rPr>
            </w:pPr>
          </w:p>
        </w:tc>
        <w:tc>
          <w:tcPr>
            <w:tcW w:w="3280" w:type="dxa"/>
            <w:vAlign w:val="bottom"/>
          </w:tcPr>
          <w:p>
            <w:pPr>
              <w:jc w:val="right"/>
              <w:spacing w:after="0"/>
              <w:rPr>
                <w:sz w:val="20"/>
                <w:szCs w:val="20"/>
                <w:color w:val="auto"/>
              </w:rPr>
            </w:pPr>
            <w:r>
              <w:rPr>
                <w:rFonts w:ascii="Arial" w:cs="Arial" w:eastAsia="Arial" w:hAnsi="Arial"/>
                <w:sz w:val="16"/>
                <w:szCs w:val="16"/>
                <w:b w:val="1"/>
                <w:bCs w:val="1"/>
                <w:color w:val="auto"/>
              </w:rPr>
              <w:t>Guidelines</w:t>
            </w:r>
          </w:p>
        </w:tc>
        <w:tc>
          <w:tcPr>
            <w:tcW w:w="0" w:type="dxa"/>
            <w:vAlign w:val="bottom"/>
          </w:tcPr>
          <w:p>
            <w:pPr>
              <w:spacing w:after="0"/>
              <w:rPr>
                <w:sz w:val="1"/>
                <w:szCs w:val="1"/>
                <w:color w:val="auto"/>
              </w:rPr>
            </w:pPr>
          </w:p>
        </w:tc>
      </w:tr>
      <w:tr>
        <w:trPr>
          <w:trHeight w:val="226"/>
        </w:trPr>
        <w:tc>
          <w:tcPr>
            <w:tcW w:w="7960" w:type="dxa"/>
            <w:vAlign w:val="bottom"/>
            <w:tcBorders>
              <w:bottom w:val="single" w:sz="8" w:color="0C3471"/>
            </w:tcBorders>
          </w:tcPr>
          <w:p>
            <w:pPr>
              <w:ind w:left="20"/>
              <w:spacing w:after="0"/>
              <w:rPr>
                <w:sz w:val="20"/>
                <w:szCs w:val="20"/>
                <w:color w:val="auto"/>
              </w:rPr>
            </w:pPr>
            <w:r>
              <w:rPr>
                <w:rFonts w:ascii="Arial" w:cs="Arial" w:eastAsia="Arial" w:hAnsi="Arial"/>
                <w:sz w:val="14"/>
                <w:szCs w:val="14"/>
                <w:b w:val="1"/>
                <w:bCs w:val="1"/>
                <w:color w:val="auto"/>
              </w:rPr>
              <w:t>Executive Level</w:t>
            </w:r>
          </w:p>
        </w:tc>
        <w:tc>
          <w:tcPr>
            <w:tcW w:w="3280" w:type="dxa"/>
            <w:vAlign w:val="bottom"/>
            <w:tcBorders>
              <w:bottom w:val="single" w:sz="8" w:color="0C3471"/>
            </w:tcBorders>
          </w:tcPr>
          <w:p>
            <w:pPr>
              <w:jc w:val="right"/>
              <w:spacing w:after="0"/>
              <w:rPr>
                <w:sz w:val="20"/>
                <w:szCs w:val="20"/>
                <w:color w:val="auto"/>
              </w:rPr>
            </w:pPr>
            <w:r>
              <w:rPr>
                <w:rFonts w:ascii="Arial" w:cs="Arial" w:eastAsia="Arial" w:hAnsi="Arial"/>
                <w:sz w:val="16"/>
                <w:szCs w:val="16"/>
                <w:b w:val="1"/>
                <w:bCs w:val="1"/>
                <w:color w:val="auto"/>
              </w:rPr>
              <w:t>(as a multiple of salary)</w:t>
            </w:r>
          </w:p>
        </w:tc>
        <w:tc>
          <w:tcPr>
            <w:tcW w:w="0" w:type="dxa"/>
            <w:vAlign w:val="bottom"/>
          </w:tcPr>
          <w:p>
            <w:pPr>
              <w:spacing w:after="0"/>
              <w:rPr>
                <w:sz w:val="1"/>
                <w:szCs w:val="1"/>
                <w:color w:val="auto"/>
              </w:rPr>
            </w:pPr>
          </w:p>
        </w:tc>
      </w:tr>
      <w:tr>
        <w:trPr>
          <w:trHeight w:val="261"/>
        </w:trPr>
        <w:tc>
          <w:tcPr>
            <w:tcW w:w="7960" w:type="dxa"/>
            <w:vAlign w:val="bottom"/>
            <w:tcBorders>
              <w:bottom w:val="single" w:sz="8" w:color="BCBEC0"/>
            </w:tcBorders>
          </w:tcPr>
          <w:p>
            <w:pPr>
              <w:ind w:left="20"/>
              <w:spacing w:after="0"/>
              <w:rPr>
                <w:sz w:val="20"/>
                <w:szCs w:val="20"/>
                <w:color w:val="auto"/>
              </w:rPr>
            </w:pPr>
            <w:r>
              <w:rPr>
                <w:rFonts w:ascii="Arial" w:cs="Arial" w:eastAsia="Arial" w:hAnsi="Arial"/>
                <w:sz w:val="16"/>
                <w:szCs w:val="16"/>
                <w:color w:val="auto"/>
              </w:rPr>
              <w:t>Chief Executive Officer</w:t>
            </w:r>
          </w:p>
        </w:tc>
        <w:tc>
          <w:tcPr>
            <w:tcW w:w="3280" w:type="dxa"/>
            <w:vAlign w:val="bottom"/>
            <w:tcBorders>
              <w:bottom w:val="single" w:sz="8" w:color="BCBEC0"/>
            </w:tcBorders>
          </w:tcPr>
          <w:p>
            <w:pPr>
              <w:jc w:val="right"/>
              <w:spacing w:after="0"/>
              <w:rPr>
                <w:sz w:val="20"/>
                <w:szCs w:val="20"/>
                <w:color w:val="auto"/>
              </w:rPr>
            </w:pPr>
            <w:r>
              <w:rPr>
                <w:rFonts w:ascii="Arial" w:cs="Arial" w:eastAsia="Arial" w:hAnsi="Arial"/>
                <w:sz w:val="18"/>
                <w:szCs w:val="18"/>
                <w:b w:val="1"/>
                <w:bCs w:val="1"/>
                <w:color w:val="0C3471"/>
              </w:rPr>
              <w:t>6.0x base salary</w:t>
            </w:r>
          </w:p>
        </w:tc>
        <w:tc>
          <w:tcPr>
            <w:tcW w:w="0" w:type="dxa"/>
            <w:vAlign w:val="bottom"/>
          </w:tcPr>
          <w:p>
            <w:pPr>
              <w:spacing w:after="0"/>
              <w:rPr>
                <w:sz w:val="1"/>
                <w:szCs w:val="1"/>
                <w:color w:val="auto"/>
              </w:rPr>
            </w:pPr>
          </w:p>
        </w:tc>
      </w:tr>
      <w:tr>
        <w:trPr>
          <w:trHeight w:val="263"/>
        </w:trPr>
        <w:tc>
          <w:tcPr>
            <w:tcW w:w="7960" w:type="dxa"/>
            <w:vAlign w:val="bottom"/>
            <w:tcBorders>
              <w:bottom w:val="single" w:sz="8" w:color="BCBEC0"/>
            </w:tcBorders>
          </w:tcPr>
          <w:p>
            <w:pPr>
              <w:ind w:left="20"/>
              <w:spacing w:after="0"/>
              <w:rPr>
                <w:sz w:val="20"/>
                <w:szCs w:val="20"/>
                <w:color w:val="auto"/>
              </w:rPr>
            </w:pPr>
            <w:r>
              <w:rPr>
                <w:rFonts w:ascii="Arial" w:cs="Arial" w:eastAsia="Arial" w:hAnsi="Arial"/>
                <w:sz w:val="16"/>
                <w:szCs w:val="16"/>
                <w:color w:val="auto"/>
              </w:rPr>
              <w:t>Executive Vice President, Chief Financial Officer</w:t>
            </w:r>
          </w:p>
        </w:tc>
        <w:tc>
          <w:tcPr>
            <w:tcW w:w="3280" w:type="dxa"/>
            <w:vAlign w:val="bottom"/>
            <w:tcBorders>
              <w:bottom w:val="single" w:sz="8" w:color="BCBEC0"/>
            </w:tcBorders>
          </w:tcPr>
          <w:p>
            <w:pPr>
              <w:jc w:val="right"/>
              <w:spacing w:after="0"/>
              <w:rPr>
                <w:sz w:val="20"/>
                <w:szCs w:val="20"/>
                <w:color w:val="auto"/>
              </w:rPr>
            </w:pPr>
            <w:r>
              <w:rPr>
                <w:rFonts w:ascii="Arial" w:cs="Arial" w:eastAsia="Arial" w:hAnsi="Arial"/>
                <w:sz w:val="18"/>
                <w:szCs w:val="18"/>
                <w:b w:val="1"/>
                <w:bCs w:val="1"/>
                <w:color w:val="0C3471"/>
              </w:rPr>
              <w:t>3.0x base salary</w:t>
            </w:r>
          </w:p>
        </w:tc>
        <w:tc>
          <w:tcPr>
            <w:tcW w:w="0" w:type="dxa"/>
            <w:vAlign w:val="bottom"/>
          </w:tcPr>
          <w:p>
            <w:pPr>
              <w:spacing w:after="0"/>
              <w:rPr>
                <w:sz w:val="1"/>
                <w:szCs w:val="1"/>
                <w:color w:val="auto"/>
              </w:rPr>
            </w:pPr>
          </w:p>
        </w:tc>
      </w:tr>
      <w:tr>
        <w:trPr>
          <w:trHeight w:val="202"/>
        </w:trPr>
        <w:tc>
          <w:tcPr>
            <w:tcW w:w="7960" w:type="dxa"/>
            <w:vAlign w:val="bottom"/>
          </w:tcPr>
          <w:p>
            <w:pPr>
              <w:ind w:left="20"/>
              <w:spacing w:after="0"/>
              <w:rPr>
                <w:sz w:val="20"/>
                <w:szCs w:val="20"/>
                <w:color w:val="auto"/>
              </w:rPr>
            </w:pPr>
            <w:r>
              <w:rPr>
                <w:rFonts w:ascii="Arial" w:cs="Arial" w:eastAsia="Arial" w:hAnsi="Arial"/>
                <w:sz w:val="16"/>
                <w:szCs w:val="16"/>
                <w:color w:val="auto"/>
              </w:rPr>
              <w:t>Executive Vice President and Chief Human Resources Officer</w:t>
            </w:r>
          </w:p>
        </w:tc>
        <w:tc>
          <w:tcPr>
            <w:tcW w:w="3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960" w:type="dxa"/>
            <w:vAlign w:val="bottom"/>
          </w:tcPr>
          <w:p>
            <w:pPr>
              <w:ind w:left="20"/>
              <w:spacing w:after="0"/>
              <w:rPr>
                <w:sz w:val="20"/>
                <w:szCs w:val="20"/>
                <w:color w:val="auto"/>
              </w:rPr>
            </w:pPr>
            <w:r>
              <w:rPr>
                <w:rFonts w:ascii="Arial" w:cs="Arial" w:eastAsia="Arial" w:hAnsi="Arial"/>
                <w:sz w:val="16"/>
                <w:szCs w:val="16"/>
                <w:color w:val="auto"/>
              </w:rPr>
              <w:t>Executive Vice President, General Counsel and Secretary</w:t>
            </w:r>
          </w:p>
        </w:tc>
        <w:tc>
          <w:tcPr>
            <w:tcW w:w="3280" w:type="dxa"/>
            <w:vAlign w:val="bottom"/>
            <w:vMerge w:val="restart"/>
          </w:tcPr>
          <w:p>
            <w:pPr>
              <w:jc w:val="right"/>
              <w:spacing w:after="0"/>
              <w:rPr>
                <w:sz w:val="20"/>
                <w:szCs w:val="20"/>
                <w:color w:val="auto"/>
              </w:rPr>
            </w:pPr>
            <w:r>
              <w:rPr>
                <w:rFonts w:ascii="Arial" w:cs="Arial" w:eastAsia="Arial" w:hAnsi="Arial"/>
                <w:sz w:val="18"/>
                <w:szCs w:val="18"/>
                <w:b w:val="1"/>
                <w:bCs w:val="1"/>
                <w:color w:val="0C3471"/>
              </w:rPr>
              <w:t>2.5x base salary</w:t>
            </w:r>
          </w:p>
        </w:tc>
        <w:tc>
          <w:tcPr>
            <w:tcW w:w="0" w:type="dxa"/>
            <w:vAlign w:val="bottom"/>
          </w:tcPr>
          <w:p>
            <w:pPr>
              <w:spacing w:after="0"/>
              <w:rPr>
                <w:sz w:val="1"/>
                <w:szCs w:val="1"/>
                <w:color w:val="auto"/>
              </w:rPr>
            </w:pPr>
          </w:p>
        </w:tc>
      </w:tr>
      <w:tr>
        <w:trPr>
          <w:trHeight w:val="189"/>
        </w:trPr>
        <w:tc>
          <w:tcPr>
            <w:tcW w:w="7960" w:type="dxa"/>
            <w:vAlign w:val="bottom"/>
          </w:tcPr>
          <w:p>
            <w:pPr>
              <w:ind w:left="20"/>
              <w:spacing w:after="0"/>
              <w:rPr>
                <w:sz w:val="20"/>
                <w:szCs w:val="20"/>
                <w:color w:val="auto"/>
              </w:rPr>
            </w:pPr>
            <w:r>
              <w:rPr>
                <w:rFonts w:ascii="Arial" w:cs="Arial" w:eastAsia="Arial" w:hAnsi="Arial"/>
                <w:sz w:val="16"/>
                <w:szCs w:val="16"/>
                <w:color w:val="auto"/>
              </w:rPr>
              <w:t>Executive Vice President and Chief Information Officer &amp; Chief Information Security Officer</w:t>
            </w:r>
          </w:p>
        </w:tc>
        <w:tc>
          <w:tcPr>
            <w:tcW w:w="32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960" w:type="dxa"/>
            <w:vAlign w:val="bottom"/>
          </w:tcPr>
          <w:p>
            <w:pPr>
              <w:ind w:left="20"/>
              <w:spacing w:after="0"/>
              <w:rPr>
                <w:sz w:val="20"/>
                <w:szCs w:val="20"/>
                <w:color w:val="auto"/>
              </w:rPr>
            </w:pPr>
            <w:r>
              <w:rPr>
                <w:rFonts w:ascii="Arial" w:cs="Arial" w:eastAsia="Arial" w:hAnsi="Arial"/>
                <w:sz w:val="16"/>
                <w:szCs w:val="16"/>
                <w:color w:val="auto"/>
              </w:rPr>
              <w:t>Executive Vice President, Chief Strategy, Innovation and Digital Officer</w:t>
            </w:r>
          </w:p>
        </w:tc>
        <w:tc>
          <w:tcPr>
            <w:tcW w:w="3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7960" w:type="dxa"/>
            <w:vAlign w:val="bottom"/>
          </w:tcPr>
          <w:p>
            <w:pPr>
              <w:ind w:left="20"/>
              <w:spacing w:after="0"/>
              <w:rPr>
                <w:sz w:val="20"/>
                <w:szCs w:val="20"/>
                <w:color w:val="auto"/>
              </w:rPr>
            </w:pPr>
            <w:r>
              <w:rPr>
                <w:rFonts w:ascii="Arial" w:cs="Arial" w:eastAsia="Arial" w:hAnsi="Arial"/>
                <w:sz w:val="16"/>
                <w:szCs w:val="16"/>
                <w:color w:val="auto"/>
              </w:rPr>
              <w:t>Segment Chief Executive Officers and Presidents</w:t>
            </w:r>
          </w:p>
        </w:tc>
        <w:tc>
          <w:tcPr>
            <w:tcW w:w="3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
        </w:trPr>
        <w:tc>
          <w:tcPr>
            <w:tcW w:w="7960" w:type="dxa"/>
            <w:vAlign w:val="bottom"/>
            <w:tcBorders>
              <w:bottom w:val="single" w:sz="8" w:color="BCBEC0"/>
            </w:tcBorders>
          </w:tcPr>
          <w:p>
            <w:pPr>
              <w:spacing w:after="0"/>
              <w:rPr>
                <w:sz w:val="2"/>
                <w:szCs w:val="2"/>
                <w:color w:val="auto"/>
              </w:rPr>
            </w:pPr>
          </w:p>
        </w:tc>
        <w:tc>
          <w:tcPr>
            <w:tcW w:w="3280" w:type="dxa"/>
            <w:vAlign w:val="bottom"/>
            <w:tcBorders>
              <w:bottom w:val="single" w:sz="8" w:color="BCBEC0"/>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960" w:type="dxa"/>
            <w:vAlign w:val="bottom"/>
            <w:tcBorders>
              <w:bottom w:val="single" w:sz="8" w:color="0C3471"/>
            </w:tcBorders>
          </w:tcPr>
          <w:p>
            <w:pPr>
              <w:ind w:left="20"/>
              <w:spacing w:after="0"/>
              <w:rPr>
                <w:sz w:val="20"/>
                <w:szCs w:val="20"/>
                <w:color w:val="auto"/>
              </w:rPr>
            </w:pPr>
            <w:r>
              <w:rPr>
                <w:rFonts w:ascii="Arial" w:cs="Arial" w:eastAsia="Arial" w:hAnsi="Arial"/>
                <w:sz w:val="16"/>
                <w:szCs w:val="16"/>
                <w:color w:val="auto"/>
              </w:rPr>
              <w:t>Other Key Executives</w:t>
            </w:r>
          </w:p>
        </w:tc>
        <w:tc>
          <w:tcPr>
            <w:tcW w:w="3280" w:type="dxa"/>
            <w:vAlign w:val="bottom"/>
            <w:tcBorders>
              <w:bottom w:val="single" w:sz="8" w:color="0C3471"/>
            </w:tcBorders>
          </w:tcPr>
          <w:p>
            <w:pPr>
              <w:jc w:val="right"/>
              <w:spacing w:after="0"/>
              <w:rPr>
                <w:sz w:val="20"/>
                <w:szCs w:val="20"/>
                <w:color w:val="auto"/>
              </w:rPr>
            </w:pPr>
            <w:r>
              <w:rPr>
                <w:rFonts w:ascii="Arial" w:cs="Arial" w:eastAsia="Arial" w:hAnsi="Arial"/>
                <w:sz w:val="18"/>
                <w:szCs w:val="18"/>
                <w:b w:val="1"/>
                <w:bCs w:val="1"/>
                <w:color w:val="0C3471"/>
              </w:rPr>
              <w:t>2.0x base salary</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00" w:hanging="574"/>
        <w:spacing w:after="0"/>
        <w:tabs>
          <w:tab w:leader="none" w:pos="600" w:val="left"/>
        </w:tabs>
        <w:numPr>
          <w:ilvl w:val="0"/>
          <w:numId w:val="96"/>
        </w:numPr>
        <w:rPr>
          <w:rFonts w:ascii="Arial" w:cs="Arial" w:eastAsia="Arial" w:hAnsi="Arial"/>
          <w:sz w:val="16"/>
          <w:szCs w:val="16"/>
          <w:b w:val="1"/>
          <w:bCs w:val="1"/>
          <w:color w:val="auto"/>
        </w:rPr>
      </w:pPr>
      <w:r>
        <w:rPr>
          <w:rFonts w:ascii="Arial" w:cs="Arial" w:eastAsia="Arial" w:hAnsi="Arial"/>
          <w:sz w:val="16"/>
          <w:szCs w:val="16"/>
          <w:color w:val="auto"/>
        </w:rPr>
        <w:t xml:space="preserve">Pentair </w:t>
      </w:r>
      <w:r>
        <w:rPr>
          <w:rFonts w:ascii="Arial" w:cs="Arial" w:eastAsia="Arial" w:hAnsi="Arial"/>
          <w:sz w:val="16"/>
          <w:szCs w:val="16"/>
          <w:b w:val="1"/>
          <w:bCs w:val="1"/>
          <w:color w:val="0C3471"/>
        </w:rPr>
        <w:t>|</w:t>
      </w:r>
      <w:r>
        <w:rPr>
          <w:rFonts w:ascii="Arial" w:cs="Arial" w:eastAsia="Arial" w:hAnsi="Arial"/>
          <w:sz w:val="16"/>
          <w:szCs w:val="16"/>
          <w:color w:val="auto"/>
        </w:rPr>
        <w:t xml:space="preserve"> </w:t>
      </w:r>
      <w:r>
        <w:rPr>
          <w:rFonts w:ascii="Arial" w:cs="Arial" w:eastAsia="Arial" w:hAnsi="Arial"/>
          <w:sz w:val="16"/>
          <w:szCs w:val="16"/>
          <w:b w:val="1"/>
          <w:bCs w:val="1"/>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213995</wp:posOffset>
            </wp:positionV>
            <wp:extent cx="7157720" cy="425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54" w:name="page55"/>
    <w:bookmarkEnd w:id="54"/>
    <w:p>
      <w:pPr>
        <w:jc w:val="right"/>
        <w:ind w:right="20"/>
        <w:spacing w:after="0"/>
        <w:rPr>
          <w:sz w:val="20"/>
          <w:szCs w:val="20"/>
          <w:color w:val="auto"/>
        </w:rPr>
      </w:pPr>
      <w:r>
        <w:rPr>
          <w:rFonts w:ascii="Arial" w:cs="Arial" w:eastAsia="Arial" w:hAnsi="Arial"/>
          <w:sz w:val="16"/>
          <w:szCs w:val="16"/>
          <w:b w:val="1"/>
          <w:bCs w:val="1"/>
          <w:color w:val="auto"/>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4659630</wp:posOffset>
            </wp:positionH>
            <wp:positionV relativeFrom="paragraph">
              <wp:posOffset>-107315</wp:posOffset>
            </wp:positionV>
            <wp:extent cx="102870" cy="11176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102870" cy="111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Stock Ownership for the Named Executive Officers as of December 31, 2025</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74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1620" w:type="dxa"/>
            <w:vAlign w:val="bottom"/>
          </w:tcPr>
          <w:p>
            <w:pPr>
              <w:jc w:val="right"/>
              <w:ind w:right="202"/>
              <w:spacing w:after="0"/>
              <w:rPr>
                <w:sz w:val="20"/>
                <w:szCs w:val="20"/>
                <w:color w:val="auto"/>
              </w:rPr>
            </w:pPr>
            <w:r>
              <w:rPr>
                <w:rFonts w:ascii="Arial" w:cs="Arial" w:eastAsia="Arial" w:hAnsi="Arial"/>
                <w:sz w:val="14"/>
                <w:szCs w:val="14"/>
                <w:b w:val="1"/>
                <w:bCs w:val="1"/>
                <w:color w:val="auto"/>
              </w:rPr>
              <w:t>12/31/2025 Market</w:t>
            </w:r>
          </w:p>
        </w:tc>
        <w:tc>
          <w:tcPr>
            <w:tcW w:w="1540" w:type="dxa"/>
            <w:vAlign w:val="bottom"/>
          </w:tcPr>
          <w:p>
            <w:pPr>
              <w:jc w:val="right"/>
              <w:ind w:right="422"/>
              <w:spacing w:after="0"/>
              <w:rPr>
                <w:sz w:val="20"/>
                <w:szCs w:val="20"/>
                <w:color w:val="auto"/>
              </w:rPr>
            </w:pPr>
            <w:r>
              <w:rPr>
                <w:rFonts w:ascii="Arial" w:cs="Arial" w:eastAsia="Arial" w:hAnsi="Arial"/>
                <w:sz w:val="14"/>
                <w:szCs w:val="14"/>
                <w:b w:val="1"/>
                <w:bCs w:val="1"/>
                <w:color w:val="auto"/>
              </w:rPr>
              <w:t>Ownership</w:t>
            </w:r>
          </w:p>
        </w:tc>
        <w:tc>
          <w:tcPr>
            <w:tcW w:w="780" w:type="dxa"/>
            <w:vAlign w:val="bottom"/>
          </w:tcPr>
          <w:p>
            <w:pPr>
              <w:spacing w:after="0"/>
              <w:rPr>
                <w:sz w:val="15"/>
                <w:szCs w:val="15"/>
                <w:color w:val="auto"/>
              </w:rPr>
            </w:pPr>
          </w:p>
        </w:tc>
      </w:tr>
      <w:tr>
        <w:trPr>
          <w:trHeight w:val="160"/>
        </w:trPr>
        <w:tc>
          <w:tcPr>
            <w:tcW w:w="3740" w:type="dxa"/>
            <w:vAlign w:val="bottom"/>
          </w:tcPr>
          <w:p>
            <w:pPr>
              <w:spacing w:after="0"/>
              <w:rPr>
                <w:sz w:val="13"/>
                <w:szCs w:val="13"/>
                <w:color w:val="auto"/>
              </w:rPr>
            </w:pPr>
          </w:p>
        </w:tc>
        <w:tc>
          <w:tcPr>
            <w:tcW w:w="3560" w:type="dxa"/>
            <w:vAlign w:val="bottom"/>
          </w:tcPr>
          <w:p>
            <w:pPr>
              <w:spacing w:after="0"/>
              <w:rPr>
                <w:sz w:val="13"/>
                <w:szCs w:val="13"/>
                <w:color w:val="auto"/>
              </w:rPr>
            </w:pPr>
          </w:p>
        </w:tc>
        <w:tc>
          <w:tcPr>
            <w:tcW w:w="1620" w:type="dxa"/>
            <w:vAlign w:val="bottom"/>
          </w:tcPr>
          <w:p>
            <w:pPr>
              <w:jc w:val="right"/>
              <w:ind w:right="202"/>
              <w:spacing w:after="0" w:line="159" w:lineRule="exact"/>
              <w:rPr>
                <w:sz w:val="20"/>
                <w:szCs w:val="20"/>
                <w:color w:val="auto"/>
              </w:rPr>
            </w:pPr>
            <w:r>
              <w:rPr>
                <w:rFonts w:ascii="Arial" w:cs="Arial" w:eastAsia="Arial" w:hAnsi="Arial"/>
                <w:sz w:val="14"/>
                <w:szCs w:val="14"/>
                <w:b w:val="1"/>
                <w:bCs w:val="1"/>
                <w:color w:val="auto"/>
              </w:rPr>
              <w:t>Value</w:t>
            </w:r>
          </w:p>
        </w:tc>
        <w:tc>
          <w:tcPr>
            <w:tcW w:w="1540" w:type="dxa"/>
            <w:vAlign w:val="bottom"/>
          </w:tcPr>
          <w:p>
            <w:pPr>
              <w:jc w:val="right"/>
              <w:ind w:right="422"/>
              <w:spacing w:after="0" w:line="159" w:lineRule="exact"/>
              <w:rPr>
                <w:sz w:val="20"/>
                <w:szCs w:val="20"/>
                <w:color w:val="auto"/>
              </w:rPr>
            </w:pPr>
            <w:r>
              <w:rPr>
                <w:rFonts w:ascii="Arial" w:cs="Arial" w:eastAsia="Arial" w:hAnsi="Arial"/>
                <w:sz w:val="14"/>
                <w:szCs w:val="14"/>
                <w:b w:val="1"/>
                <w:bCs w:val="1"/>
                <w:color w:val="auto"/>
              </w:rPr>
              <w:t>Guideline</w:t>
            </w:r>
          </w:p>
        </w:tc>
        <w:tc>
          <w:tcPr>
            <w:tcW w:w="780" w:type="dxa"/>
            <w:vAlign w:val="bottom"/>
          </w:tcPr>
          <w:p>
            <w:pPr>
              <w:spacing w:after="0"/>
              <w:rPr>
                <w:sz w:val="13"/>
                <w:szCs w:val="13"/>
                <w:color w:val="auto"/>
              </w:rPr>
            </w:pPr>
          </w:p>
        </w:tc>
      </w:tr>
      <w:tr>
        <w:trPr>
          <w:trHeight w:val="214"/>
        </w:trPr>
        <w:tc>
          <w:tcPr>
            <w:tcW w:w="3740" w:type="dxa"/>
            <w:vAlign w:val="bottom"/>
            <w:tcBorders>
              <w:bottom w:val="single" w:sz="8" w:color="0C3471"/>
            </w:tcBorders>
          </w:tcPr>
          <w:p>
            <w:pPr>
              <w:spacing w:after="0"/>
              <w:rPr>
                <w:sz w:val="18"/>
                <w:szCs w:val="18"/>
                <w:color w:val="auto"/>
              </w:rPr>
            </w:pPr>
          </w:p>
        </w:tc>
        <w:tc>
          <w:tcPr>
            <w:tcW w:w="3560" w:type="dxa"/>
            <w:vAlign w:val="bottom"/>
            <w:tcBorders>
              <w:bottom w:val="single" w:sz="8" w:color="0C3471"/>
            </w:tcBorders>
          </w:tcPr>
          <w:p>
            <w:pPr>
              <w:jc w:val="right"/>
              <w:ind w:right="41"/>
              <w:spacing w:after="0"/>
              <w:rPr>
                <w:sz w:val="20"/>
                <w:szCs w:val="20"/>
                <w:color w:val="auto"/>
              </w:rPr>
            </w:pPr>
            <w:r>
              <w:rPr>
                <w:rFonts w:ascii="Arial" w:cs="Arial" w:eastAsia="Arial" w:hAnsi="Arial"/>
                <w:sz w:val="14"/>
                <w:szCs w:val="14"/>
                <w:b w:val="1"/>
                <w:bCs w:val="1"/>
                <w:color w:val="auto"/>
              </w:rPr>
              <w:t>Share Ownership</w:t>
            </w:r>
          </w:p>
        </w:tc>
        <w:tc>
          <w:tcPr>
            <w:tcW w:w="1620" w:type="dxa"/>
            <w:vAlign w:val="bottom"/>
            <w:tcBorders>
              <w:bottom w:val="single" w:sz="8" w:color="0C3471"/>
            </w:tcBorders>
          </w:tcPr>
          <w:p>
            <w:pPr>
              <w:jc w:val="right"/>
              <w:ind w:right="202"/>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8"/>
                <w:szCs w:val="18"/>
                <w:b w:val="1"/>
                <w:bCs w:val="1"/>
                <w:color w:val="auto"/>
                <w:vertAlign w:val="superscript"/>
              </w:rPr>
              <w:t>(1)</w:t>
            </w:r>
          </w:p>
        </w:tc>
        <w:tc>
          <w:tcPr>
            <w:tcW w:w="2320" w:type="dxa"/>
            <w:vAlign w:val="bottom"/>
            <w:tcBorders>
              <w:bottom w:val="single" w:sz="8" w:color="0C3471"/>
            </w:tcBorders>
            <w:gridSpan w:val="2"/>
          </w:tcPr>
          <w:p>
            <w:pPr>
              <w:jc w:val="right"/>
              <w:spacing w:after="0"/>
              <w:rPr>
                <w:sz w:val="20"/>
                <w:szCs w:val="20"/>
                <w:color w:val="auto"/>
              </w:rPr>
            </w:pPr>
            <w:r>
              <w:rPr>
                <w:rFonts w:ascii="Arial" w:cs="Arial" w:eastAsia="Arial" w:hAnsi="Arial"/>
                <w:sz w:val="14"/>
                <w:szCs w:val="14"/>
                <w:b w:val="1"/>
                <w:bCs w:val="1"/>
                <w:color w:val="auto"/>
              </w:rPr>
              <w:t>($) Meets Guideline</w:t>
            </w:r>
            <w:r>
              <w:rPr>
                <w:rFonts w:ascii="Arial" w:cs="Arial" w:eastAsia="Arial" w:hAnsi="Arial"/>
                <w:sz w:val="18"/>
                <w:szCs w:val="18"/>
                <w:b w:val="1"/>
                <w:bCs w:val="1"/>
                <w:color w:val="auto"/>
                <w:vertAlign w:val="superscript"/>
              </w:rPr>
              <w:t>(2)</w:t>
            </w:r>
          </w:p>
        </w:tc>
      </w:tr>
      <w:tr>
        <w:trPr>
          <w:trHeight w:val="233"/>
        </w:trPr>
        <w:tc>
          <w:tcPr>
            <w:tcW w:w="3740" w:type="dxa"/>
            <w:vAlign w:val="bottom"/>
            <w:tcBorders>
              <w:bottom w:val="single" w:sz="8" w:color="BCBEC0"/>
            </w:tcBorders>
          </w:tcPr>
          <w:p>
            <w:pPr>
              <w:ind w:left="20"/>
              <w:spacing w:after="0"/>
              <w:rPr>
                <w:sz w:val="20"/>
                <w:szCs w:val="20"/>
                <w:color w:val="auto"/>
              </w:rPr>
            </w:pPr>
            <w:r>
              <w:rPr>
                <w:rFonts w:ascii="Arial" w:cs="Arial" w:eastAsia="Arial" w:hAnsi="Arial"/>
                <w:sz w:val="16"/>
                <w:szCs w:val="16"/>
                <w:b w:val="1"/>
                <w:bCs w:val="1"/>
                <w:color w:val="0C3471"/>
              </w:rPr>
              <w:t>John L. Stauch</w:t>
            </w:r>
          </w:p>
        </w:tc>
        <w:tc>
          <w:tcPr>
            <w:tcW w:w="3560" w:type="dxa"/>
            <w:vAlign w:val="bottom"/>
            <w:tcBorders>
              <w:bottom w:val="single" w:sz="8" w:color="BCBEC0"/>
            </w:tcBorders>
          </w:tcPr>
          <w:p>
            <w:pPr>
              <w:jc w:val="right"/>
              <w:ind w:right="81"/>
              <w:spacing w:after="0"/>
              <w:rPr>
                <w:sz w:val="20"/>
                <w:szCs w:val="20"/>
                <w:color w:val="auto"/>
              </w:rPr>
            </w:pPr>
            <w:r>
              <w:rPr>
                <w:rFonts w:ascii="Arial" w:cs="Arial" w:eastAsia="Arial" w:hAnsi="Arial"/>
                <w:sz w:val="16"/>
                <w:szCs w:val="16"/>
                <w:color w:val="auto"/>
              </w:rPr>
              <w:t>893,949</w:t>
            </w:r>
          </w:p>
        </w:tc>
        <w:tc>
          <w:tcPr>
            <w:tcW w:w="1620" w:type="dxa"/>
            <w:vAlign w:val="bottom"/>
            <w:tcBorders>
              <w:bottom w:val="single" w:sz="8" w:color="BCBEC0"/>
            </w:tcBorders>
          </w:tcPr>
          <w:p>
            <w:pPr>
              <w:jc w:val="right"/>
              <w:ind w:right="262"/>
              <w:spacing w:after="0"/>
              <w:rPr>
                <w:sz w:val="20"/>
                <w:szCs w:val="20"/>
                <w:color w:val="auto"/>
              </w:rPr>
            </w:pPr>
            <w:r>
              <w:rPr>
                <w:rFonts w:ascii="Arial" w:cs="Arial" w:eastAsia="Arial" w:hAnsi="Arial"/>
                <w:sz w:val="16"/>
                <w:szCs w:val="16"/>
                <w:color w:val="auto"/>
              </w:rPr>
              <w:t>93,095,849</w:t>
            </w:r>
          </w:p>
        </w:tc>
        <w:tc>
          <w:tcPr>
            <w:tcW w:w="1540" w:type="dxa"/>
            <w:vAlign w:val="bottom"/>
            <w:tcBorders>
              <w:bottom w:val="single" w:sz="8" w:color="BCBEC0"/>
            </w:tcBorders>
          </w:tcPr>
          <w:p>
            <w:pPr>
              <w:jc w:val="right"/>
              <w:ind w:right="482"/>
              <w:spacing w:after="0"/>
              <w:rPr>
                <w:sz w:val="20"/>
                <w:szCs w:val="20"/>
                <w:color w:val="auto"/>
              </w:rPr>
            </w:pPr>
            <w:r>
              <w:rPr>
                <w:rFonts w:ascii="Arial" w:cs="Arial" w:eastAsia="Arial" w:hAnsi="Arial"/>
                <w:sz w:val="16"/>
                <w:szCs w:val="16"/>
                <w:color w:val="auto"/>
              </w:rPr>
              <w:t>6,960,000</w:t>
            </w:r>
          </w:p>
        </w:tc>
        <w:tc>
          <w:tcPr>
            <w:tcW w:w="780" w:type="dxa"/>
            <w:vAlign w:val="bottom"/>
            <w:tcBorders>
              <w:bottom w:val="single" w:sz="8" w:color="BCBEC0"/>
            </w:tcBorders>
          </w:tcPr>
          <w:p>
            <w:pPr>
              <w:jc w:val="right"/>
              <w:spacing w:after="0"/>
              <w:rPr>
                <w:sz w:val="20"/>
                <w:szCs w:val="20"/>
                <w:color w:val="auto"/>
              </w:rPr>
            </w:pPr>
            <w:r>
              <w:rPr>
                <w:rFonts w:ascii="Arial" w:cs="Arial" w:eastAsia="Arial" w:hAnsi="Arial"/>
                <w:sz w:val="16"/>
                <w:szCs w:val="16"/>
                <w:color w:val="auto"/>
              </w:rPr>
              <w:t>Yes</w:t>
            </w:r>
          </w:p>
        </w:tc>
      </w:tr>
      <w:tr>
        <w:trPr>
          <w:trHeight w:val="237"/>
        </w:trPr>
        <w:tc>
          <w:tcPr>
            <w:tcW w:w="3740" w:type="dxa"/>
            <w:vAlign w:val="bottom"/>
            <w:tcBorders>
              <w:bottom w:val="single" w:sz="8" w:color="BCBEC0"/>
            </w:tcBorders>
          </w:tcPr>
          <w:p>
            <w:pPr>
              <w:ind w:left="20"/>
              <w:spacing w:after="0"/>
              <w:rPr>
                <w:sz w:val="20"/>
                <w:szCs w:val="20"/>
                <w:color w:val="auto"/>
              </w:rPr>
            </w:pPr>
            <w:r>
              <w:rPr>
                <w:rFonts w:ascii="Arial" w:cs="Arial" w:eastAsia="Arial" w:hAnsi="Arial"/>
                <w:sz w:val="16"/>
                <w:szCs w:val="16"/>
                <w:b w:val="1"/>
                <w:bCs w:val="1"/>
                <w:color w:val="0C3471"/>
              </w:rPr>
              <w:t>Robert P. Fishman</w:t>
            </w:r>
          </w:p>
        </w:tc>
        <w:tc>
          <w:tcPr>
            <w:tcW w:w="3560" w:type="dxa"/>
            <w:vAlign w:val="bottom"/>
            <w:tcBorders>
              <w:bottom w:val="single" w:sz="8" w:color="BCBEC0"/>
            </w:tcBorders>
          </w:tcPr>
          <w:p>
            <w:pPr>
              <w:jc w:val="right"/>
              <w:ind w:right="81"/>
              <w:spacing w:after="0"/>
              <w:rPr>
                <w:sz w:val="20"/>
                <w:szCs w:val="20"/>
                <w:color w:val="auto"/>
              </w:rPr>
            </w:pPr>
            <w:r>
              <w:rPr>
                <w:rFonts w:ascii="Arial" w:cs="Arial" w:eastAsia="Arial" w:hAnsi="Arial"/>
                <w:sz w:val="16"/>
                <w:szCs w:val="16"/>
                <w:color w:val="auto"/>
              </w:rPr>
              <w:t>72,918</w:t>
            </w:r>
          </w:p>
        </w:tc>
        <w:tc>
          <w:tcPr>
            <w:tcW w:w="1620" w:type="dxa"/>
            <w:vAlign w:val="bottom"/>
            <w:tcBorders>
              <w:bottom w:val="single" w:sz="8" w:color="BCBEC0"/>
            </w:tcBorders>
          </w:tcPr>
          <w:p>
            <w:pPr>
              <w:jc w:val="right"/>
              <w:ind w:right="262"/>
              <w:spacing w:after="0"/>
              <w:rPr>
                <w:sz w:val="20"/>
                <w:szCs w:val="20"/>
                <w:color w:val="auto"/>
              </w:rPr>
            </w:pPr>
            <w:r>
              <w:rPr>
                <w:rFonts w:ascii="Arial" w:cs="Arial" w:eastAsia="Arial" w:hAnsi="Arial"/>
                <w:sz w:val="16"/>
                <w:szCs w:val="16"/>
                <w:color w:val="auto"/>
              </w:rPr>
              <w:t>7,593,681</w:t>
            </w:r>
          </w:p>
        </w:tc>
        <w:tc>
          <w:tcPr>
            <w:tcW w:w="1540" w:type="dxa"/>
            <w:vAlign w:val="bottom"/>
            <w:tcBorders>
              <w:bottom w:val="single" w:sz="8" w:color="BCBEC0"/>
            </w:tcBorders>
          </w:tcPr>
          <w:p>
            <w:pPr>
              <w:jc w:val="right"/>
              <w:ind w:right="482"/>
              <w:spacing w:after="0"/>
              <w:rPr>
                <w:sz w:val="20"/>
                <w:szCs w:val="20"/>
                <w:color w:val="auto"/>
              </w:rPr>
            </w:pPr>
            <w:r>
              <w:rPr>
                <w:rFonts w:ascii="Arial" w:cs="Arial" w:eastAsia="Arial" w:hAnsi="Arial"/>
                <w:sz w:val="16"/>
                <w:szCs w:val="16"/>
                <w:color w:val="auto"/>
              </w:rPr>
              <w:t>2,235,000</w:t>
            </w:r>
          </w:p>
        </w:tc>
        <w:tc>
          <w:tcPr>
            <w:tcW w:w="780" w:type="dxa"/>
            <w:vAlign w:val="bottom"/>
            <w:tcBorders>
              <w:bottom w:val="single" w:sz="8" w:color="BCBEC0"/>
            </w:tcBorders>
          </w:tcPr>
          <w:p>
            <w:pPr>
              <w:jc w:val="right"/>
              <w:spacing w:after="0"/>
              <w:rPr>
                <w:sz w:val="20"/>
                <w:szCs w:val="20"/>
                <w:color w:val="auto"/>
              </w:rPr>
            </w:pPr>
            <w:r>
              <w:rPr>
                <w:rFonts w:ascii="Arial" w:cs="Arial" w:eastAsia="Arial" w:hAnsi="Arial"/>
                <w:sz w:val="16"/>
                <w:szCs w:val="16"/>
                <w:color w:val="auto"/>
              </w:rPr>
              <w:t>Yes</w:t>
            </w:r>
          </w:p>
        </w:tc>
      </w:tr>
      <w:tr>
        <w:trPr>
          <w:trHeight w:val="263"/>
        </w:trPr>
        <w:tc>
          <w:tcPr>
            <w:tcW w:w="3740" w:type="dxa"/>
            <w:vAlign w:val="bottom"/>
            <w:tcBorders>
              <w:bottom w:val="single" w:sz="8" w:color="BCBEC0"/>
            </w:tcBorders>
          </w:tcPr>
          <w:p>
            <w:pPr>
              <w:ind w:left="20"/>
              <w:spacing w:after="0"/>
              <w:rPr>
                <w:sz w:val="20"/>
                <w:szCs w:val="20"/>
                <w:color w:val="auto"/>
              </w:rPr>
            </w:pPr>
            <w:r>
              <w:rPr>
                <w:rFonts w:ascii="Arial" w:cs="Arial" w:eastAsia="Arial" w:hAnsi="Arial"/>
                <w:sz w:val="16"/>
                <w:szCs w:val="16"/>
                <w:b w:val="1"/>
                <w:bCs w:val="1"/>
                <w:color w:val="0C3471"/>
              </w:rPr>
              <w:t>Jerome O. Pedretti</w:t>
            </w:r>
          </w:p>
        </w:tc>
        <w:tc>
          <w:tcPr>
            <w:tcW w:w="3560" w:type="dxa"/>
            <w:vAlign w:val="bottom"/>
            <w:tcBorders>
              <w:bottom w:val="single" w:sz="8" w:color="BCBEC0"/>
            </w:tcBorders>
          </w:tcPr>
          <w:p>
            <w:pPr>
              <w:jc w:val="right"/>
              <w:ind w:right="81"/>
              <w:spacing w:after="0"/>
              <w:rPr>
                <w:sz w:val="20"/>
                <w:szCs w:val="20"/>
                <w:color w:val="auto"/>
              </w:rPr>
            </w:pPr>
            <w:r>
              <w:rPr>
                <w:rFonts w:ascii="Arial" w:cs="Arial" w:eastAsia="Arial" w:hAnsi="Arial"/>
                <w:sz w:val="16"/>
                <w:szCs w:val="16"/>
                <w:color w:val="auto"/>
              </w:rPr>
              <w:t>58,105</w:t>
            </w:r>
          </w:p>
        </w:tc>
        <w:tc>
          <w:tcPr>
            <w:tcW w:w="1620" w:type="dxa"/>
            <w:vAlign w:val="bottom"/>
            <w:tcBorders>
              <w:bottom w:val="single" w:sz="8" w:color="BCBEC0"/>
            </w:tcBorders>
          </w:tcPr>
          <w:p>
            <w:pPr>
              <w:jc w:val="right"/>
              <w:ind w:right="262"/>
              <w:spacing w:after="0"/>
              <w:rPr>
                <w:sz w:val="20"/>
                <w:szCs w:val="20"/>
                <w:color w:val="auto"/>
              </w:rPr>
            </w:pPr>
            <w:r>
              <w:rPr>
                <w:rFonts w:ascii="Arial" w:cs="Arial" w:eastAsia="Arial" w:hAnsi="Arial"/>
                <w:sz w:val="16"/>
                <w:szCs w:val="16"/>
                <w:color w:val="auto"/>
              </w:rPr>
              <w:t>6,051,055</w:t>
            </w:r>
          </w:p>
        </w:tc>
        <w:tc>
          <w:tcPr>
            <w:tcW w:w="1540" w:type="dxa"/>
            <w:vAlign w:val="bottom"/>
            <w:tcBorders>
              <w:bottom w:val="single" w:sz="8" w:color="BCBEC0"/>
            </w:tcBorders>
          </w:tcPr>
          <w:p>
            <w:pPr>
              <w:jc w:val="right"/>
              <w:ind w:right="482"/>
              <w:spacing w:after="0"/>
              <w:rPr>
                <w:sz w:val="20"/>
                <w:szCs w:val="20"/>
                <w:color w:val="auto"/>
              </w:rPr>
            </w:pPr>
            <w:r>
              <w:rPr>
                <w:rFonts w:ascii="Arial" w:cs="Arial" w:eastAsia="Arial" w:hAnsi="Arial"/>
                <w:sz w:val="16"/>
                <w:szCs w:val="16"/>
                <w:color w:val="auto"/>
              </w:rPr>
              <w:t>1,687,500</w:t>
            </w:r>
          </w:p>
        </w:tc>
        <w:tc>
          <w:tcPr>
            <w:tcW w:w="780" w:type="dxa"/>
            <w:vAlign w:val="bottom"/>
            <w:tcBorders>
              <w:bottom w:val="single" w:sz="8" w:color="BCBEC0"/>
            </w:tcBorders>
          </w:tcPr>
          <w:p>
            <w:pPr>
              <w:jc w:val="right"/>
              <w:spacing w:after="0"/>
              <w:rPr>
                <w:sz w:val="20"/>
                <w:szCs w:val="20"/>
                <w:color w:val="auto"/>
              </w:rPr>
            </w:pPr>
            <w:r>
              <w:rPr>
                <w:rFonts w:ascii="Arial" w:cs="Arial" w:eastAsia="Arial" w:hAnsi="Arial"/>
                <w:sz w:val="16"/>
                <w:szCs w:val="16"/>
                <w:color w:val="auto"/>
              </w:rPr>
              <w:t>Yes</w:t>
            </w:r>
          </w:p>
        </w:tc>
      </w:tr>
      <w:tr>
        <w:trPr>
          <w:trHeight w:val="237"/>
        </w:trPr>
        <w:tc>
          <w:tcPr>
            <w:tcW w:w="3740" w:type="dxa"/>
            <w:vAlign w:val="bottom"/>
            <w:tcBorders>
              <w:bottom w:val="single" w:sz="8" w:color="BCBEC0"/>
            </w:tcBorders>
          </w:tcPr>
          <w:p>
            <w:pPr>
              <w:ind w:left="20"/>
              <w:spacing w:after="0"/>
              <w:rPr>
                <w:sz w:val="20"/>
                <w:szCs w:val="20"/>
                <w:color w:val="auto"/>
              </w:rPr>
            </w:pPr>
            <w:r>
              <w:rPr>
                <w:rFonts w:ascii="Arial" w:cs="Arial" w:eastAsia="Arial" w:hAnsi="Arial"/>
                <w:sz w:val="16"/>
                <w:szCs w:val="16"/>
                <w:b w:val="1"/>
                <w:bCs w:val="1"/>
                <w:color w:val="0C3471"/>
              </w:rPr>
              <w:t>De'Mon L. Wiggins</w:t>
            </w:r>
          </w:p>
        </w:tc>
        <w:tc>
          <w:tcPr>
            <w:tcW w:w="3560" w:type="dxa"/>
            <w:vAlign w:val="bottom"/>
            <w:tcBorders>
              <w:bottom w:val="single" w:sz="8" w:color="BCBEC0"/>
            </w:tcBorders>
          </w:tcPr>
          <w:p>
            <w:pPr>
              <w:jc w:val="right"/>
              <w:ind w:right="81"/>
              <w:spacing w:after="0"/>
              <w:rPr>
                <w:sz w:val="20"/>
                <w:szCs w:val="20"/>
                <w:color w:val="auto"/>
              </w:rPr>
            </w:pPr>
            <w:r>
              <w:rPr>
                <w:rFonts w:ascii="Arial" w:cs="Arial" w:eastAsia="Arial" w:hAnsi="Arial"/>
                <w:sz w:val="16"/>
                <w:szCs w:val="16"/>
                <w:color w:val="auto"/>
              </w:rPr>
              <w:t>21,413</w:t>
            </w:r>
          </w:p>
        </w:tc>
        <w:tc>
          <w:tcPr>
            <w:tcW w:w="1620" w:type="dxa"/>
            <w:vAlign w:val="bottom"/>
            <w:tcBorders>
              <w:bottom w:val="single" w:sz="8" w:color="BCBEC0"/>
            </w:tcBorders>
          </w:tcPr>
          <w:p>
            <w:pPr>
              <w:jc w:val="right"/>
              <w:ind w:right="262"/>
              <w:spacing w:after="0"/>
              <w:rPr>
                <w:sz w:val="20"/>
                <w:szCs w:val="20"/>
                <w:color w:val="auto"/>
              </w:rPr>
            </w:pPr>
            <w:r>
              <w:rPr>
                <w:rFonts w:ascii="Arial" w:cs="Arial" w:eastAsia="Arial" w:hAnsi="Arial"/>
                <w:sz w:val="16"/>
                <w:szCs w:val="16"/>
                <w:color w:val="auto"/>
              </w:rPr>
              <w:t>2,229,950</w:t>
            </w:r>
          </w:p>
        </w:tc>
        <w:tc>
          <w:tcPr>
            <w:tcW w:w="1540" w:type="dxa"/>
            <w:vAlign w:val="bottom"/>
            <w:tcBorders>
              <w:bottom w:val="single" w:sz="8" w:color="BCBEC0"/>
            </w:tcBorders>
          </w:tcPr>
          <w:p>
            <w:pPr>
              <w:jc w:val="right"/>
              <w:ind w:right="482"/>
              <w:spacing w:after="0"/>
              <w:rPr>
                <w:sz w:val="20"/>
                <w:szCs w:val="20"/>
                <w:color w:val="auto"/>
              </w:rPr>
            </w:pPr>
            <w:r>
              <w:rPr>
                <w:rFonts w:ascii="Arial" w:cs="Arial" w:eastAsia="Arial" w:hAnsi="Arial"/>
                <w:sz w:val="16"/>
                <w:szCs w:val="16"/>
                <w:color w:val="auto"/>
              </w:rPr>
              <w:t>1,500,000</w:t>
            </w:r>
          </w:p>
        </w:tc>
        <w:tc>
          <w:tcPr>
            <w:tcW w:w="780" w:type="dxa"/>
            <w:vAlign w:val="bottom"/>
            <w:tcBorders>
              <w:bottom w:val="single" w:sz="8" w:color="BCBEC0"/>
            </w:tcBorders>
          </w:tcPr>
          <w:p>
            <w:pPr>
              <w:jc w:val="right"/>
              <w:spacing w:after="0"/>
              <w:rPr>
                <w:sz w:val="20"/>
                <w:szCs w:val="20"/>
                <w:color w:val="auto"/>
              </w:rPr>
            </w:pPr>
            <w:r>
              <w:rPr>
                <w:rFonts w:ascii="Arial" w:cs="Arial" w:eastAsia="Arial" w:hAnsi="Arial"/>
                <w:sz w:val="16"/>
                <w:szCs w:val="16"/>
                <w:color w:val="auto"/>
              </w:rPr>
              <w:t>Yes</w:t>
            </w:r>
          </w:p>
        </w:tc>
      </w:tr>
      <w:tr>
        <w:trPr>
          <w:trHeight w:val="237"/>
        </w:trPr>
        <w:tc>
          <w:tcPr>
            <w:tcW w:w="3740" w:type="dxa"/>
            <w:vAlign w:val="bottom"/>
            <w:tcBorders>
              <w:bottom w:val="single" w:sz="8" w:color="0C3471"/>
            </w:tcBorders>
          </w:tcPr>
          <w:p>
            <w:pPr>
              <w:ind w:left="20"/>
              <w:spacing w:after="0"/>
              <w:rPr>
                <w:sz w:val="20"/>
                <w:szCs w:val="20"/>
                <w:color w:val="auto"/>
              </w:rPr>
            </w:pPr>
            <w:r>
              <w:rPr>
                <w:rFonts w:ascii="Arial" w:cs="Arial" w:eastAsia="Arial" w:hAnsi="Arial"/>
                <w:sz w:val="16"/>
                <w:szCs w:val="16"/>
                <w:b w:val="1"/>
                <w:bCs w:val="1"/>
                <w:color w:val="0C3471"/>
              </w:rPr>
              <w:t>Adrian C. Chiu</w:t>
            </w:r>
          </w:p>
        </w:tc>
        <w:tc>
          <w:tcPr>
            <w:tcW w:w="3560" w:type="dxa"/>
            <w:vAlign w:val="bottom"/>
            <w:tcBorders>
              <w:bottom w:val="single" w:sz="8" w:color="0C3471"/>
            </w:tcBorders>
          </w:tcPr>
          <w:p>
            <w:pPr>
              <w:jc w:val="right"/>
              <w:ind w:right="81"/>
              <w:spacing w:after="0"/>
              <w:rPr>
                <w:sz w:val="20"/>
                <w:szCs w:val="20"/>
                <w:color w:val="auto"/>
              </w:rPr>
            </w:pPr>
            <w:r>
              <w:rPr>
                <w:rFonts w:ascii="Arial" w:cs="Arial" w:eastAsia="Arial" w:hAnsi="Arial"/>
                <w:sz w:val="16"/>
                <w:szCs w:val="16"/>
                <w:color w:val="auto"/>
              </w:rPr>
              <w:t>33,421</w:t>
            </w:r>
          </w:p>
        </w:tc>
        <w:tc>
          <w:tcPr>
            <w:tcW w:w="1620" w:type="dxa"/>
            <w:vAlign w:val="bottom"/>
            <w:tcBorders>
              <w:bottom w:val="single" w:sz="8" w:color="0C3471"/>
            </w:tcBorders>
          </w:tcPr>
          <w:p>
            <w:pPr>
              <w:jc w:val="right"/>
              <w:ind w:right="262"/>
              <w:spacing w:after="0"/>
              <w:rPr>
                <w:sz w:val="20"/>
                <w:szCs w:val="20"/>
                <w:color w:val="auto"/>
              </w:rPr>
            </w:pPr>
            <w:r>
              <w:rPr>
                <w:rFonts w:ascii="Arial" w:cs="Arial" w:eastAsia="Arial" w:hAnsi="Arial"/>
                <w:sz w:val="16"/>
                <w:szCs w:val="16"/>
                <w:color w:val="auto"/>
              </w:rPr>
              <w:t>3,480,463</w:t>
            </w:r>
          </w:p>
        </w:tc>
        <w:tc>
          <w:tcPr>
            <w:tcW w:w="1540" w:type="dxa"/>
            <w:vAlign w:val="bottom"/>
            <w:tcBorders>
              <w:bottom w:val="single" w:sz="8" w:color="0C3471"/>
            </w:tcBorders>
          </w:tcPr>
          <w:p>
            <w:pPr>
              <w:jc w:val="right"/>
              <w:ind w:right="482"/>
              <w:spacing w:after="0"/>
              <w:rPr>
                <w:sz w:val="20"/>
                <w:szCs w:val="20"/>
                <w:color w:val="auto"/>
              </w:rPr>
            </w:pPr>
            <w:r>
              <w:rPr>
                <w:rFonts w:ascii="Arial" w:cs="Arial" w:eastAsia="Arial" w:hAnsi="Arial"/>
                <w:sz w:val="16"/>
                <w:szCs w:val="16"/>
                <w:color w:val="auto"/>
              </w:rPr>
              <w:t>1,500,000</w:t>
            </w:r>
          </w:p>
        </w:tc>
        <w:tc>
          <w:tcPr>
            <w:tcW w:w="780" w:type="dxa"/>
            <w:vAlign w:val="bottom"/>
            <w:tcBorders>
              <w:bottom w:val="single" w:sz="8" w:color="0C3471"/>
            </w:tcBorders>
          </w:tcPr>
          <w:p>
            <w:pPr>
              <w:jc w:val="right"/>
              <w:spacing w:after="0"/>
              <w:rPr>
                <w:sz w:val="20"/>
                <w:szCs w:val="20"/>
                <w:color w:val="auto"/>
              </w:rPr>
            </w:pPr>
            <w:r>
              <w:rPr>
                <w:rFonts w:ascii="Arial" w:cs="Arial" w:eastAsia="Arial" w:hAnsi="Arial"/>
                <w:sz w:val="16"/>
                <w:szCs w:val="16"/>
                <w:color w:val="auto"/>
              </w:rPr>
              <w:t>Yes</w:t>
            </w:r>
          </w:p>
        </w:tc>
      </w:tr>
    </w:tbl>
    <w:p>
      <w:pPr>
        <w:spacing w:after="0" w:line="193" w:lineRule="exact"/>
        <w:rPr>
          <w:sz w:val="20"/>
          <w:szCs w:val="20"/>
          <w:color w:val="auto"/>
        </w:rPr>
      </w:pPr>
    </w:p>
    <w:p>
      <w:pPr>
        <w:ind w:left="200" w:right="160" w:hanging="192"/>
        <w:spacing w:after="0" w:line="239" w:lineRule="auto"/>
        <w:tabs>
          <w:tab w:leader="none" w:pos="228" w:val="left"/>
        </w:tabs>
        <w:numPr>
          <w:ilvl w:val="0"/>
          <w:numId w:val="97"/>
        </w:numPr>
        <w:rPr>
          <w:rFonts w:ascii="Arial" w:cs="Arial" w:eastAsia="Arial" w:hAnsi="Arial"/>
          <w:sz w:val="19"/>
          <w:szCs w:val="19"/>
          <w:color w:val="auto"/>
          <w:vertAlign w:val="superscript"/>
        </w:rPr>
      </w:pPr>
      <w:r>
        <w:rPr>
          <w:rFonts w:ascii="Arial" w:cs="Arial" w:eastAsia="Arial" w:hAnsi="Arial"/>
          <w:sz w:val="14"/>
          <w:szCs w:val="14"/>
          <w:color w:val="auto"/>
        </w:rPr>
        <w:t>The amounts in this column were calculated by multiplying the closing market price of our ordinary shares on the last trading day of our most recently completed fiscal year of $104.14 by the number of shares owned.</w:t>
      </w:r>
    </w:p>
    <w:p>
      <w:pPr>
        <w:spacing w:after="0" w:line="67" w:lineRule="exact"/>
        <w:rPr>
          <w:rFonts w:ascii="Arial" w:cs="Arial" w:eastAsia="Arial" w:hAnsi="Arial"/>
          <w:sz w:val="19"/>
          <w:szCs w:val="19"/>
          <w:color w:val="auto"/>
          <w:vertAlign w:val="superscript"/>
        </w:rPr>
      </w:pPr>
    </w:p>
    <w:p>
      <w:pPr>
        <w:ind w:left="200" w:right="440" w:hanging="192"/>
        <w:spacing w:after="0" w:line="239" w:lineRule="auto"/>
        <w:tabs>
          <w:tab w:leader="none" w:pos="214" w:val="left"/>
        </w:tabs>
        <w:numPr>
          <w:ilvl w:val="0"/>
          <w:numId w:val="97"/>
        </w:numPr>
        <w:rPr>
          <w:rFonts w:ascii="Arial" w:cs="Arial" w:eastAsia="Arial" w:hAnsi="Arial"/>
          <w:sz w:val="19"/>
          <w:szCs w:val="19"/>
          <w:color w:val="auto"/>
          <w:vertAlign w:val="superscript"/>
        </w:rPr>
      </w:pPr>
      <w:r>
        <w:rPr>
          <w:rFonts w:ascii="Arial" w:cs="Arial" w:eastAsia="Arial" w:hAnsi="Arial"/>
          <w:sz w:val="14"/>
          <w:szCs w:val="14"/>
          <w:color w:val="auto"/>
        </w:rPr>
        <w:t>Per the terms of our stock ownership guidelines, an executive has five years from the date of his or her appointment to meet his or her ownership guideline. All Named Executive Officers meet these guidelines.</w:t>
      </w:r>
    </w:p>
    <w:p>
      <w:pPr>
        <w:spacing w:after="0" w:line="15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Share Ownership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793750</wp:posOffset>
            </wp:positionH>
            <wp:positionV relativeFrom="paragraph">
              <wp:posOffset>80010</wp:posOffset>
            </wp:positionV>
            <wp:extent cx="5554980" cy="24345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5554980" cy="2434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10780" w:type="dxa"/>
            <w:vAlign w:val="bottom"/>
          </w:tcPr>
          <w:p>
            <w:pPr>
              <w:ind w:left="8260"/>
              <w:spacing w:after="0"/>
              <w:rPr>
                <w:sz w:val="20"/>
                <w:szCs w:val="20"/>
                <w:color w:val="auto"/>
              </w:rPr>
            </w:pPr>
            <w:r>
              <w:rPr>
                <w:rFonts w:ascii="Arial" w:cs="Arial" w:eastAsia="Arial" w:hAnsi="Arial"/>
                <w:sz w:val="16"/>
                <w:szCs w:val="16"/>
                <w:b w:val="1"/>
                <w:bCs w:val="1"/>
                <w:color w:val="auto"/>
              </w:rPr>
              <w:t xml:space="preserve">2026 Proxy Statement </w:t>
            </w:r>
            <w:r>
              <w:rPr>
                <w:rFonts w:ascii="Arial" w:cs="Arial" w:eastAsia="Arial" w:hAnsi="Arial"/>
                <w:sz w:val="16"/>
                <w:szCs w:val="16"/>
                <w:b w:val="1"/>
                <w:bCs w:val="1"/>
                <w:color w:val="0C3471"/>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Pentair</w:t>
            </w:r>
          </w:p>
        </w:tc>
        <w:tc>
          <w:tcPr>
            <w:tcW w:w="460" w:type="dxa"/>
            <w:vAlign w:val="bottom"/>
          </w:tcPr>
          <w:p>
            <w:pPr>
              <w:jc w:val="right"/>
              <w:spacing w:after="0"/>
              <w:rPr>
                <w:sz w:val="20"/>
                <w:szCs w:val="20"/>
                <w:color w:val="auto"/>
              </w:rPr>
            </w:pPr>
            <w:r>
              <w:rPr>
                <w:rFonts w:ascii="Arial" w:cs="Arial" w:eastAsia="Arial" w:hAnsi="Arial"/>
                <w:sz w:val="16"/>
                <w:szCs w:val="16"/>
                <w:b w:val="1"/>
                <w:bCs w:val="1"/>
                <w:color w:val="auto"/>
              </w:rPr>
              <w:t>53</w:t>
            </w:r>
          </w:p>
        </w:tc>
      </w:tr>
      <w:tr>
        <w:trPr>
          <w:trHeight w:val="312"/>
        </w:trPr>
        <w:tc>
          <w:tcPr>
            <w:tcW w:w="107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55" w:name="page56"/>
    <w:bookmarkEnd w:id="55"/>
    <w:p>
      <w:pPr>
        <w:ind w:left="36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216535</wp:posOffset>
            </wp:positionH>
            <wp:positionV relativeFrom="page">
              <wp:posOffset>106045</wp:posOffset>
            </wp:positionV>
            <wp:extent cx="102870" cy="11176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clrChange>
                        <a:clrFrom>
                          <a:srgbClr val="FFFFFF"/>
                        </a:clrFrom>
                        <a:clrTo>
                          <a:srgbClr val="FFFFFF">
                            <a:alpha val="0"/>
                          </a:srgbClr>
                        </a:clrTo>
                      </a:clrChange>
                      <a:extLst>
                        <a:ext uri="{28A0092B-C50C-407E-A947-70E740481C1C}"/>
                      </a:extLst>
                    </a:blip>
                    <a:srcRect/>
                    <a:stretch>
                      <a:fillRect/>
                    </a:stretch>
                  </pic:blipFill>
                  <pic:spPr bwMode="auto">
                    <a:xfrm>
                      <a:off x="0" y="0"/>
                      <a:ext cx="102870" cy="111760"/>
                    </a:xfrm>
                    <a:prstGeom prst="rect">
                      <a:avLst/>
                    </a:prstGeom>
                    <a:noFill/>
                  </pic:spPr>
                </pic:pic>
              </a:graphicData>
            </a:graphic>
          </wp:anchor>
        </w:drawing>
        <w:t>Compensation Discussion and Analysis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20"/>
        <w:spacing w:after="0"/>
        <w:rPr>
          <w:sz w:val="20"/>
          <w:szCs w:val="20"/>
          <w:color w:val="auto"/>
        </w:rPr>
      </w:pPr>
      <w:r>
        <w:rPr>
          <w:rFonts w:ascii="Arial" w:cs="Arial" w:eastAsia="Arial" w:hAnsi="Arial"/>
          <w:sz w:val="29"/>
          <w:szCs w:val="29"/>
          <w:color w:val="64A70B"/>
        </w:rPr>
        <w:t>Equity Holding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13" w:lineRule="exact"/>
        <w:rPr>
          <w:sz w:val="20"/>
          <w:szCs w:val="20"/>
          <w:color w:val="auto"/>
        </w:rPr>
      </w:pPr>
    </w:p>
    <w:p>
      <w:pPr>
        <w:ind w:right="40"/>
        <w:spacing w:after="0" w:line="292" w:lineRule="auto"/>
        <w:rPr>
          <w:sz w:val="20"/>
          <w:szCs w:val="20"/>
          <w:color w:val="auto"/>
        </w:rPr>
      </w:pPr>
      <w:r>
        <w:rPr>
          <w:rFonts w:ascii="Arial" w:cs="Arial" w:eastAsia="Arial" w:hAnsi="Arial"/>
          <w:sz w:val="16"/>
          <w:szCs w:val="16"/>
          <w:color w:val="auto"/>
        </w:rPr>
        <w:t>We maintain an equity holding policy under which executive officers subject to our share ownership guidelines are required to retain 100% of the net number of shares acquired under equity awards until the ownership guidelines are satisfied. This policy may be waived to the extent its application to any individual executive officer would cause undue hardship to the executive officer.</w:t>
      </w:r>
    </w:p>
    <w:p>
      <w:pPr>
        <w:spacing w:after="0" w:line="282" w:lineRule="exact"/>
        <w:rPr>
          <w:sz w:val="20"/>
          <w:szCs w:val="20"/>
          <w:color w:val="auto"/>
        </w:rPr>
      </w:pPr>
    </w:p>
    <w:p>
      <w:pPr>
        <w:ind w:left="20"/>
        <w:spacing w:after="0"/>
        <w:rPr>
          <w:sz w:val="20"/>
          <w:szCs w:val="20"/>
          <w:color w:val="auto"/>
        </w:rPr>
      </w:pPr>
      <w:r>
        <w:rPr>
          <w:rFonts w:ascii="Arial" w:cs="Arial" w:eastAsia="Arial" w:hAnsi="Arial"/>
          <w:sz w:val="29"/>
          <w:szCs w:val="29"/>
          <w:color w:val="64A70B"/>
        </w:rPr>
        <w:t>Equity Award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99" w:lineRule="exact"/>
        <w:rPr>
          <w:sz w:val="20"/>
          <w:szCs w:val="20"/>
          <w:color w:val="auto"/>
        </w:rPr>
      </w:pPr>
    </w:p>
    <w:p>
      <w:pPr>
        <w:ind w:right="160"/>
        <w:spacing w:after="0" w:line="289" w:lineRule="auto"/>
        <w:rPr>
          <w:sz w:val="20"/>
          <w:szCs w:val="20"/>
          <w:color w:val="auto"/>
        </w:rPr>
      </w:pPr>
      <w:r>
        <w:rPr>
          <w:rFonts w:ascii="Arial" w:cs="Arial" w:eastAsia="Arial" w:hAnsi="Arial"/>
          <w:sz w:val="16"/>
          <w:szCs w:val="16"/>
          <w:color w:val="auto"/>
        </w:rPr>
        <w:t>The Compensation Committee reviews and approves annual equity awards to executive officers at a regular meeting of the Compensation Committee held in December each year. Awards are effective on the first day of the upcoming year on which the NYSE is open for trading. The date of the meeting when these awards are approved is generally scheduled a year or more in advance. Occasionally, awards are approved throughout the year for an executive officer new hire or a promotion and the grants are effective coincident with the employment commencement date or promotion effective date.</w:t>
      </w:r>
    </w:p>
    <w:p>
      <w:pPr>
        <w:spacing w:after="0" w:line="72" w:lineRule="exact"/>
        <w:rPr>
          <w:sz w:val="20"/>
          <w:szCs w:val="20"/>
          <w:color w:val="auto"/>
        </w:rPr>
      </w:pPr>
    </w:p>
    <w:p>
      <w:pPr>
        <w:spacing w:after="0" w:line="264" w:lineRule="auto"/>
        <w:rPr>
          <w:sz w:val="20"/>
          <w:szCs w:val="20"/>
          <w:color w:val="auto"/>
        </w:rPr>
      </w:pPr>
      <w:r>
        <w:rPr>
          <w:rFonts w:ascii="Arial" w:cs="Arial" w:eastAsia="Arial" w:hAnsi="Arial"/>
          <w:sz w:val="16"/>
          <w:szCs w:val="16"/>
          <w:color w:val="auto"/>
        </w:rPr>
        <w:t>The Compensation Committee also reviews and approves annual equity awards to other non-executive officers at a regular meeting of the Compensation Committee held in February each year. Awards are effective on the first day of March on which the NYSE is open for trading. The date of the meeting when these awards are approved is generally scheduled a year or more in advance. The Compensation Committee has also delegated to the Chief Executive Officer the discretion to grant equity awards to non-executive officers as required throughout the year within the guidelines of our equity incentive plan and limits approved by the Compensation Committee. The Chief Executive Officer provides a summary report to the Compensation Committee, disclosing the aggregate awards granted by the Chief Executive Officer during the preceding fiscal year. Awards granted by the Chief Executive Officer under this delegated authority during 2025 were generally effective on the last day of the month following the month in which they were approved. If the last day of such month was a day on which the NYSE was not open for trading, then the grant date would be the first day of the following month on which the NYSE is open for trading. Any option grants have an exercise price equal to fair market value based on the closing share price on the effective day of grant. Accordingly, the timing and terms of equity awards, including any stock options, is independent of the existence or disclosure of material non-public information. Beginning in 2026, equity awards granted by the Chief Executive Officer under this delegated authority will be effective on the first date that is the 15</w:t>
      </w:r>
      <w:r>
        <w:rPr>
          <w:rFonts w:ascii="Arial" w:cs="Arial" w:eastAsia="Arial" w:hAnsi="Arial"/>
          <w:sz w:val="21"/>
          <w:szCs w:val="21"/>
          <w:color w:val="auto"/>
          <w:vertAlign w:val="superscript"/>
        </w:rPr>
        <w:t>th</w:t>
      </w:r>
      <w:r>
        <w:rPr>
          <w:rFonts w:ascii="Arial" w:cs="Arial" w:eastAsia="Arial" w:hAnsi="Arial"/>
          <w:sz w:val="16"/>
          <w:szCs w:val="16"/>
          <w:color w:val="auto"/>
        </w:rPr>
        <w:t xml:space="preserve"> of the month after the effective date of hire or promotion or the date of approval, as applicable. If the 15</w:t>
      </w:r>
      <w:r>
        <w:rPr>
          <w:rFonts w:ascii="Arial" w:cs="Arial" w:eastAsia="Arial" w:hAnsi="Arial"/>
          <w:sz w:val="21"/>
          <w:szCs w:val="21"/>
          <w:color w:val="auto"/>
          <w:vertAlign w:val="superscript"/>
        </w:rPr>
        <w:t>th</w:t>
      </w:r>
      <w:r>
        <w:rPr>
          <w:rFonts w:ascii="Arial" w:cs="Arial" w:eastAsia="Arial" w:hAnsi="Arial"/>
          <w:sz w:val="16"/>
          <w:szCs w:val="16"/>
          <w:color w:val="auto"/>
        </w:rPr>
        <w:t xml:space="preserve"> of such month is a day on which the NYSE is not open for trading, then the grant date will be the next day on which the NYSE is open for trading.</w:t>
      </w:r>
    </w:p>
    <w:p>
      <w:pPr>
        <w:spacing w:after="0" w:line="303" w:lineRule="exact"/>
        <w:rPr>
          <w:sz w:val="20"/>
          <w:szCs w:val="20"/>
          <w:color w:val="auto"/>
        </w:rPr>
      </w:pPr>
    </w:p>
    <w:p>
      <w:pPr>
        <w:ind w:left="20"/>
        <w:spacing w:after="0"/>
        <w:rPr>
          <w:sz w:val="20"/>
          <w:szCs w:val="20"/>
          <w:color w:val="auto"/>
        </w:rPr>
      </w:pPr>
      <w:r>
        <w:rPr>
          <w:rFonts w:ascii="Arial" w:cs="Arial" w:eastAsia="Arial" w:hAnsi="Arial"/>
          <w:sz w:val="29"/>
          <w:szCs w:val="29"/>
          <w:color w:val="64A70B"/>
        </w:rPr>
        <w:t>Clawback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13" w:lineRule="exact"/>
        <w:rPr>
          <w:sz w:val="20"/>
          <w:szCs w:val="20"/>
          <w:color w:val="auto"/>
        </w:rPr>
      </w:pPr>
    </w:p>
    <w:p>
      <w:pPr>
        <w:ind w:right="60"/>
        <w:spacing w:after="0" w:line="279" w:lineRule="auto"/>
        <w:rPr>
          <w:sz w:val="20"/>
          <w:szCs w:val="20"/>
          <w:color w:val="auto"/>
        </w:rPr>
      </w:pPr>
      <w:r>
        <w:rPr>
          <w:rFonts w:ascii="Arial" w:cs="Arial" w:eastAsia="Arial" w:hAnsi="Arial"/>
          <w:sz w:val="16"/>
          <w:szCs w:val="16"/>
          <w:color w:val="auto"/>
        </w:rPr>
        <w:t xml:space="preserve">We maintain a Clawback Policy that complies with the clawback policy requirements of the SEC and NYSE. Under the Policy, in the event that we are required to prepare an accounting restatement due to material non-compliance with any financial reporting requirement, we will reasonably promptly recover any excess incentive-based compensation paid to our current and former executive officers based on any misstated financial reporting measure that was received during the three-year period preceding the date we are required to prepare the restatement. We expanded the Clawback Policy in 2026 to authorize, in addition to the existing mandatory recovery, the cancellation or recoupment of time-vesting equity awards, as well as performance-vesting equity awards and other compensation (other than base salary), in the event of certain misconduct events by executive officers in connection with such non-compliance. A copy of our Clawback Policy is available on our website at </w:t>
      </w:r>
      <w:r>
        <w:rPr>
          <w:rFonts w:ascii="Arial" w:cs="Arial" w:eastAsia="Arial" w:hAnsi="Arial"/>
          <w:sz w:val="16"/>
          <w:szCs w:val="16"/>
          <w:color w:val="0C3471"/>
        </w:rPr>
        <w:t>https://www.pentair.com/en-us/about-pentair/corporate-governance.html</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600" w:hanging="574"/>
        <w:spacing w:after="0"/>
        <w:tabs>
          <w:tab w:leader="none" w:pos="600" w:val="left"/>
        </w:tabs>
        <w:numPr>
          <w:ilvl w:val="0"/>
          <w:numId w:val="98"/>
        </w:numPr>
        <w:rPr>
          <w:rFonts w:ascii="Arial" w:cs="Arial" w:eastAsia="Arial" w:hAnsi="Arial"/>
          <w:sz w:val="16"/>
          <w:szCs w:val="16"/>
          <w:b w:val="1"/>
          <w:bCs w:val="1"/>
          <w:color w:val="auto"/>
        </w:rPr>
      </w:pPr>
      <w:r>
        <w:rPr>
          <w:rFonts w:ascii="Arial" w:cs="Arial" w:eastAsia="Arial" w:hAnsi="Arial"/>
          <w:sz w:val="16"/>
          <w:szCs w:val="16"/>
          <w:color w:val="auto"/>
        </w:rPr>
        <w:t xml:space="preserve">Pentair </w:t>
      </w:r>
      <w:r>
        <w:rPr>
          <w:rFonts w:ascii="Arial" w:cs="Arial" w:eastAsia="Arial" w:hAnsi="Arial"/>
          <w:sz w:val="16"/>
          <w:szCs w:val="16"/>
          <w:b w:val="1"/>
          <w:bCs w:val="1"/>
          <w:color w:val="0C3471"/>
        </w:rPr>
        <w:t>|</w:t>
      </w:r>
      <w:r>
        <w:rPr>
          <w:rFonts w:ascii="Arial" w:cs="Arial" w:eastAsia="Arial" w:hAnsi="Arial"/>
          <w:sz w:val="16"/>
          <w:szCs w:val="16"/>
          <w:color w:val="auto"/>
        </w:rPr>
        <w:t xml:space="preserve"> </w:t>
      </w:r>
      <w:r>
        <w:rPr>
          <w:rFonts w:ascii="Arial" w:cs="Arial" w:eastAsia="Arial" w:hAnsi="Arial"/>
          <w:sz w:val="16"/>
          <w:szCs w:val="16"/>
          <w:b w:val="1"/>
          <w:bCs w:val="1"/>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213995</wp:posOffset>
            </wp:positionV>
            <wp:extent cx="7157720" cy="425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56" w:name="page57"/>
    <w:bookmarkEnd w:id="56"/>
    <w:p>
      <w:pPr>
        <w:jc w:val="right"/>
        <w:ind w:right="20"/>
        <w:spacing w:after="0"/>
        <w:rPr>
          <w:sz w:val="20"/>
          <w:szCs w:val="20"/>
          <w:color w:val="auto"/>
        </w:rPr>
      </w:pPr>
      <w:r>
        <w:rPr>
          <w:rFonts w:ascii="Arial" w:cs="Arial" w:eastAsia="Arial" w:hAnsi="Arial"/>
          <w:sz w:val="16"/>
          <w:szCs w:val="16"/>
          <w:b w:val="1"/>
          <w:bCs w:val="1"/>
          <w:color w:val="auto"/>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4659630</wp:posOffset>
            </wp:positionH>
            <wp:positionV relativeFrom="paragraph">
              <wp:posOffset>-107315</wp:posOffset>
            </wp:positionV>
            <wp:extent cx="102870" cy="11176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102870" cy="111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20"/>
        <w:spacing w:after="0"/>
        <w:rPr>
          <w:sz w:val="20"/>
          <w:szCs w:val="20"/>
          <w:color w:val="auto"/>
        </w:rPr>
      </w:pPr>
      <w:r>
        <w:rPr>
          <w:rFonts w:ascii="Arial" w:cs="Arial" w:eastAsia="Arial" w:hAnsi="Arial"/>
          <w:sz w:val="29"/>
          <w:szCs w:val="29"/>
          <w:color w:val="64A70B"/>
        </w:rPr>
        <w:t>Risk Considerations in Compensation Decisions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13" w:lineRule="exact"/>
        <w:rPr>
          <w:sz w:val="20"/>
          <w:szCs w:val="20"/>
          <w:color w:val="auto"/>
        </w:rPr>
      </w:pPr>
    </w:p>
    <w:p>
      <w:pPr>
        <w:ind w:right="80"/>
        <w:spacing w:after="0" w:line="282" w:lineRule="auto"/>
        <w:rPr>
          <w:sz w:val="20"/>
          <w:szCs w:val="20"/>
          <w:color w:val="auto"/>
        </w:rPr>
      </w:pPr>
      <w:r>
        <w:rPr>
          <w:rFonts w:ascii="Arial" w:cs="Arial" w:eastAsia="Arial" w:hAnsi="Arial"/>
          <w:sz w:val="16"/>
          <w:szCs w:val="16"/>
          <w:color w:val="auto"/>
        </w:rPr>
        <w:t>The Compensation Committee believes that paying for performance is an important part of its compensation philosophy, but recognizes the risk that incentivizing specific measures of performance may pose to the performance of our company as a whole if personnel were to act in ways designed primarily to maximize their compensation. Therefore, the Compensation Committee conducts an annual assessment of potential risks arising from its compensation programs and policies applicable to all employees. In its December 2025 assessment, the Compensation Committee noted the following considerations, among others:</w:t>
      </w:r>
    </w:p>
    <w:p>
      <w:pPr>
        <w:spacing w:after="0" w:line="80" w:lineRule="exact"/>
        <w:rPr>
          <w:sz w:val="20"/>
          <w:szCs w:val="20"/>
          <w:color w:val="auto"/>
        </w:rPr>
      </w:pPr>
    </w:p>
    <w:p>
      <w:pPr>
        <w:ind w:left="160" w:hanging="152"/>
        <w:spacing w:after="0"/>
        <w:tabs>
          <w:tab w:leader="none" w:pos="160" w:val="left"/>
        </w:tabs>
        <w:numPr>
          <w:ilvl w:val="0"/>
          <w:numId w:val="99"/>
        </w:numPr>
        <w:rPr>
          <w:rFonts w:ascii="Arial" w:cs="Arial" w:eastAsia="Arial" w:hAnsi="Arial"/>
          <w:sz w:val="13"/>
          <w:szCs w:val="13"/>
          <w:color w:val="64A70B"/>
        </w:rPr>
      </w:pPr>
      <w:r>
        <w:rPr>
          <w:rFonts w:ascii="Arial" w:cs="Arial" w:eastAsia="Arial" w:hAnsi="Arial"/>
          <w:sz w:val="16"/>
          <w:szCs w:val="16"/>
          <w:color w:val="auto"/>
        </w:rPr>
        <w:t>the balance of our fixed and variable compensation in our executive compensation program;</w:t>
      </w:r>
    </w:p>
    <w:p>
      <w:pPr>
        <w:spacing w:after="0" w:line="99" w:lineRule="exact"/>
        <w:rPr>
          <w:rFonts w:ascii="Arial" w:cs="Arial" w:eastAsia="Arial" w:hAnsi="Arial"/>
          <w:sz w:val="13"/>
          <w:szCs w:val="13"/>
          <w:color w:val="64A70B"/>
        </w:rPr>
      </w:pPr>
    </w:p>
    <w:p>
      <w:pPr>
        <w:ind w:left="160" w:hanging="152"/>
        <w:spacing w:after="0"/>
        <w:tabs>
          <w:tab w:leader="none" w:pos="160" w:val="left"/>
        </w:tabs>
        <w:numPr>
          <w:ilvl w:val="0"/>
          <w:numId w:val="99"/>
        </w:numPr>
        <w:rPr>
          <w:rFonts w:ascii="Arial" w:cs="Arial" w:eastAsia="Arial" w:hAnsi="Arial"/>
          <w:sz w:val="13"/>
          <w:szCs w:val="13"/>
          <w:color w:val="64A70B"/>
        </w:rPr>
      </w:pPr>
      <w:r>
        <w:rPr>
          <w:rFonts w:ascii="Arial" w:cs="Arial" w:eastAsia="Arial" w:hAnsi="Arial"/>
          <w:sz w:val="16"/>
          <w:szCs w:val="16"/>
          <w:color w:val="auto"/>
        </w:rPr>
        <w:t>the balance in our executive compensation program between the achievement of short-term objectives and longer-term value creation;</w:t>
      </w:r>
    </w:p>
    <w:p>
      <w:pPr>
        <w:spacing w:after="0" w:line="86" w:lineRule="exact"/>
        <w:rPr>
          <w:rFonts w:ascii="Arial" w:cs="Arial" w:eastAsia="Arial" w:hAnsi="Arial"/>
          <w:sz w:val="13"/>
          <w:szCs w:val="13"/>
          <w:color w:val="64A70B"/>
        </w:rPr>
      </w:pPr>
    </w:p>
    <w:p>
      <w:pPr>
        <w:ind w:left="160" w:hanging="152"/>
        <w:spacing w:after="0"/>
        <w:tabs>
          <w:tab w:leader="none" w:pos="160" w:val="left"/>
        </w:tabs>
        <w:numPr>
          <w:ilvl w:val="0"/>
          <w:numId w:val="99"/>
        </w:numPr>
        <w:rPr>
          <w:rFonts w:ascii="Arial" w:cs="Arial" w:eastAsia="Arial" w:hAnsi="Arial"/>
          <w:sz w:val="13"/>
          <w:szCs w:val="13"/>
          <w:color w:val="64A70B"/>
        </w:rPr>
      </w:pPr>
      <w:r>
        <w:rPr>
          <w:rFonts w:ascii="Arial" w:cs="Arial" w:eastAsia="Arial" w:hAnsi="Arial"/>
          <w:sz w:val="16"/>
          <w:szCs w:val="16"/>
          <w:color w:val="auto"/>
        </w:rPr>
        <w:t>the mix of compensation forms within our long-term incentive compensation plan;</w:t>
      </w:r>
    </w:p>
    <w:p>
      <w:pPr>
        <w:spacing w:after="0" w:line="99" w:lineRule="exact"/>
        <w:rPr>
          <w:rFonts w:ascii="Arial" w:cs="Arial" w:eastAsia="Arial" w:hAnsi="Arial"/>
          <w:sz w:val="13"/>
          <w:szCs w:val="13"/>
          <w:color w:val="64A70B"/>
        </w:rPr>
      </w:pPr>
    </w:p>
    <w:p>
      <w:pPr>
        <w:ind w:left="160" w:hanging="152"/>
        <w:spacing w:after="0"/>
        <w:tabs>
          <w:tab w:leader="none" w:pos="160" w:val="left"/>
        </w:tabs>
        <w:numPr>
          <w:ilvl w:val="0"/>
          <w:numId w:val="99"/>
        </w:numPr>
        <w:rPr>
          <w:rFonts w:ascii="Arial" w:cs="Arial" w:eastAsia="Arial" w:hAnsi="Arial"/>
          <w:sz w:val="13"/>
          <w:szCs w:val="13"/>
          <w:color w:val="64A70B"/>
        </w:rPr>
      </w:pPr>
      <w:r>
        <w:rPr>
          <w:rFonts w:ascii="Arial" w:cs="Arial" w:eastAsia="Arial" w:hAnsi="Arial"/>
          <w:sz w:val="16"/>
          <w:szCs w:val="16"/>
          <w:color w:val="auto"/>
        </w:rPr>
        <w:t>our use of multiple performance measures under our incentive compensation plans;</w:t>
      </w:r>
    </w:p>
    <w:p>
      <w:pPr>
        <w:spacing w:after="0" w:line="99" w:lineRule="exact"/>
        <w:rPr>
          <w:rFonts w:ascii="Arial" w:cs="Arial" w:eastAsia="Arial" w:hAnsi="Arial"/>
          <w:sz w:val="13"/>
          <w:szCs w:val="13"/>
          <w:color w:val="64A70B"/>
        </w:rPr>
      </w:pPr>
    </w:p>
    <w:p>
      <w:pPr>
        <w:ind w:left="160" w:hanging="152"/>
        <w:spacing w:after="0"/>
        <w:tabs>
          <w:tab w:leader="none" w:pos="160" w:val="left"/>
        </w:tabs>
        <w:numPr>
          <w:ilvl w:val="0"/>
          <w:numId w:val="99"/>
        </w:numPr>
        <w:rPr>
          <w:rFonts w:ascii="Arial" w:cs="Arial" w:eastAsia="Arial" w:hAnsi="Arial"/>
          <w:sz w:val="13"/>
          <w:szCs w:val="13"/>
          <w:color w:val="64A70B"/>
        </w:rPr>
      </w:pPr>
      <w:r>
        <w:rPr>
          <w:rFonts w:ascii="Arial" w:cs="Arial" w:eastAsia="Arial" w:hAnsi="Arial"/>
          <w:sz w:val="16"/>
          <w:szCs w:val="16"/>
          <w:color w:val="auto"/>
        </w:rPr>
        <w:t>metrics tied to segment performance for segment presidents;</w:t>
      </w:r>
    </w:p>
    <w:p>
      <w:pPr>
        <w:spacing w:after="0" w:line="99" w:lineRule="exact"/>
        <w:rPr>
          <w:rFonts w:ascii="Arial" w:cs="Arial" w:eastAsia="Arial" w:hAnsi="Arial"/>
          <w:sz w:val="13"/>
          <w:szCs w:val="13"/>
          <w:color w:val="64A70B"/>
        </w:rPr>
      </w:pPr>
    </w:p>
    <w:p>
      <w:pPr>
        <w:ind w:left="160" w:hanging="152"/>
        <w:spacing w:after="0"/>
        <w:tabs>
          <w:tab w:leader="none" w:pos="160" w:val="left"/>
        </w:tabs>
        <w:numPr>
          <w:ilvl w:val="0"/>
          <w:numId w:val="99"/>
        </w:numPr>
        <w:rPr>
          <w:rFonts w:ascii="Arial" w:cs="Arial" w:eastAsia="Arial" w:hAnsi="Arial"/>
          <w:sz w:val="13"/>
          <w:szCs w:val="13"/>
          <w:color w:val="64A70B"/>
        </w:rPr>
      </w:pPr>
      <w:r>
        <w:rPr>
          <w:rFonts w:ascii="Arial" w:cs="Arial" w:eastAsia="Arial" w:hAnsi="Arial"/>
          <w:sz w:val="16"/>
          <w:szCs w:val="16"/>
          <w:color w:val="auto"/>
        </w:rPr>
        <w:t>the impact of these performance measures on our financial results;</w:t>
      </w:r>
    </w:p>
    <w:p>
      <w:pPr>
        <w:spacing w:after="0" w:line="99" w:lineRule="exact"/>
        <w:rPr>
          <w:rFonts w:ascii="Arial" w:cs="Arial" w:eastAsia="Arial" w:hAnsi="Arial"/>
          <w:sz w:val="13"/>
          <w:szCs w:val="13"/>
          <w:color w:val="64A70B"/>
        </w:rPr>
      </w:pPr>
    </w:p>
    <w:p>
      <w:pPr>
        <w:ind w:left="160" w:hanging="152"/>
        <w:spacing w:after="0"/>
        <w:tabs>
          <w:tab w:leader="none" w:pos="160" w:val="left"/>
        </w:tabs>
        <w:numPr>
          <w:ilvl w:val="0"/>
          <w:numId w:val="99"/>
        </w:numPr>
        <w:rPr>
          <w:rFonts w:ascii="Arial" w:cs="Arial" w:eastAsia="Arial" w:hAnsi="Arial"/>
          <w:sz w:val="13"/>
          <w:szCs w:val="13"/>
          <w:color w:val="64A70B"/>
        </w:rPr>
      </w:pPr>
      <w:r>
        <w:rPr>
          <w:rFonts w:ascii="Arial" w:cs="Arial" w:eastAsia="Arial" w:hAnsi="Arial"/>
          <w:sz w:val="16"/>
          <w:szCs w:val="16"/>
          <w:color w:val="auto"/>
        </w:rPr>
        <w:t>our use of performance curves that require achievement of a minimum level of performance before receiving any incentive payout;</w:t>
      </w:r>
    </w:p>
    <w:p>
      <w:pPr>
        <w:spacing w:after="0" w:line="99" w:lineRule="exact"/>
        <w:rPr>
          <w:rFonts w:ascii="Arial" w:cs="Arial" w:eastAsia="Arial" w:hAnsi="Arial"/>
          <w:sz w:val="13"/>
          <w:szCs w:val="13"/>
          <w:color w:val="64A70B"/>
        </w:rPr>
      </w:pPr>
    </w:p>
    <w:p>
      <w:pPr>
        <w:ind w:left="160" w:hanging="152"/>
        <w:spacing w:after="0"/>
        <w:tabs>
          <w:tab w:leader="none" w:pos="160" w:val="left"/>
        </w:tabs>
        <w:numPr>
          <w:ilvl w:val="0"/>
          <w:numId w:val="99"/>
        </w:numPr>
        <w:rPr>
          <w:rFonts w:ascii="Arial" w:cs="Arial" w:eastAsia="Arial" w:hAnsi="Arial"/>
          <w:sz w:val="13"/>
          <w:szCs w:val="13"/>
          <w:color w:val="64A70B"/>
        </w:rPr>
      </w:pPr>
      <w:r>
        <w:rPr>
          <w:rFonts w:ascii="Arial" w:cs="Arial" w:eastAsia="Arial" w:hAnsi="Arial"/>
          <w:sz w:val="16"/>
          <w:szCs w:val="16"/>
          <w:color w:val="auto"/>
        </w:rPr>
        <w:t>capped payouts under our incentive plans;</w:t>
      </w:r>
    </w:p>
    <w:p>
      <w:pPr>
        <w:spacing w:after="0" w:line="99" w:lineRule="exact"/>
        <w:rPr>
          <w:rFonts w:ascii="Arial" w:cs="Arial" w:eastAsia="Arial" w:hAnsi="Arial"/>
          <w:sz w:val="13"/>
          <w:szCs w:val="13"/>
          <w:color w:val="64A70B"/>
        </w:rPr>
      </w:pPr>
    </w:p>
    <w:p>
      <w:pPr>
        <w:ind w:left="160" w:hanging="152"/>
        <w:spacing w:after="0"/>
        <w:tabs>
          <w:tab w:leader="none" w:pos="160" w:val="left"/>
        </w:tabs>
        <w:numPr>
          <w:ilvl w:val="0"/>
          <w:numId w:val="99"/>
        </w:numPr>
        <w:rPr>
          <w:rFonts w:ascii="Arial" w:cs="Arial" w:eastAsia="Arial" w:hAnsi="Arial"/>
          <w:sz w:val="13"/>
          <w:szCs w:val="13"/>
          <w:color w:val="64A70B"/>
        </w:rPr>
      </w:pPr>
      <w:r>
        <w:rPr>
          <w:rFonts w:ascii="Arial" w:cs="Arial" w:eastAsia="Arial" w:hAnsi="Arial"/>
          <w:sz w:val="16"/>
          <w:szCs w:val="16"/>
          <w:color w:val="auto"/>
        </w:rPr>
        <w:t>Clawback Policy pursuant to which certain compensation received by our executive officers may be subject to recoupment; and</w:t>
      </w:r>
    </w:p>
    <w:p>
      <w:pPr>
        <w:spacing w:after="0" w:line="99" w:lineRule="exact"/>
        <w:rPr>
          <w:rFonts w:ascii="Arial" w:cs="Arial" w:eastAsia="Arial" w:hAnsi="Arial"/>
          <w:sz w:val="13"/>
          <w:szCs w:val="13"/>
          <w:color w:val="64A70B"/>
        </w:rPr>
      </w:pPr>
    </w:p>
    <w:p>
      <w:pPr>
        <w:ind w:left="160" w:hanging="152"/>
        <w:spacing w:after="0"/>
        <w:tabs>
          <w:tab w:leader="none" w:pos="160" w:val="left"/>
        </w:tabs>
        <w:numPr>
          <w:ilvl w:val="0"/>
          <w:numId w:val="99"/>
        </w:numPr>
        <w:rPr>
          <w:rFonts w:ascii="Arial" w:cs="Arial" w:eastAsia="Arial" w:hAnsi="Arial"/>
          <w:sz w:val="13"/>
          <w:szCs w:val="13"/>
          <w:color w:val="64A70B"/>
        </w:rPr>
      </w:pPr>
      <w:r>
        <w:rPr>
          <w:rFonts w:ascii="Arial" w:cs="Arial" w:eastAsia="Arial" w:hAnsi="Arial"/>
          <w:sz w:val="16"/>
          <w:szCs w:val="16"/>
          <w:color w:val="auto"/>
        </w:rPr>
        <w:t>our stock ownership guidelines and equity holding policy.</w:t>
      </w:r>
    </w:p>
    <w:p>
      <w:pPr>
        <w:spacing w:after="0" w:line="140" w:lineRule="exact"/>
        <w:rPr>
          <w:sz w:val="20"/>
          <w:szCs w:val="20"/>
          <w:color w:val="auto"/>
        </w:rPr>
      </w:pPr>
    </w:p>
    <w:p>
      <w:pPr>
        <w:jc w:val="both"/>
        <w:ind w:right="400"/>
        <w:spacing w:after="0" w:line="292" w:lineRule="auto"/>
        <w:rPr>
          <w:sz w:val="20"/>
          <w:szCs w:val="20"/>
          <w:color w:val="auto"/>
        </w:rPr>
      </w:pPr>
      <w:r>
        <w:rPr>
          <w:rFonts w:ascii="Arial" w:cs="Arial" w:eastAsia="Arial" w:hAnsi="Arial"/>
          <w:sz w:val="16"/>
          <w:szCs w:val="16"/>
          <w:color w:val="auto"/>
        </w:rPr>
        <w:t>Based on its assessment, the Compensation Committee concluded that the risks arising from our executive compensation program and policies are not reasonably likely to have a material adverse effect on our company. The Compensation Committee will continue to assess our executive compensation program to align employee interests with those of long-term shareholder interests.</w:t>
      </w:r>
    </w:p>
    <w:p>
      <w:pPr>
        <w:spacing w:after="0" w:line="282" w:lineRule="exact"/>
        <w:rPr>
          <w:sz w:val="20"/>
          <w:szCs w:val="20"/>
          <w:color w:val="auto"/>
        </w:rPr>
      </w:pPr>
    </w:p>
    <w:p>
      <w:pPr>
        <w:ind w:left="20"/>
        <w:spacing w:after="0"/>
        <w:rPr>
          <w:sz w:val="20"/>
          <w:szCs w:val="20"/>
          <w:color w:val="auto"/>
        </w:rPr>
      </w:pPr>
      <w:r>
        <w:rPr>
          <w:rFonts w:ascii="Arial" w:cs="Arial" w:eastAsia="Arial" w:hAnsi="Arial"/>
          <w:sz w:val="29"/>
          <w:szCs w:val="29"/>
          <w:color w:val="64A70B"/>
        </w:rPr>
        <w:t>Impact of Certain Tax Considerations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99"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Section 162(m) of the Code limits the amount we may deduct for compensation paid in any year to certain executive officers (“covered employees”) to $1,000,000. Although the Compensation Committee considers the potential deduction limitation under Section 162(m) of the Code in relation to the compensation of our executive officers, it intends to set compensation for our executive officers at levels it believes are necessary to attract, motivate, retain and reward executives, even if a portion of such compensation is not deductible as a result of Section 162(m) of the Code.</w:t>
      </w: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10780" w:type="dxa"/>
            <w:vAlign w:val="bottom"/>
          </w:tcPr>
          <w:p>
            <w:pPr>
              <w:ind w:left="8260"/>
              <w:spacing w:after="0"/>
              <w:rPr>
                <w:sz w:val="20"/>
                <w:szCs w:val="20"/>
                <w:color w:val="auto"/>
              </w:rPr>
            </w:pPr>
            <w:r>
              <w:rPr>
                <w:rFonts w:ascii="Arial" w:cs="Arial" w:eastAsia="Arial" w:hAnsi="Arial"/>
                <w:sz w:val="16"/>
                <w:szCs w:val="16"/>
                <w:b w:val="1"/>
                <w:bCs w:val="1"/>
                <w:color w:val="auto"/>
              </w:rPr>
              <w:t xml:space="preserve">2026 Proxy Statement </w:t>
            </w:r>
            <w:r>
              <w:rPr>
                <w:rFonts w:ascii="Arial" w:cs="Arial" w:eastAsia="Arial" w:hAnsi="Arial"/>
                <w:sz w:val="16"/>
                <w:szCs w:val="16"/>
                <w:b w:val="1"/>
                <w:bCs w:val="1"/>
                <w:color w:val="0C3471"/>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Pentair</w:t>
            </w:r>
          </w:p>
        </w:tc>
        <w:tc>
          <w:tcPr>
            <w:tcW w:w="460" w:type="dxa"/>
            <w:vAlign w:val="bottom"/>
          </w:tcPr>
          <w:p>
            <w:pPr>
              <w:jc w:val="right"/>
              <w:spacing w:after="0"/>
              <w:rPr>
                <w:sz w:val="20"/>
                <w:szCs w:val="20"/>
                <w:color w:val="auto"/>
              </w:rPr>
            </w:pPr>
            <w:r>
              <w:rPr>
                <w:rFonts w:ascii="Arial" w:cs="Arial" w:eastAsia="Arial" w:hAnsi="Arial"/>
                <w:sz w:val="16"/>
                <w:szCs w:val="16"/>
                <w:b w:val="1"/>
                <w:bCs w:val="1"/>
                <w:color w:val="auto"/>
              </w:rPr>
              <w:t>55</w:t>
            </w:r>
          </w:p>
        </w:tc>
      </w:tr>
      <w:tr>
        <w:trPr>
          <w:trHeight w:val="325"/>
        </w:trPr>
        <w:tc>
          <w:tcPr>
            <w:tcW w:w="107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57" w:name="page58"/>
    <w:bookmarkEnd w:id="57"/>
    <w:p>
      <w:pPr>
        <w:spacing w:after="0" w:line="7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216535</wp:posOffset>
            </wp:positionH>
            <wp:positionV relativeFrom="page">
              <wp:posOffset>877570</wp:posOffset>
            </wp:positionV>
            <wp:extent cx="445770" cy="47180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clrChange>
                        <a:clrFrom>
                          <a:srgbClr val="FFFFFF"/>
                        </a:clrFrom>
                        <a:clrTo>
                          <a:srgbClr val="FFFFFF">
                            <a:alpha val="0"/>
                          </a:srgbClr>
                        </a:clrTo>
                      </a:clrChange>
                      <a:extLst>
                        <a:ext uri="{28A0092B-C50C-407E-A947-70E740481C1C}"/>
                      </a:extLst>
                    </a:blip>
                    <a:srcRect/>
                    <a:stretch>
                      <a:fillRect/>
                    </a:stretch>
                  </pic:blipFill>
                  <pic:spPr bwMode="auto">
                    <a:xfrm>
                      <a:off x="0" y="0"/>
                      <a:ext cx="445770" cy="471805"/>
                    </a:xfrm>
                    <a:prstGeom prst="rect">
                      <a:avLst/>
                    </a:prstGeom>
                    <a:noFill/>
                  </pic:spPr>
                </pic:pic>
              </a:graphicData>
            </a:graphic>
          </wp:anchor>
        </w:drawing>
      </w:r>
    </w:p>
    <w:p>
      <w:pPr>
        <w:ind w:left="1080"/>
        <w:spacing w:after="0"/>
        <w:rPr>
          <w:sz w:val="20"/>
          <w:szCs w:val="20"/>
          <w:color w:val="auto"/>
        </w:rPr>
      </w:pPr>
      <w:r>
        <w:rPr>
          <w:rFonts w:ascii="Arial" w:cs="Arial" w:eastAsia="Arial" w:hAnsi="Arial"/>
          <w:sz w:val="43"/>
          <w:szCs w:val="43"/>
          <w:b w:val="1"/>
          <w:bCs w:val="1"/>
          <w:color w:val="0C3471"/>
        </w:rPr>
        <w:t>Executive Compensation Tables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32"/>
          <w:szCs w:val="32"/>
          <w:color w:val="0C3471"/>
        </w:rPr>
        <w:t>Summary Compensation Table</w:t>
      </w:r>
    </w:p>
    <w:p>
      <w:pPr>
        <w:spacing w:after="0" w:line="132" w:lineRule="exact"/>
        <w:rPr>
          <w:sz w:val="20"/>
          <w:szCs w:val="20"/>
          <w:color w:val="auto"/>
        </w:rPr>
      </w:pPr>
    </w:p>
    <w:p>
      <w:pPr>
        <w:ind w:right="300"/>
        <w:spacing w:after="0" w:line="321" w:lineRule="auto"/>
        <w:rPr>
          <w:sz w:val="20"/>
          <w:szCs w:val="20"/>
          <w:color w:val="auto"/>
        </w:rPr>
      </w:pPr>
      <w:r>
        <w:rPr>
          <w:rFonts w:ascii="Arial" w:cs="Arial" w:eastAsia="Arial" w:hAnsi="Arial"/>
          <w:sz w:val="16"/>
          <w:szCs w:val="16"/>
          <w:color w:val="auto"/>
        </w:rPr>
        <w:t>The table below summarizes the total compensation paid to or earned by each of the Named Executive Officers for the years ended December 31, 2023, 2024, and 2025.</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80" w:type="dxa"/>
            <w:vAlign w:val="bottom"/>
          </w:tcPr>
          <w:p>
            <w:pPr>
              <w:ind w:left="20"/>
              <w:spacing w:after="0"/>
              <w:rPr>
                <w:sz w:val="20"/>
                <w:szCs w:val="20"/>
                <w:color w:val="auto"/>
              </w:rPr>
            </w:pPr>
            <w:r>
              <w:rPr>
                <w:rFonts w:ascii="Arial" w:cs="Arial" w:eastAsia="Arial" w:hAnsi="Arial"/>
                <w:sz w:val="13"/>
                <w:szCs w:val="13"/>
                <w:b w:val="1"/>
                <w:bCs w:val="1"/>
                <w:color w:val="0C3471"/>
              </w:rPr>
              <w:t>(a)</w:t>
            </w:r>
          </w:p>
        </w:tc>
        <w:tc>
          <w:tcPr>
            <w:tcW w:w="660" w:type="dxa"/>
            <w:vAlign w:val="bottom"/>
          </w:tcPr>
          <w:p>
            <w:pPr>
              <w:jc w:val="center"/>
              <w:spacing w:after="0"/>
              <w:rPr>
                <w:sz w:val="20"/>
                <w:szCs w:val="20"/>
                <w:color w:val="auto"/>
              </w:rPr>
            </w:pPr>
            <w:r>
              <w:rPr>
                <w:rFonts w:ascii="Arial" w:cs="Arial" w:eastAsia="Arial" w:hAnsi="Arial"/>
                <w:sz w:val="13"/>
                <w:szCs w:val="13"/>
                <w:b w:val="1"/>
                <w:bCs w:val="1"/>
                <w:color w:val="0C3471"/>
                <w:w w:val="96"/>
              </w:rPr>
              <w:t>(b)</w:t>
            </w:r>
          </w:p>
        </w:tc>
        <w:tc>
          <w:tcPr>
            <w:tcW w:w="980" w:type="dxa"/>
            <w:vAlign w:val="bottom"/>
          </w:tcPr>
          <w:p>
            <w:pPr>
              <w:jc w:val="right"/>
              <w:ind w:right="97"/>
              <w:spacing w:after="0"/>
              <w:rPr>
                <w:sz w:val="20"/>
                <w:szCs w:val="20"/>
                <w:color w:val="auto"/>
              </w:rPr>
            </w:pPr>
            <w:r>
              <w:rPr>
                <w:rFonts w:ascii="Arial" w:cs="Arial" w:eastAsia="Arial" w:hAnsi="Arial"/>
                <w:sz w:val="13"/>
                <w:szCs w:val="13"/>
                <w:b w:val="1"/>
                <w:bCs w:val="1"/>
                <w:color w:val="0C3471"/>
              </w:rPr>
              <w:t>(c)</w:t>
            </w:r>
          </w:p>
        </w:tc>
        <w:tc>
          <w:tcPr>
            <w:tcW w:w="700" w:type="dxa"/>
            <w:vAlign w:val="bottom"/>
          </w:tcPr>
          <w:p>
            <w:pPr>
              <w:ind w:left="380"/>
              <w:spacing w:after="0"/>
              <w:rPr>
                <w:sz w:val="20"/>
                <w:szCs w:val="20"/>
                <w:color w:val="auto"/>
              </w:rPr>
            </w:pPr>
            <w:r>
              <w:rPr>
                <w:rFonts w:ascii="Arial" w:cs="Arial" w:eastAsia="Arial" w:hAnsi="Arial"/>
                <w:sz w:val="13"/>
                <w:szCs w:val="13"/>
                <w:b w:val="1"/>
                <w:bCs w:val="1"/>
                <w:color w:val="0C3471"/>
              </w:rPr>
              <w:t>(d)</w:t>
            </w:r>
          </w:p>
        </w:tc>
        <w:tc>
          <w:tcPr>
            <w:tcW w:w="920" w:type="dxa"/>
            <w:vAlign w:val="bottom"/>
          </w:tcPr>
          <w:p>
            <w:pPr>
              <w:jc w:val="right"/>
              <w:ind w:right="97"/>
              <w:spacing w:after="0"/>
              <w:rPr>
                <w:sz w:val="20"/>
                <w:szCs w:val="20"/>
                <w:color w:val="auto"/>
              </w:rPr>
            </w:pPr>
            <w:r>
              <w:rPr>
                <w:rFonts w:ascii="Arial" w:cs="Arial" w:eastAsia="Arial" w:hAnsi="Arial"/>
                <w:sz w:val="13"/>
                <w:szCs w:val="13"/>
                <w:b w:val="1"/>
                <w:bCs w:val="1"/>
                <w:color w:val="0C3471"/>
              </w:rPr>
              <w:t>(e)</w:t>
            </w:r>
          </w:p>
        </w:tc>
        <w:tc>
          <w:tcPr>
            <w:tcW w:w="960" w:type="dxa"/>
            <w:vAlign w:val="bottom"/>
          </w:tcPr>
          <w:p>
            <w:pPr>
              <w:jc w:val="right"/>
              <w:ind w:right="137"/>
              <w:spacing w:after="0"/>
              <w:rPr>
                <w:sz w:val="20"/>
                <w:szCs w:val="20"/>
                <w:color w:val="auto"/>
              </w:rPr>
            </w:pPr>
            <w:r>
              <w:rPr>
                <w:rFonts w:ascii="Arial" w:cs="Arial" w:eastAsia="Arial" w:hAnsi="Arial"/>
                <w:sz w:val="13"/>
                <w:szCs w:val="13"/>
                <w:b w:val="1"/>
                <w:bCs w:val="1"/>
                <w:color w:val="0C3471"/>
              </w:rPr>
              <w:t>(f)</w:t>
            </w:r>
          </w:p>
        </w:tc>
        <w:tc>
          <w:tcPr>
            <w:tcW w:w="1300" w:type="dxa"/>
            <w:vAlign w:val="bottom"/>
          </w:tcPr>
          <w:p>
            <w:pPr>
              <w:jc w:val="right"/>
              <w:ind w:right="158"/>
              <w:spacing w:after="0"/>
              <w:rPr>
                <w:sz w:val="20"/>
                <w:szCs w:val="20"/>
                <w:color w:val="auto"/>
              </w:rPr>
            </w:pPr>
            <w:r>
              <w:rPr>
                <w:rFonts w:ascii="Arial" w:cs="Arial" w:eastAsia="Arial" w:hAnsi="Arial"/>
                <w:sz w:val="13"/>
                <w:szCs w:val="13"/>
                <w:b w:val="1"/>
                <w:bCs w:val="1"/>
                <w:color w:val="0C3471"/>
              </w:rPr>
              <w:t>(g)</w:t>
            </w:r>
          </w:p>
        </w:tc>
        <w:tc>
          <w:tcPr>
            <w:tcW w:w="1280" w:type="dxa"/>
            <w:vAlign w:val="bottom"/>
          </w:tcPr>
          <w:p>
            <w:pPr>
              <w:jc w:val="right"/>
              <w:ind w:right="137"/>
              <w:spacing w:after="0"/>
              <w:rPr>
                <w:sz w:val="20"/>
                <w:szCs w:val="20"/>
                <w:color w:val="auto"/>
              </w:rPr>
            </w:pPr>
            <w:r>
              <w:rPr>
                <w:rFonts w:ascii="Arial" w:cs="Arial" w:eastAsia="Arial" w:hAnsi="Arial"/>
                <w:sz w:val="13"/>
                <w:szCs w:val="13"/>
                <w:b w:val="1"/>
                <w:bCs w:val="1"/>
                <w:color w:val="0C3471"/>
              </w:rPr>
              <w:t>(h)</w:t>
            </w:r>
          </w:p>
        </w:tc>
        <w:tc>
          <w:tcPr>
            <w:tcW w:w="1280" w:type="dxa"/>
            <w:vAlign w:val="bottom"/>
          </w:tcPr>
          <w:p>
            <w:pPr>
              <w:jc w:val="right"/>
              <w:ind w:right="137"/>
              <w:spacing w:after="0"/>
              <w:rPr>
                <w:sz w:val="20"/>
                <w:szCs w:val="20"/>
                <w:color w:val="auto"/>
              </w:rPr>
            </w:pPr>
            <w:r>
              <w:rPr>
                <w:rFonts w:ascii="Arial" w:cs="Arial" w:eastAsia="Arial" w:hAnsi="Arial"/>
                <w:sz w:val="13"/>
                <w:szCs w:val="13"/>
                <w:b w:val="1"/>
                <w:bCs w:val="1"/>
                <w:color w:val="0C3471"/>
              </w:rPr>
              <w:t>(i)</w:t>
            </w:r>
          </w:p>
        </w:tc>
        <w:tc>
          <w:tcPr>
            <w:tcW w:w="1080" w:type="dxa"/>
            <w:vAlign w:val="bottom"/>
          </w:tcPr>
          <w:p>
            <w:pPr>
              <w:jc w:val="right"/>
              <w:spacing w:after="0"/>
              <w:rPr>
                <w:sz w:val="20"/>
                <w:szCs w:val="20"/>
                <w:color w:val="auto"/>
              </w:rPr>
            </w:pPr>
            <w:r>
              <w:rPr>
                <w:rFonts w:ascii="Arial" w:cs="Arial" w:eastAsia="Arial" w:hAnsi="Arial"/>
                <w:sz w:val="13"/>
                <w:szCs w:val="13"/>
                <w:b w:val="1"/>
                <w:bCs w:val="1"/>
                <w:color w:val="0C3471"/>
              </w:rPr>
              <w:t>(j)</w:t>
            </w:r>
          </w:p>
        </w:tc>
        <w:tc>
          <w:tcPr>
            <w:tcW w:w="0" w:type="dxa"/>
            <w:vAlign w:val="bottom"/>
          </w:tcPr>
          <w:p>
            <w:pPr>
              <w:spacing w:after="0"/>
              <w:rPr>
                <w:sz w:val="1"/>
                <w:szCs w:val="1"/>
                <w:color w:val="auto"/>
              </w:rPr>
            </w:pPr>
          </w:p>
        </w:tc>
      </w:tr>
      <w:tr>
        <w:trPr>
          <w:trHeight w:val="22"/>
        </w:trPr>
        <w:tc>
          <w:tcPr>
            <w:tcW w:w="2080" w:type="dxa"/>
            <w:vAlign w:val="bottom"/>
            <w:tcBorders>
              <w:bottom w:val="single" w:sz="8" w:color="BCBEC0"/>
            </w:tcBorders>
          </w:tcPr>
          <w:p>
            <w:pPr>
              <w:spacing w:after="0" w:line="20" w:lineRule="exact"/>
              <w:rPr>
                <w:sz w:val="1"/>
                <w:szCs w:val="1"/>
                <w:color w:val="auto"/>
              </w:rPr>
            </w:pPr>
          </w:p>
        </w:tc>
        <w:tc>
          <w:tcPr>
            <w:tcW w:w="660" w:type="dxa"/>
            <w:vAlign w:val="bottom"/>
            <w:tcBorders>
              <w:bottom w:val="single" w:sz="8" w:color="BCBEC0"/>
            </w:tcBorders>
          </w:tcPr>
          <w:p>
            <w:pPr>
              <w:spacing w:after="0" w:line="20" w:lineRule="exact"/>
              <w:rPr>
                <w:sz w:val="1"/>
                <w:szCs w:val="1"/>
                <w:color w:val="auto"/>
              </w:rPr>
            </w:pPr>
          </w:p>
        </w:tc>
        <w:tc>
          <w:tcPr>
            <w:tcW w:w="980" w:type="dxa"/>
            <w:vAlign w:val="bottom"/>
            <w:tcBorders>
              <w:bottom w:val="single" w:sz="8" w:color="BCBEC0"/>
            </w:tcBorders>
          </w:tcPr>
          <w:p>
            <w:pPr>
              <w:spacing w:after="0" w:line="20" w:lineRule="exact"/>
              <w:rPr>
                <w:sz w:val="1"/>
                <w:szCs w:val="1"/>
                <w:color w:val="auto"/>
              </w:rPr>
            </w:pPr>
          </w:p>
        </w:tc>
        <w:tc>
          <w:tcPr>
            <w:tcW w:w="700" w:type="dxa"/>
            <w:vAlign w:val="bottom"/>
            <w:tcBorders>
              <w:bottom w:val="single" w:sz="8" w:color="BCBEC0"/>
            </w:tcBorders>
          </w:tcPr>
          <w:p>
            <w:pPr>
              <w:spacing w:after="0" w:line="20" w:lineRule="exact"/>
              <w:rPr>
                <w:sz w:val="1"/>
                <w:szCs w:val="1"/>
                <w:color w:val="auto"/>
              </w:rPr>
            </w:pPr>
          </w:p>
        </w:tc>
        <w:tc>
          <w:tcPr>
            <w:tcW w:w="920" w:type="dxa"/>
            <w:vAlign w:val="bottom"/>
            <w:tcBorders>
              <w:bottom w:val="single" w:sz="8" w:color="BCBEC0"/>
            </w:tcBorders>
          </w:tcPr>
          <w:p>
            <w:pPr>
              <w:spacing w:after="0" w:line="20" w:lineRule="exact"/>
              <w:rPr>
                <w:sz w:val="1"/>
                <w:szCs w:val="1"/>
                <w:color w:val="auto"/>
              </w:rPr>
            </w:pPr>
          </w:p>
        </w:tc>
        <w:tc>
          <w:tcPr>
            <w:tcW w:w="960" w:type="dxa"/>
            <w:vAlign w:val="bottom"/>
            <w:tcBorders>
              <w:bottom w:val="single" w:sz="8" w:color="BCBEC0"/>
            </w:tcBorders>
          </w:tcPr>
          <w:p>
            <w:pPr>
              <w:spacing w:after="0" w:line="20" w:lineRule="exact"/>
              <w:rPr>
                <w:sz w:val="1"/>
                <w:szCs w:val="1"/>
                <w:color w:val="auto"/>
              </w:rPr>
            </w:pPr>
          </w:p>
        </w:tc>
        <w:tc>
          <w:tcPr>
            <w:tcW w:w="1300" w:type="dxa"/>
            <w:vAlign w:val="bottom"/>
            <w:tcBorders>
              <w:bottom w:val="single" w:sz="8" w:color="BCBEC0"/>
            </w:tcBorders>
          </w:tcPr>
          <w:p>
            <w:pPr>
              <w:spacing w:after="0" w:line="20" w:lineRule="exact"/>
              <w:rPr>
                <w:sz w:val="1"/>
                <w:szCs w:val="1"/>
                <w:color w:val="auto"/>
              </w:rPr>
            </w:pPr>
          </w:p>
        </w:tc>
        <w:tc>
          <w:tcPr>
            <w:tcW w:w="1280" w:type="dxa"/>
            <w:vAlign w:val="bottom"/>
            <w:tcBorders>
              <w:bottom w:val="single" w:sz="8" w:color="BCBEC0"/>
            </w:tcBorders>
          </w:tcPr>
          <w:p>
            <w:pPr>
              <w:spacing w:after="0" w:line="20" w:lineRule="exact"/>
              <w:rPr>
                <w:sz w:val="1"/>
                <w:szCs w:val="1"/>
                <w:color w:val="auto"/>
              </w:rPr>
            </w:pPr>
          </w:p>
        </w:tc>
        <w:tc>
          <w:tcPr>
            <w:tcW w:w="1280" w:type="dxa"/>
            <w:vAlign w:val="bottom"/>
            <w:tcBorders>
              <w:bottom w:val="single" w:sz="8" w:color="BCBEC0"/>
            </w:tcBorders>
          </w:tcPr>
          <w:p>
            <w:pPr>
              <w:spacing w:after="0" w:line="20" w:lineRule="exact"/>
              <w:rPr>
                <w:sz w:val="1"/>
                <w:szCs w:val="1"/>
                <w:color w:val="auto"/>
              </w:rPr>
            </w:pPr>
          </w:p>
        </w:tc>
        <w:tc>
          <w:tcPr>
            <w:tcW w:w="1080" w:type="dxa"/>
            <w:vAlign w:val="bottom"/>
            <w:tcBorders>
              <w:bottom w:val="single" w:sz="8" w:color="BCBEC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1"/>
        </w:trPr>
        <w:tc>
          <w:tcPr>
            <w:tcW w:w="20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80" w:type="dxa"/>
            <w:vAlign w:val="bottom"/>
          </w:tcPr>
          <w:p>
            <w:pPr>
              <w:jc w:val="right"/>
              <w:ind w:right="137"/>
              <w:spacing w:after="0"/>
              <w:rPr>
                <w:sz w:val="20"/>
                <w:szCs w:val="20"/>
                <w:color w:val="auto"/>
              </w:rPr>
            </w:pPr>
            <w:r>
              <w:rPr>
                <w:rFonts w:ascii="Arial" w:cs="Arial" w:eastAsia="Arial" w:hAnsi="Arial"/>
                <w:sz w:val="13"/>
                <w:szCs w:val="13"/>
                <w:b w:val="1"/>
                <w:bCs w:val="1"/>
                <w:color w:val="auto"/>
              </w:rPr>
              <w:t>Change in</w:t>
            </w:r>
          </w:p>
        </w:tc>
        <w:tc>
          <w:tcPr>
            <w:tcW w:w="12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80" w:type="dxa"/>
            <w:vAlign w:val="bottom"/>
          </w:tcPr>
          <w:p>
            <w:pPr>
              <w:jc w:val="right"/>
              <w:ind w:right="137"/>
              <w:spacing w:after="0"/>
              <w:rPr>
                <w:sz w:val="20"/>
                <w:szCs w:val="20"/>
                <w:color w:val="auto"/>
              </w:rPr>
            </w:pPr>
            <w:r>
              <w:rPr>
                <w:rFonts w:ascii="Arial" w:cs="Arial" w:eastAsia="Arial" w:hAnsi="Arial"/>
                <w:sz w:val="13"/>
                <w:szCs w:val="13"/>
                <w:b w:val="1"/>
                <w:bCs w:val="1"/>
                <w:color w:val="auto"/>
              </w:rPr>
              <w:t>Pension</w:t>
            </w:r>
          </w:p>
        </w:tc>
        <w:tc>
          <w:tcPr>
            <w:tcW w:w="12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80" w:type="dxa"/>
            <w:vAlign w:val="bottom"/>
          </w:tcPr>
          <w:p>
            <w:pPr>
              <w:jc w:val="right"/>
              <w:ind w:right="137"/>
              <w:spacing w:after="0"/>
              <w:rPr>
                <w:sz w:val="20"/>
                <w:szCs w:val="20"/>
                <w:color w:val="auto"/>
              </w:rPr>
            </w:pPr>
            <w:r>
              <w:rPr>
                <w:rFonts w:ascii="Arial" w:cs="Arial" w:eastAsia="Arial" w:hAnsi="Arial"/>
                <w:sz w:val="13"/>
                <w:szCs w:val="13"/>
                <w:b w:val="1"/>
                <w:bCs w:val="1"/>
                <w:color w:val="auto"/>
              </w:rPr>
              <w:t>Value and</w:t>
            </w:r>
          </w:p>
        </w:tc>
        <w:tc>
          <w:tcPr>
            <w:tcW w:w="12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80" w:type="dxa"/>
            <w:vAlign w:val="bottom"/>
          </w:tcPr>
          <w:p>
            <w:pPr>
              <w:jc w:val="right"/>
              <w:ind w:right="137"/>
              <w:spacing w:after="0"/>
              <w:rPr>
                <w:sz w:val="20"/>
                <w:szCs w:val="20"/>
                <w:color w:val="auto"/>
              </w:rPr>
            </w:pPr>
            <w:r>
              <w:rPr>
                <w:rFonts w:ascii="Arial" w:cs="Arial" w:eastAsia="Arial" w:hAnsi="Arial"/>
                <w:sz w:val="13"/>
                <w:szCs w:val="13"/>
                <w:b w:val="1"/>
                <w:bCs w:val="1"/>
                <w:color w:val="auto"/>
              </w:rPr>
              <w:t>Non-Qualified</w:t>
            </w:r>
          </w:p>
        </w:tc>
        <w:tc>
          <w:tcPr>
            <w:tcW w:w="12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00" w:type="dxa"/>
            <w:vAlign w:val="bottom"/>
          </w:tcPr>
          <w:p>
            <w:pPr>
              <w:jc w:val="right"/>
              <w:ind w:right="158"/>
              <w:spacing w:after="0"/>
              <w:rPr>
                <w:sz w:val="20"/>
                <w:szCs w:val="20"/>
                <w:color w:val="auto"/>
              </w:rPr>
            </w:pPr>
            <w:r>
              <w:rPr>
                <w:rFonts w:ascii="Arial" w:cs="Arial" w:eastAsia="Arial" w:hAnsi="Arial"/>
                <w:sz w:val="13"/>
                <w:szCs w:val="13"/>
                <w:b w:val="1"/>
                <w:bCs w:val="1"/>
                <w:color w:val="auto"/>
              </w:rPr>
              <w:t>Non-Equity</w:t>
            </w:r>
          </w:p>
        </w:tc>
        <w:tc>
          <w:tcPr>
            <w:tcW w:w="1280" w:type="dxa"/>
            <w:vAlign w:val="bottom"/>
          </w:tcPr>
          <w:p>
            <w:pPr>
              <w:jc w:val="right"/>
              <w:ind w:right="137"/>
              <w:spacing w:after="0"/>
              <w:rPr>
                <w:sz w:val="20"/>
                <w:szCs w:val="20"/>
                <w:color w:val="auto"/>
              </w:rPr>
            </w:pPr>
            <w:r>
              <w:rPr>
                <w:rFonts w:ascii="Arial" w:cs="Arial" w:eastAsia="Arial" w:hAnsi="Arial"/>
                <w:sz w:val="13"/>
                <w:szCs w:val="13"/>
                <w:b w:val="1"/>
                <w:bCs w:val="1"/>
                <w:color w:val="auto"/>
              </w:rPr>
              <w:t>Deferred</w:t>
            </w:r>
          </w:p>
        </w:tc>
        <w:tc>
          <w:tcPr>
            <w:tcW w:w="1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20" w:type="dxa"/>
            <w:vAlign w:val="bottom"/>
          </w:tcPr>
          <w:p>
            <w:pPr>
              <w:jc w:val="right"/>
              <w:ind w:right="97"/>
              <w:spacing w:after="0"/>
              <w:rPr>
                <w:sz w:val="20"/>
                <w:szCs w:val="20"/>
                <w:color w:val="auto"/>
              </w:rPr>
            </w:pPr>
            <w:r>
              <w:rPr>
                <w:rFonts w:ascii="Arial" w:cs="Arial" w:eastAsia="Arial" w:hAnsi="Arial"/>
                <w:sz w:val="13"/>
                <w:szCs w:val="13"/>
                <w:b w:val="1"/>
                <w:bCs w:val="1"/>
                <w:color w:val="auto"/>
              </w:rPr>
              <w:t>Stock</w:t>
            </w:r>
          </w:p>
        </w:tc>
        <w:tc>
          <w:tcPr>
            <w:tcW w:w="960" w:type="dxa"/>
            <w:vAlign w:val="bottom"/>
          </w:tcPr>
          <w:p>
            <w:pPr>
              <w:jc w:val="right"/>
              <w:ind w:right="137"/>
              <w:spacing w:after="0"/>
              <w:rPr>
                <w:sz w:val="20"/>
                <w:szCs w:val="20"/>
                <w:color w:val="auto"/>
              </w:rPr>
            </w:pPr>
            <w:r>
              <w:rPr>
                <w:rFonts w:ascii="Arial" w:cs="Arial" w:eastAsia="Arial" w:hAnsi="Arial"/>
                <w:sz w:val="13"/>
                <w:szCs w:val="13"/>
                <w:b w:val="1"/>
                <w:bCs w:val="1"/>
                <w:color w:val="auto"/>
              </w:rPr>
              <w:t>Option</w:t>
            </w:r>
          </w:p>
        </w:tc>
        <w:tc>
          <w:tcPr>
            <w:tcW w:w="1300" w:type="dxa"/>
            <w:vAlign w:val="bottom"/>
          </w:tcPr>
          <w:p>
            <w:pPr>
              <w:jc w:val="right"/>
              <w:ind w:right="158"/>
              <w:spacing w:after="0"/>
              <w:rPr>
                <w:sz w:val="20"/>
                <w:szCs w:val="20"/>
                <w:color w:val="auto"/>
              </w:rPr>
            </w:pPr>
            <w:r>
              <w:rPr>
                <w:rFonts w:ascii="Arial" w:cs="Arial" w:eastAsia="Arial" w:hAnsi="Arial"/>
                <w:sz w:val="13"/>
                <w:szCs w:val="13"/>
                <w:b w:val="1"/>
                <w:bCs w:val="1"/>
                <w:color w:val="auto"/>
              </w:rPr>
              <w:t>Incentive Plan</w:t>
            </w:r>
          </w:p>
        </w:tc>
        <w:tc>
          <w:tcPr>
            <w:tcW w:w="1280" w:type="dxa"/>
            <w:vAlign w:val="bottom"/>
          </w:tcPr>
          <w:p>
            <w:pPr>
              <w:jc w:val="right"/>
              <w:ind w:right="137"/>
              <w:spacing w:after="0"/>
              <w:rPr>
                <w:sz w:val="20"/>
                <w:szCs w:val="20"/>
                <w:color w:val="auto"/>
              </w:rPr>
            </w:pPr>
            <w:r>
              <w:rPr>
                <w:rFonts w:ascii="Arial" w:cs="Arial" w:eastAsia="Arial" w:hAnsi="Arial"/>
                <w:sz w:val="13"/>
                <w:szCs w:val="13"/>
                <w:b w:val="1"/>
                <w:bCs w:val="1"/>
                <w:color w:val="auto"/>
              </w:rPr>
              <w:t>Compensation</w:t>
            </w:r>
          </w:p>
        </w:tc>
        <w:tc>
          <w:tcPr>
            <w:tcW w:w="1280" w:type="dxa"/>
            <w:vAlign w:val="bottom"/>
          </w:tcPr>
          <w:p>
            <w:pPr>
              <w:jc w:val="right"/>
              <w:ind w:right="137"/>
              <w:spacing w:after="0"/>
              <w:rPr>
                <w:sz w:val="20"/>
                <w:szCs w:val="20"/>
                <w:color w:val="auto"/>
              </w:rPr>
            </w:pPr>
            <w:r>
              <w:rPr>
                <w:rFonts w:ascii="Arial" w:cs="Arial" w:eastAsia="Arial" w:hAnsi="Arial"/>
                <w:sz w:val="13"/>
                <w:szCs w:val="13"/>
                <w:b w:val="1"/>
                <w:bCs w:val="1"/>
                <w:color w:val="auto"/>
              </w:rPr>
              <w:t>All Other</w:t>
            </w:r>
          </w:p>
        </w:tc>
        <w:tc>
          <w:tcPr>
            <w:tcW w:w="1080" w:type="dxa"/>
            <w:vAlign w:val="bottom"/>
          </w:tcPr>
          <w:p>
            <w:pPr>
              <w:jc w:val="right"/>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48"/>
        </w:trPr>
        <w:tc>
          <w:tcPr>
            <w:tcW w:w="20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80" w:type="dxa"/>
            <w:vAlign w:val="bottom"/>
          </w:tcPr>
          <w:p>
            <w:pPr>
              <w:jc w:val="right"/>
              <w:ind w:right="97"/>
              <w:spacing w:after="0"/>
              <w:rPr>
                <w:sz w:val="20"/>
                <w:szCs w:val="20"/>
                <w:color w:val="auto"/>
              </w:rPr>
            </w:pPr>
            <w:r>
              <w:rPr>
                <w:rFonts w:ascii="Arial" w:cs="Arial" w:eastAsia="Arial" w:hAnsi="Arial"/>
                <w:sz w:val="13"/>
                <w:szCs w:val="13"/>
                <w:b w:val="1"/>
                <w:bCs w:val="1"/>
                <w:color w:val="auto"/>
              </w:rPr>
              <w:t>Salary</w:t>
            </w:r>
          </w:p>
        </w:tc>
        <w:tc>
          <w:tcPr>
            <w:tcW w:w="700" w:type="dxa"/>
            <w:vAlign w:val="bottom"/>
          </w:tcPr>
          <w:p>
            <w:pPr>
              <w:ind w:left="160"/>
              <w:spacing w:after="0"/>
              <w:rPr>
                <w:sz w:val="20"/>
                <w:szCs w:val="20"/>
                <w:color w:val="auto"/>
              </w:rPr>
            </w:pPr>
            <w:r>
              <w:rPr>
                <w:rFonts w:ascii="Arial" w:cs="Arial" w:eastAsia="Arial" w:hAnsi="Arial"/>
                <w:sz w:val="13"/>
                <w:szCs w:val="13"/>
                <w:b w:val="1"/>
                <w:bCs w:val="1"/>
                <w:color w:val="auto"/>
              </w:rPr>
              <w:t>Bonus</w:t>
            </w:r>
          </w:p>
        </w:tc>
        <w:tc>
          <w:tcPr>
            <w:tcW w:w="920" w:type="dxa"/>
            <w:vAlign w:val="bottom"/>
          </w:tcPr>
          <w:p>
            <w:pPr>
              <w:jc w:val="right"/>
              <w:ind w:right="97"/>
              <w:spacing w:after="0"/>
              <w:rPr>
                <w:sz w:val="20"/>
                <w:szCs w:val="20"/>
                <w:color w:val="auto"/>
              </w:rPr>
            </w:pPr>
            <w:r>
              <w:rPr>
                <w:rFonts w:ascii="Arial" w:cs="Arial" w:eastAsia="Arial" w:hAnsi="Arial"/>
                <w:sz w:val="13"/>
                <w:szCs w:val="13"/>
                <w:b w:val="1"/>
                <w:bCs w:val="1"/>
                <w:color w:val="auto"/>
              </w:rPr>
              <w:t>Awards</w:t>
            </w:r>
          </w:p>
        </w:tc>
        <w:tc>
          <w:tcPr>
            <w:tcW w:w="960" w:type="dxa"/>
            <w:vAlign w:val="bottom"/>
          </w:tcPr>
          <w:p>
            <w:pPr>
              <w:jc w:val="right"/>
              <w:ind w:right="137"/>
              <w:spacing w:after="0"/>
              <w:rPr>
                <w:sz w:val="20"/>
                <w:szCs w:val="20"/>
                <w:color w:val="auto"/>
              </w:rPr>
            </w:pPr>
            <w:r>
              <w:rPr>
                <w:rFonts w:ascii="Arial" w:cs="Arial" w:eastAsia="Arial" w:hAnsi="Arial"/>
                <w:sz w:val="13"/>
                <w:szCs w:val="13"/>
                <w:b w:val="1"/>
                <w:bCs w:val="1"/>
                <w:color w:val="auto"/>
              </w:rPr>
              <w:t>Awards</w:t>
            </w:r>
          </w:p>
        </w:tc>
        <w:tc>
          <w:tcPr>
            <w:tcW w:w="1300" w:type="dxa"/>
            <w:vAlign w:val="bottom"/>
          </w:tcPr>
          <w:p>
            <w:pPr>
              <w:jc w:val="right"/>
              <w:ind w:right="158"/>
              <w:spacing w:after="0"/>
              <w:rPr>
                <w:sz w:val="20"/>
                <w:szCs w:val="20"/>
                <w:color w:val="auto"/>
              </w:rPr>
            </w:pPr>
            <w:r>
              <w:rPr>
                <w:rFonts w:ascii="Arial" w:cs="Arial" w:eastAsia="Arial" w:hAnsi="Arial"/>
                <w:sz w:val="13"/>
                <w:szCs w:val="13"/>
                <w:b w:val="1"/>
                <w:bCs w:val="1"/>
                <w:color w:val="auto"/>
              </w:rPr>
              <w:t>Compensation</w:t>
            </w:r>
          </w:p>
        </w:tc>
        <w:tc>
          <w:tcPr>
            <w:tcW w:w="1280" w:type="dxa"/>
            <w:vAlign w:val="bottom"/>
          </w:tcPr>
          <w:p>
            <w:pPr>
              <w:jc w:val="right"/>
              <w:ind w:right="137"/>
              <w:spacing w:after="0"/>
              <w:rPr>
                <w:sz w:val="20"/>
                <w:szCs w:val="20"/>
                <w:color w:val="auto"/>
              </w:rPr>
            </w:pPr>
            <w:r>
              <w:rPr>
                <w:rFonts w:ascii="Arial" w:cs="Arial" w:eastAsia="Arial" w:hAnsi="Arial"/>
                <w:sz w:val="13"/>
                <w:szCs w:val="13"/>
                <w:b w:val="1"/>
                <w:bCs w:val="1"/>
                <w:color w:val="auto"/>
              </w:rPr>
              <w:t>Earnings</w:t>
            </w:r>
          </w:p>
        </w:tc>
        <w:tc>
          <w:tcPr>
            <w:tcW w:w="1280" w:type="dxa"/>
            <w:vAlign w:val="bottom"/>
          </w:tcPr>
          <w:p>
            <w:pPr>
              <w:jc w:val="right"/>
              <w:ind w:right="137"/>
              <w:spacing w:after="0"/>
              <w:rPr>
                <w:sz w:val="20"/>
                <w:szCs w:val="20"/>
                <w:color w:val="auto"/>
              </w:rPr>
            </w:pPr>
            <w:r>
              <w:rPr>
                <w:rFonts w:ascii="Arial" w:cs="Arial" w:eastAsia="Arial" w:hAnsi="Arial"/>
                <w:sz w:val="13"/>
                <w:szCs w:val="13"/>
                <w:b w:val="1"/>
                <w:bCs w:val="1"/>
                <w:color w:val="auto"/>
              </w:rPr>
              <w:t>Compensation</w:t>
            </w:r>
          </w:p>
        </w:tc>
        <w:tc>
          <w:tcPr>
            <w:tcW w:w="1080" w:type="dxa"/>
            <w:vAlign w:val="bottom"/>
          </w:tcPr>
          <w:p>
            <w:pPr>
              <w:jc w:val="right"/>
              <w:spacing w:after="0"/>
              <w:rPr>
                <w:sz w:val="20"/>
                <w:szCs w:val="20"/>
                <w:color w:val="auto"/>
              </w:rPr>
            </w:pPr>
            <w:r>
              <w:rPr>
                <w:rFonts w:ascii="Arial" w:cs="Arial" w:eastAsia="Arial" w:hAnsi="Arial"/>
                <w:sz w:val="13"/>
                <w:szCs w:val="13"/>
                <w:b w:val="1"/>
                <w:bCs w:val="1"/>
                <w:color w:val="auto"/>
              </w:rPr>
              <w:t>Compensation</w:t>
            </w:r>
          </w:p>
        </w:tc>
        <w:tc>
          <w:tcPr>
            <w:tcW w:w="0" w:type="dxa"/>
            <w:vAlign w:val="bottom"/>
          </w:tcPr>
          <w:p>
            <w:pPr>
              <w:spacing w:after="0"/>
              <w:rPr>
                <w:sz w:val="1"/>
                <w:szCs w:val="1"/>
                <w:color w:val="auto"/>
              </w:rPr>
            </w:pPr>
          </w:p>
        </w:tc>
      </w:tr>
      <w:tr>
        <w:trPr>
          <w:trHeight w:val="207"/>
        </w:trPr>
        <w:tc>
          <w:tcPr>
            <w:tcW w:w="2080" w:type="dxa"/>
            <w:vAlign w:val="bottom"/>
            <w:tcBorders>
              <w:bottom w:val="single" w:sz="8" w:color="0C3471"/>
            </w:tcBorders>
          </w:tcPr>
          <w:p>
            <w:pPr>
              <w:ind w:left="20"/>
              <w:spacing w:after="0"/>
              <w:rPr>
                <w:sz w:val="20"/>
                <w:szCs w:val="20"/>
                <w:color w:val="auto"/>
              </w:rPr>
            </w:pPr>
            <w:r>
              <w:rPr>
                <w:rFonts w:ascii="Arial" w:cs="Arial" w:eastAsia="Arial" w:hAnsi="Arial"/>
                <w:sz w:val="13"/>
                <w:szCs w:val="13"/>
                <w:b w:val="1"/>
                <w:bCs w:val="1"/>
                <w:color w:val="auto"/>
              </w:rPr>
              <w:t>Name and Principal Position</w:t>
            </w:r>
          </w:p>
        </w:tc>
        <w:tc>
          <w:tcPr>
            <w:tcW w:w="660" w:type="dxa"/>
            <w:vAlign w:val="bottom"/>
            <w:tcBorders>
              <w:bottom w:val="single" w:sz="8" w:color="0C3471"/>
            </w:tcBorders>
          </w:tcPr>
          <w:p>
            <w:pPr>
              <w:jc w:val="center"/>
              <w:spacing w:after="0"/>
              <w:rPr>
                <w:sz w:val="20"/>
                <w:szCs w:val="20"/>
                <w:color w:val="auto"/>
              </w:rPr>
            </w:pPr>
            <w:r>
              <w:rPr>
                <w:rFonts w:ascii="Arial" w:cs="Arial" w:eastAsia="Arial" w:hAnsi="Arial"/>
                <w:sz w:val="13"/>
                <w:szCs w:val="13"/>
                <w:b w:val="1"/>
                <w:bCs w:val="1"/>
                <w:color w:val="auto"/>
                <w:w w:val="99"/>
              </w:rPr>
              <w:t>Year</w:t>
            </w:r>
          </w:p>
        </w:tc>
        <w:tc>
          <w:tcPr>
            <w:tcW w:w="980" w:type="dxa"/>
            <w:vAlign w:val="bottom"/>
            <w:tcBorders>
              <w:bottom w:val="single" w:sz="8" w:color="0C3471"/>
            </w:tcBorders>
          </w:tcPr>
          <w:p>
            <w:pPr>
              <w:jc w:val="right"/>
              <w:ind w:right="97"/>
              <w:spacing w:after="0"/>
              <w:rPr>
                <w:sz w:val="20"/>
                <w:szCs w:val="20"/>
                <w:color w:val="auto"/>
              </w:rPr>
            </w:pPr>
            <w:r>
              <w:rPr>
                <w:rFonts w:ascii="Arial" w:cs="Arial" w:eastAsia="Arial" w:hAnsi="Arial"/>
                <w:sz w:val="13"/>
                <w:szCs w:val="13"/>
                <w:b w:val="1"/>
                <w:bCs w:val="1"/>
                <w:color w:val="auto"/>
              </w:rPr>
              <w:t>($)</w:t>
            </w:r>
            <w:r>
              <w:rPr>
                <w:rFonts w:ascii="Arial" w:cs="Arial" w:eastAsia="Arial" w:hAnsi="Arial"/>
                <w:sz w:val="16"/>
                <w:szCs w:val="16"/>
                <w:b w:val="1"/>
                <w:bCs w:val="1"/>
                <w:color w:val="auto"/>
                <w:vertAlign w:val="superscript"/>
              </w:rPr>
              <w:t>(1)</w:t>
            </w:r>
          </w:p>
        </w:tc>
        <w:tc>
          <w:tcPr>
            <w:tcW w:w="700" w:type="dxa"/>
            <w:vAlign w:val="bottom"/>
            <w:tcBorders>
              <w:bottom w:val="single" w:sz="8" w:color="0C3471"/>
            </w:tcBorders>
          </w:tcPr>
          <w:p>
            <w:pPr>
              <w:ind w:left="400"/>
              <w:spacing w:after="0"/>
              <w:rPr>
                <w:sz w:val="20"/>
                <w:szCs w:val="20"/>
                <w:color w:val="auto"/>
              </w:rPr>
            </w:pPr>
            <w:r>
              <w:rPr>
                <w:rFonts w:ascii="Arial" w:cs="Arial" w:eastAsia="Arial" w:hAnsi="Arial"/>
                <w:sz w:val="13"/>
                <w:szCs w:val="13"/>
                <w:b w:val="1"/>
                <w:bCs w:val="1"/>
                <w:color w:val="auto"/>
              </w:rPr>
              <w:t>($)</w:t>
            </w:r>
          </w:p>
        </w:tc>
        <w:tc>
          <w:tcPr>
            <w:tcW w:w="920" w:type="dxa"/>
            <w:vAlign w:val="bottom"/>
            <w:tcBorders>
              <w:bottom w:val="single" w:sz="8" w:color="0C3471"/>
            </w:tcBorders>
          </w:tcPr>
          <w:p>
            <w:pPr>
              <w:jc w:val="right"/>
              <w:ind w:right="97"/>
              <w:spacing w:after="0"/>
              <w:rPr>
                <w:sz w:val="20"/>
                <w:szCs w:val="20"/>
                <w:color w:val="auto"/>
              </w:rPr>
            </w:pPr>
            <w:r>
              <w:rPr>
                <w:rFonts w:ascii="Arial" w:cs="Arial" w:eastAsia="Arial" w:hAnsi="Arial"/>
                <w:sz w:val="13"/>
                <w:szCs w:val="13"/>
                <w:b w:val="1"/>
                <w:bCs w:val="1"/>
                <w:color w:val="auto"/>
              </w:rPr>
              <w:t>($)</w:t>
            </w:r>
            <w:r>
              <w:rPr>
                <w:rFonts w:ascii="Arial" w:cs="Arial" w:eastAsia="Arial" w:hAnsi="Arial"/>
                <w:sz w:val="16"/>
                <w:szCs w:val="16"/>
                <w:b w:val="1"/>
                <w:bCs w:val="1"/>
                <w:color w:val="auto"/>
                <w:vertAlign w:val="superscript"/>
              </w:rPr>
              <w:t>(2)</w:t>
            </w:r>
          </w:p>
        </w:tc>
        <w:tc>
          <w:tcPr>
            <w:tcW w:w="960" w:type="dxa"/>
            <w:vAlign w:val="bottom"/>
            <w:tcBorders>
              <w:bottom w:val="single" w:sz="8" w:color="0C3471"/>
            </w:tcBorders>
          </w:tcPr>
          <w:p>
            <w:pPr>
              <w:jc w:val="right"/>
              <w:ind w:right="137"/>
              <w:spacing w:after="0"/>
              <w:rPr>
                <w:sz w:val="20"/>
                <w:szCs w:val="20"/>
                <w:color w:val="auto"/>
              </w:rPr>
            </w:pPr>
            <w:r>
              <w:rPr>
                <w:rFonts w:ascii="Arial" w:cs="Arial" w:eastAsia="Arial" w:hAnsi="Arial"/>
                <w:sz w:val="13"/>
                <w:szCs w:val="13"/>
                <w:b w:val="1"/>
                <w:bCs w:val="1"/>
                <w:color w:val="auto"/>
              </w:rPr>
              <w:t>($)</w:t>
            </w:r>
            <w:r>
              <w:rPr>
                <w:rFonts w:ascii="Arial" w:cs="Arial" w:eastAsia="Arial" w:hAnsi="Arial"/>
                <w:sz w:val="16"/>
                <w:szCs w:val="16"/>
                <w:b w:val="1"/>
                <w:bCs w:val="1"/>
                <w:color w:val="auto"/>
                <w:vertAlign w:val="superscript"/>
              </w:rPr>
              <w:t>(3)</w:t>
            </w:r>
          </w:p>
        </w:tc>
        <w:tc>
          <w:tcPr>
            <w:tcW w:w="1300" w:type="dxa"/>
            <w:vAlign w:val="bottom"/>
            <w:tcBorders>
              <w:bottom w:val="single" w:sz="8" w:color="0C3471"/>
            </w:tcBorders>
          </w:tcPr>
          <w:p>
            <w:pPr>
              <w:jc w:val="right"/>
              <w:ind w:right="158"/>
              <w:spacing w:after="0" w:line="207" w:lineRule="exact"/>
              <w:rPr>
                <w:sz w:val="20"/>
                <w:szCs w:val="20"/>
                <w:color w:val="auto"/>
              </w:rPr>
            </w:pPr>
            <w:r>
              <w:rPr>
                <w:rFonts w:ascii="Arial" w:cs="Arial" w:eastAsia="Arial" w:hAnsi="Arial"/>
                <w:sz w:val="24"/>
                <w:szCs w:val="24"/>
                <w:b w:val="1"/>
                <w:bCs w:val="1"/>
                <w:color w:val="auto"/>
                <w:vertAlign w:val="subscript"/>
              </w:rPr>
              <w:t>($)</w:t>
            </w:r>
            <w:r>
              <w:rPr>
                <w:rFonts w:ascii="Arial" w:cs="Arial" w:eastAsia="Arial" w:hAnsi="Arial"/>
                <w:sz w:val="8"/>
                <w:szCs w:val="8"/>
                <w:b w:val="1"/>
                <w:bCs w:val="1"/>
                <w:color w:val="auto"/>
              </w:rPr>
              <w:t>(1)(4)</w:t>
            </w:r>
          </w:p>
        </w:tc>
        <w:tc>
          <w:tcPr>
            <w:tcW w:w="1280" w:type="dxa"/>
            <w:vAlign w:val="bottom"/>
            <w:tcBorders>
              <w:bottom w:val="single" w:sz="8" w:color="0C3471"/>
            </w:tcBorders>
          </w:tcPr>
          <w:p>
            <w:pPr>
              <w:jc w:val="right"/>
              <w:ind w:right="137"/>
              <w:spacing w:after="0"/>
              <w:rPr>
                <w:sz w:val="20"/>
                <w:szCs w:val="20"/>
                <w:color w:val="auto"/>
              </w:rPr>
            </w:pPr>
            <w:r>
              <w:rPr>
                <w:rFonts w:ascii="Arial" w:cs="Arial" w:eastAsia="Arial" w:hAnsi="Arial"/>
                <w:sz w:val="13"/>
                <w:szCs w:val="13"/>
                <w:b w:val="1"/>
                <w:bCs w:val="1"/>
                <w:color w:val="auto"/>
              </w:rPr>
              <w:t>($)</w:t>
            </w:r>
            <w:r>
              <w:rPr>
                <w:rFonts w:ascii="Arial" w:cs="Arial" w:eastAsia="Arial" w:hAnsi="Arial"/>
                <w:sz w:val="16"/>
                <w:szCs w:val="16"/>
                <w:b w:val="1"/>
                <w:bCs w:val="1"/>
                <w:color w:val="auto"/>
                <w:vertAlign w:val="superscript"/>
              </w:rPr>
              <w:t>(5)</w:t>
            </w:r>
          </w:p>
        </w:tc>
        <w:tc>
          <w:tcPr>
            <w:tcW w:w="1280" w:type="dxa"/>
            <w:vAlign w:val="bottom"/>
            <w:tcBorders>
              <w:bottom w:val="single" w:sz="8" w:color="0C3471"/>
            </w:tcBorders>
          </w:tcPr>
          <w:p>
            <w:pPr>
              <w:jc w:val="right"/>
              <w:ind w:right="137"/>
              <w:spacing w:after="0"/>
              <w:rPr>
                <w:sz w:val="20"/>
                <w:szCs w:val="20"/>
                <w:color w:val="auto"/>
              </w:rPr>
            </w:pPr>
            <w:r>
              <w:rPr>
                <w:rFonts w:ascii="Arial" w:cs="Arial" w:eastAsia="Arial" w:hAnsi="Arial"/>
                <w:sz w:val="13"/>
                <w:szCs w:val="13"/>
                <w:b w:val="1"/>
                <w:bCs w:val="1"/>
                <w:color w:val="auto"/>
              </w:rPr>
              <w:t>($)</w:t>
            </w:r>
            <w:r>
              <w:rPr>
                <w:rFonts w:ascii="Arial" w:cs="Arial" w:eastAsia="Arial" w:hAnsi="Arial"/>
                <w:sz w:val="16"/>
                <w:szCs w:val="16"/>
                <w:b w:val="1"/>
                <w:bCs w:val="1"/>
                <w:color w:val="auto"/>
                <w:vertAlign w:val="superscript"/>
              </w:rPr>
              <w:t>(6)</w:t>
            </w:r>
          </w:p>
        </w:tc>
        <w:tc>
          <w:tcPr>
            <w:tcW w:w="1080" w:type="dxa"/>
            <w:vAlign w:val="bottom"/>
            <w:tcBorders>
              <w:bottom w:val="single" w:sz="8" w:color="0C3471"/>
            </w:tcBorders>
          </w:tcPr>
          <w:p>
            <w:pPr>
              <w:jc w:val="right"/>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174"/>
        </w:trPr>
        <w:tc>
          <w:tcPr>
            <w:tcW w:w="2080" w:type="dxa"/>
            <w:vAlign w:val="bottom"/>
          </w:tcPr>
          <w:p>
            <w:pPr>
              <w:ind w:left="20"/>
              <w:spacing w:after="0"/>
              <w:rPr>
                <w:sz w:val="20"/>
                <w:szCs w:val="20"/>
                <w:color w:val="auto"/>
              </w:rPr>
            </w:pPr>
            <w:r>
              <w:rPr>
                <w:rFonts w:ascii="Arial" w:cs="Arial" w:eastAsia="Arial" w:hAnsi="Arial"/>
                <w:sz w:val="13"/>
                <w:szCs w:val="13"/>
                <w:b w:val="1"/>
                <w:bCs w:val="1"/>
                <w:color w:val="0C3471"/>
              </w:rPr>
              <w:t>John L. Stauch</w:t>
            </w:r>
          </w:p>
        </w:tc>
        <w:tc>
          <w:tcPr>
            <w:tcW w:w="660" w:type="dxa"/>
            <w:vAlign w:val="bottom"/>
          </w:tcPr>
          <w:p>
            <w:pPr>
              <w:jc w:val="center"/>
              <w:spacing w:after="0"/>
              <w:rPr>
                <w:sz w:val="20"/>
                <w:szCs w:val="20"/>
                <w:color w:val="auto"/>
              </w:rPr>
            </w:pPr>
            <w:r>
              <w:rPr>
                <w:rFonts w:ascii="Arial" w:cs="Arial" w:eastAsia="Arial" w:hAnsi="Arial"/>
                <w:sz w:val="13"/>
                <w:szCs w:val="13"/>
                <w:color w:val="auto"/>
                <w:w w:val="96"/>
              </w:rPr>
              <w:t>2025</w:t>
            </w:r>
          </w:p>
        </w:tc>
        <w:tc>
          <w:tcPr>
            <w:tcW w:w="980" w:type="dxa"/>
            <w:vAlign w:val="bottom"/>
          </w:tcPr>
          <w:p>
            <w:pPr>
              <w:jc w:val="right"/>
              <w:ind w:right="137"/>
              <w:spacing w:after="0"/>
              <w:rPr>
                <w:sz w:val="20"/>
                <w:szCs w:val="20"/>
                <w:color w:val="auto"/>
              </w:rPr>
            </w:pPr>
            <w:r>
              <w:rPr>
                <w:rFonts w:ascii="Arial" w:cs="Arial" w:eastAsia="Arial" w:hAnsi="Arial"/>
                <w:sz w:val="13"/>
                <w:szCs w:val="13"/>
                <w:color w:val="auto"/>
              </w:rPr>
              <w:t>1,160,045</w:t>
            </w:r>
          </w:p>
        </w:tc>
        <w:tc>
          <w:tcPr>
            <w:tcW w:w="700" w:type="dxa"/>
            <w:vAlign w:val="bottom"/>
          </w:tcPr>
          <w:p>
            <w:pPr>
              <w:ind w:left="380"/>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137"/>
              <w:spacing w:after="0"/>
              <w:rPr>
                <w:sz w:val="20"/>
                <w:szCs w:val="20"/>
                <w:color w:val="auto"/>
              </w:rPr>
            </w:pPr>
            <w:r>
              <w:rPr>
                <w:rFonts w:ascii="Arial" w:cs="Arial" w:eastAsia="Arial" w:hAnsi="Arial"/>
                <w:sz w:val="13"/>
                <w:szCs w:val="13"/>
                <w:color w:val="auto"/>
              </w:rPr>
              <w:t>5,100,019</w:t>
            </w:r>
          </w:p>
        </w:tc>
        <w:tc>
          <w:tcPr>
            <w:tcW w:w="960" w:type="dxa"/>
            <w:vAlign w:val="bottom"/>
          </w:tcPr>
          <w:p>
            <w:pPr>
              <w:jc w:val="right"/>
              <w:ind w:right="177"/>
              <w:spacing w:after="0"/>
              <w:rPr>
                <w:sz w:val="20"/>
                <w:szCs w:val="20"/>
                <w:color w:val="auto"/>
              </w:rPr>
            </w:pPr>
            <w:r>
              <w:rPr>
                <w:rFonts w:ascii="Arial" w:cs="Arial" w:eastAsia="Arial" w:hAnsi="Arial"/>
                <w:sz w:val="13"/>
                <w:szCs w:val="13"/>
                <w:color w:val="auto"/>
              </w:rPr>
              <w:t>1,699,986</w:t>
            </w:r>
          </w:p>
        </w:tc>
        <w:tc>
          <w:tcPr>
            <w:tcW w:w="1300" w:type="dxa"/>
            <w:vAlign w:val="bottom"/>
          </w:tcPr>
          <w:p>
            <w:pPr>
              <w:jc w:val="right"/>
              <w:ind w:right="198"/>
              <w:spacing w:after="0"/>
              <w:rPr>
                <w:sz w:val="20"/>
                <w:szCs w:val="20"/>
                <w:color w:val="auto"/>
              </w:rPr>
            </w:pPr>
            <w:r>
              <w:rPr>
                <w:rFonts w:ascii="Arial" w:cs="Arial" w:eastAsia="Arial" w:hAnsi="Arial"/>
                <w:sz w:val="13"/>
                <w:szCs w:val="13"/>
                <w:color w:val="auto"/>
              </w:rPr>
              <w:t>1,721,034</w:t>
            </w:r>
          </w:p>
        </w:tc>
        <w:tc>
          <w:tcPr>
            <w:tcW w:w="1280" w:type="dxa"/>
            <w:vAlign w:val="bottom"/>
          </w:tcPr>
          <w:p>
            <w:pPr>
              <w:jc w:val="right"/>
              <w:ind w:right="177"/>
              <w:spacing w:after="0"/>
              <w:rPr>
                <w:sz w:val="20"/>
                <w:szCs w:val="20"/>
                <w:color w:val="auto"/>
              </w:rPr>
            </w:pPr>
            <w:r>
              <w:rPr>
                <w:rFonts w:ascii="Arial" w:cs="Arial" w:eastAsia="Arial" w:hAnsi="Arial"/>
                <w:sz w:val="13"/>
                <w:szCs w:val="13"/>
                <w:color w:val="auto"/>
              </w:rPr>
              <w:t>1,605,908</w:t>
            </w:r>
          </w:p>
        </w:tc>
        <w:tc>
          <w:tcPr>
            <w:tcW w:w="1280" w:type="dxa"/>
            <w:vAlign w:val="bottom"/>
          </w:tcPr>
          <w:p>
            <w:pPr>
              <w:jc w:val="right"/>
              <w:ind w:right="197"/>
              <w:spacing w:after="0"/>
              <w:rPr>
                <w:sz w:val="20"/>
                <w:szCs w:val="20"/>
                <w:color w:val="auto"/>
              </w:rPr>
            </w:pPr>
            <w:r>
              <w:rPr>
                <w:rFonts w:ascii="Arial" w:cs="Arial" w:eastAsia="Arial" w:hAnsi="Arial"/>
                <w:sz w:val="13"/>
                <w:szCs w:val="13"/>
                <w:color w:val="auto"/>
              </w:rPr>
              <w:t>87,263</w:t>
            </w:r>
          </w:p>
        </w:tc>
        <w:tc>
          <w:tcPr>
            <w:tcW w:w="1080" w:type="dxa"/>
            <w:vAlign w:val="bottom"/>
          </w:tcPr>
          <w:p>
            <w:pPr>
              <w:jc w:val="right"/>
              <w:spacing w:after="0"/>
              <w:rPr>
                <w:sz w:val="20"/>
                <w:szCs w:val="20"/>
                <w:color w:val="auto"/>
              </w:rPr>
            </w:pPr>
            <w:r>
              <w:rPr>
                <w:rFonts w:ascii="Arial" w:cs="Arial" w:eastAsia="Arial" w:hAnsi="Arial"/>
                <w:sz w:val="13"/>
                <w:szCs w:val="13"/>
                <w:color w:val="auto"/>
              </w:rPr>
              <w:t>11,374,255</w:t>
            </w:r>
          </w:p>
        </w:tc>
        <w:tc>
          <w:tcPr>
            <w:tcW w:w="0" w:type="dxa"/>
            <w:vAlign w:val="bottom"/>
          </w:tcPr>
          <w:p>
            <w:pPr>
              <w:spacing w:after="0"/>
              <w:rPr>
                <w:sz w:val="1"/>
                <w:szCs w:val="1"/>
                <w:color w:val="auto"/>
              </w:rPr>
            </w:pPr>
          </w:p>
        </w:tc>
      </w:tr>
      <w:tr>
        <w:trPr>
          <w:trHeight w:val="22"/>
        </w:trPr>
        <w:tc>
          <w:tcPr>
            <w:tcW w:w="2080" w:type="dxa"/>
            <w:vAlign w:val="bottom"/>
            <w:vMerge w:val="restart"/>
          </w:tcPr>
          <w:p>
            <w:pPr>
              <w:ind w:left="20"/>
              <w:spacing w:after="0"/>
              <w:rPr>
                <w:sz w:val="20"/>
                <w:szCs w:val="20"/>
                <w:color w:val="auto"/>
              </w:rPr>
            </w:pPr>
            <w:r>
              <w:rPr>
                <w:rFonts w:ascii="Arial" w:cs="Arial" w:eastAsia="Arial" w:hAnsi="Arial"/>
                <w:sz w:val="13"/>
                <w:szCs w:val="13"/>
                <w:color w:val="auto"/>
              </w:rPr>
              <w:t>President and Chief Executive</w:t>
            </w:r>
          </w:p>
        </w:tc>
        <w:tc>
          <w:tcPr>
            <w:tcW w:w="660" w:type="dxa"/>
            <w:vAlign w:val="bottom"/>
            <w:tcBorders>
              <w:bottom w:val="single" w:sz="8" w:color="BCBEC0"/>
            </w:tcBorders>
          </w:tcPr>
          <w:p>
            <w:pPr>
              <w:spacing w:after="0" w:line="20" w:lineRule="exact"/>
              <w:rPr>
                <w:sz w:val="1"/>
                <w:szCs w:val="1"/>
                <w:color w:val="auto"/>
              </w:rPr>
            </w:pPr>
          </w:p>
        </w:tc>
        <w:tc>
          <w:tcPr>
            <w:tcW w:w="980" w:type="dxa"/>
            <w:vAlign w:val="bottom"/>
            <w:tcBorders>
              <w:bottom w:val="single" w:sz="8" w:color="BCBEC0"/>
            </w:tcBorders>
          </w:tcPr>
          <w:p>
            <w:pPr>
              <w:spacing w:after="0" w:line="20" w:lineRule="exact"/>
              <w:rPr>
                <w:sz w:val="1"/>
                <w:szCs w:val="1"/>
                <w:color w:val="auto"/>
              </w:rPr>
            </w:pPr>
          </w:p>
        </w:tc>
        <w:tc>
          <w:tcPr>
            <w:tcW w:w="700" w:type="dxa"/>
            <w:vAlign w:val="bottom"/>
            <w:tcBorders>
              <w:bottom w:val="single" w:sz="8" w:color="BCBEC0"/>
            </w:tcBorders>
          </w:tcPr>
          <w:p>
            <w:pPr>
              <w:spacing w:after="0" w:line="20" w:lineRule="exact"/>
              <w:rPr>
                <w:sz w:val="1"/>
                <w:szCs w:val="1"/>
                <w:color w:val="auto"/>
              </w:rPr>
            </w:pPr>
          </w:p>
        </w:tc>
        <w:tc>
          <w:tcPr>
            <w:tcW w:w="920" w:type="dxa"/>
            <w:vAlign w:val="bottom"/>
            <w:tcBorders>
              <w:bottom w:val="single" w:sz="8" w:color="BCBEC0"/>
            </w:tcBorders>
          </w:tcPr>
          <w:p>
            <w:pPr>
              <w:spacing w:after="0" w:line="20" w:lineRule="exact"/>
              <w:rPr>
                <w:sz w:val="1"/>
                <w:szCs w:val="1"/>
                <w:color w:val="auto"/>
              </w:rPr>
            </w:pPr>
          </w:p>
        </w:tc>
        <w:tc>
          <w:tcPr>
            <w:tcW w:w="960" w:type="dxa"/>
            <w:vAlign w:val="bottom"/>
            <w:tcBorders>
              <w:bottom w:val="single" w:sz="8" w:color="BCBEC0"/>
            </w:tcBorders>
          </w:tcPr>
          <w:p>
            <w:pPr>
              <w:spacing w:after="0" w:line="20" w:lineRule="exact"/>
              <w:rPr>
                <w:sz w:val="1"/>
                <w:szCs w:val="1"/>
                <w:color w:val="auto"/>
              </w:rPr>
            </w:pPr>
          </w:p>
        </w:tc>
        <w:tc>
          <w:tcPr>
            <w:tcW w:w="1300" w:type="dxa"/>
            <w:vAlign w:val="bottom"/>
            <w:tcBorders>
              <w:bottom w:val="single" w:sz="8" w:color="BCBEC0"/>
            </w:tcBorders>
          </w:tcPr>
          <w:p>
            <w:pPr>
              <w:spacing w:after="0" w:line="20" w:lineRule="exact"/>
              <w:rPr>
                <w:sz w:val="1"/>
                <w:szCs w:val="1"/>
                <w:color w:val="auto"/>
              </w:rPr>
            </w:pPr>
          </w:p>
        </w:tc>
        <w:tc>
          <w:tcPr>
            <w:tcW w:w="1280" w:type="dxa"/>
            <w:vAlign w:val="bottom"/>
            <w:tcBorders>
              <w:bottom w:val="single" w:sz="8" w:color="BCBEC0"/>
            </w:tcBorders>
          </w:tcPr>
          <w:p>
            <w:pPr>
              <w:spacing w:after="0" w:line="20" w:lineRule="exact"/>
              <w:rPr>
                <w:sz w:val="1"/>
                <w:szCs w:val="1"/>
                <w:color w:val="auto"/>
              </w:rPr>
            </w:pPr>
          </w:p>
        </w:tc>
        <w:tc>
          <w:tcPr>
            <w:tcW w:w="1280" w:type="dxa"/>
            <w:vAlign w:val="bottom"/>
            <w:tcBorders>
              <w:bottom w:val="single" w:sz="8" w:color="BCBEC0"/>
            </w:tcBorders>
          </w:tcPr>
          <w:p>
            <w:pPr>
              <w:spacing w:after="0" w:line="20" w:lineRule="exact"/>
              <w:rPr>
                <w:sz w:val="1"/>
                <w:szCs w:val="1"/>
                <w:color w:val="auto"/>
              </w:rPr>
            </w:pPr>
          </w:p>
        </w:tc>
        <w:tc>
          <w:tcPr>
            <w:tcW w:w="1080" w:type="dxa"/>
            <w:vAlign w:val="bottom"/>
            <w:tcBorders>
              <w:bottom w:val="single" w:sz="8" w:color="BCBEC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8"/>
        </w:trPr>
        <w:tc>
          <w:tcPr>
            <w:tcW w:w="2080" w:type="dxa"/>
            <w:vAlign w:val="bottom"/>
            <w:vMerge w:val="continue"/>
          </w:tcPr>
          <w:p>
            <w:pPr>
              <w:spacing w:after="0"/>
              <w:rPr>
                <w:sz w:val="11"/>
                <w:szCs w:val="11"/>
                <w:color w:val="auto"/>
              </w:rPr>
            </w:pPr>
          </w:p>
        </w:tc>
        <w:tc>
          <w:tcPr>
            <w:tcW w:w="660" w:type="dxa"/>
            <w:vAlign w:val="bottom"/>
          </w:tcPr>
          <w:p>
            <w:pPr>
              <w:jc w:val="center"/>
              <w:spacing w:after="0" w:line="138" w:lineRule="exact"/>
              <w:rPr>
                <w:sz w:val="20"/>
                <w:szCs w:val="20"/>
                <w:color w:val="auto"/>
              </w:rPr>
            </w:pPr>
            <w:r>
              <w:rPr>
                <w:rFonts w:ascii="Arial" w:cs="Arial" w:eastAsia="Arial" w:hAnsi="Arial"/>
                <w:sz w:val="13"/>
                <w:szCs w:val="13"/>
                <w:color w:val="auto"/>
                <w:w w:val="96"/>
              </w:rPr>
              <w:t>2024</w:t>
            </w:r>
          </w:p>
        </w:tc>
        <w:tc>
          <w:tcPr>
            <w:tcW w:w="980" w:type="dxa"/>
            <w:vAlign w:val="bottom"/>
          </w:tcPr>
          <w:p>
            <w:pPr>
              <w:jc w:val="right"/>
              <w:ind w:right="137"/>
              <w:spacing w:after="0" w:line="138" w:lineRule="exact"/>
              <w:rPr>
                <w:sz w:val="20"/>
                <w:szCs w:val="20"/>
                <w:color w:val="auto"/>
              </w:rPr>
            </w:pPr>
            <w:r>
              <w:rPr>
                <w:rFonts w:ascii="Arial" w:cs="Arial" w:eastAsia="Arial" w:hAnsi="Arial"/>
                <w:sz w:val="13"/>
                <w:szCs w:val="13"/>
                <w:color w:val="auto"/>
              </w:rPr>
              <w:t>1,115,043</w:t>
            </w:r>
          </w:p>
        </w:tc>
        <w:tc>
          <w:tcPr>
            <w:tcW w:w="700" w:type="dxa"/>
            <w:vAlign w:val="bottom"/>
          </w:tcPr>
          <w:p>
            <w:pPr>
              <w:ind w:left="380"/>
              <w:spacing w:after="0" w:line="138" w:lineRule="exact"/>
              <w:rPr>
                <w:sz w:val="20"/>
                <w:szCs w:val="20"/>
                <w:color w:val="auto"/>
              </w:rPr>
            </w:pPr>
            <w:r>
              <w:rPr>
                <w:rFonts w:ascii="Arial" w:cs="Arial" w:eastAsia="Arial" w:hAnsi="Arial"/>
                <w:sz w:val="13"/>
                <w:szCs w:val="13"/>
                <w:color w:val="auto"/>
              </w:rPr>
              <w:t>—</w:t>
            </w:r>
          </w:p>
        </w:tc>
        <w:tc>
          <w:tcPr>
            <w:tcW w:w="920" w:type="dxa"/>
            <w:vAlign w:val="bottom"/>
          </w:tcPr>
          <w:p>
            <w:pPr>
              <w:jc w:val="right"/>
              <w:ind w:right="137"/>
              <w:spacing w:after="0" w:line="138" w:lineRule="exact"/>
              <w:rPr>
                <w:sz w:val="20"/>
                <w:szCs w:val="20"/>
                <w:color w:val="auto"/>
              </w:rPr>
            </w:pPr>
            <w:r>
              <w:rPr>
                <w:rFonts w:ascii="Arial" w:cs="Arial" w:eastAsia="Arial" w:hAnsi="Arial"/>
                <w:sz w:val="13"/>
                <w:szCs w:val="13"/>
                <w:color w:val="auto"/>
              </w:rPr>
              <w:t>4,874,970</w:t>
            </w:r>
          </w:p>
        </w:tc>
        <w:tc>
          <w:tcPr>
            <w:tcW w:w="960" w:type="dxa"/>
            <w:vAlign w:val="bottom"/>
          </w:tcPr>
          <w:p>
            <w:pPr>
              <w:jc w:val="right"/>
              <w:ind w:right="177"/>
              <w:spacing w:after="0" w:line="138" w:lineRule="exact"/>
              <w:rPr>
                <w:sz w:val="20"/>
                <w:szCs w:val="20"/>
                <w:color w:val="auto"/>
              </w:rPr>
            </w:pPr>
            <w:r>
              <w:rPr>
                <w:rFonts w:ascii="Arial" w:cs="Arial" w:eastAsia="Arial" w:hAnsi="Arial"/>
                <w:sz w:val="13"/>
                <w:szCs w:val="13"/>
                <w:color w:val="auto"/>
              </w:rPr>
              <w:t>1,625,007</w:t>
            </w:r>
          </w:p>
        </w:tc>
        <w:tc>
          <w:tcPr>
            <w:tcW w:w="1300" w:type="dxa"/>
            <w:vAlign w:val="bottom"/>
          </w:tcPr>
          <w:p>
            <w:pPr>
              <w:jc w:val="right"/>
              <w:ind w:right="198"/>
              <w:spacing w:after="0" w:line="138" w:lineRule="exact"/>
              <w:rPr>
                <w:sz w:val="20"/>
                <w:szCs w:val="20"/>
                <w:color w:val="auto"/>
              </w:rPr>
            </w:pPr>
            <w:r>
              <w:rPr>
                <w:rFonts w:ascii="Arial" w:cs="Arial" w:eastAsia="Arial" w:hAnsi="Arial"/>
                <w:sz w:val="13"/>
                <w:szCs w:val="13"/>
                <w:color w:val="auto"/>
              </w:rPr>
              <w:t>1,868,316</w:t>
            </w:r>
          </w:p>
        </w:tc>
        <w:tc>
          <w:tcPr>
            <w:tcW w:w="1280" w:type="dxa"/>
            <w:vAlign w:val="bottom"/>
          </w:tcPr>
          <w:p>
            <w:pPr>
              <w:jc w:val="right"/>
              <w:ind w:right="177"/>
              <w:spacing w:after="0" w:line="138" w:lineRule="exact"/>
              <w:rPr>
                <w:sz w:val="20"/>
                <w:szCs w:val="20"/>
                <w:color w:val="auto"/>
              </w:rPr>
            </w:pPr>
            <w:r>
              <w:rPr>
                <w:rFonts w:ascii="Arial" w:cs="Arial" w:eastAsia="Arial" w:hAnsi="Arial"/>
                <w:sz w:val="13"/>
                <w:szCs w:val="13"/>
                <w:color w:val="auto"/>
              </w:rPr>
              <w:t>1,246,840</w:t>
            </w:r>
          </w:p>
        </w:tc>
        <w:tc>
          <w:tcPr>
            <w:tcW w:w="1280" w:type="dxa"/>
            <w:vAlign w:val="bottom"/>
          </w:tcPr>
          <w:p>
            <w:pPr>
              <w:jc w:val="right"/>
              <w:ind w:right="197"/>
              <w:spacing w:after="0" w:line="138" w:lineRule="exact"/>
              <w:rPr>
                <w:sz w:val="20"/>
                <w:szCs w:val="20"/>
                <w:color w:val="auto"/>
              </w:rPr>
            </w:pPr>
            <w:r>
              <w:rPr>
                <w:rFonts w:ascii="Arial" w:cs="Arial" w:eastAsia="Arial" w:hAnsi="Arial"/>
                <w:sz w:val="13"/>
                <w:szCs w:val="13"/>
                <w:color w:val="auto"/>
              </w:rPr>
              <w:t>39,788</w:t>
            </w:r>
          </w:p>
        </w:tc>
        <w:tc>
          <w:tcPr>
            <w:tcW w:w="1080" w:type="dxa"/>
            <w:vAlign w:val="bottom"/>
          </w:tcPr>
          <w:p>
            <w:pPr>
              <w:jc w:val="right"/>
              <w:spacing w:after="0" w:line="138" w:lineRule="exact"/>
              <w:rPr>
                <w:sz w:val="20"/>
                <w:szCs w:val="20"/>
                <w:color w:val="auto"/>
              </w:rPr>
            </w:pPr>
            <w:r>
              <w:rPr>
                <w:rFonts w:ascii="Arial" w:cs="Arial" w:eastAsia="Arial" w:hAnsi="Arial"/>
                <w:sz w:val="13"/>
                <w:szCs w:val="13"/>
                <w:color w:val="auto"/>
              </w:rPr>
              <w:t>10,769,964</w:t>
            </w:r>
          </w:p>
        </w:tc>
        <w:tc>
          <w:tcPr>
            <w:tcW w:w="0" w:type="dxa"/>
            <w:vAlign w:val="bottom"/>
          </w:tcPr>
          <w:p>
            <w:pPr>
              <w:spacing w:after="0"/>
              <w:rPr>
                <w:sz w:val="1"/>
                <w:szCs w:val="1"/>
                <w:color w:val="auto"/>
              </w:rPr>
            </w:pPr>
          </w:p>
        </w:tc>
      </w:tr>
      <w:tr>
        <w:trPr>
          <w:trHeight w:val="58"/>
        </w:trPr>
        <w:tc>
          <w:tcPr>
            <w:tcW w:w="2080" w:type="dxa"/>
            <w:vAlign w:val="bottom"/>
            <w:vMerge w:val="restart"/>
          </w:tcPr>
          <w:p>
            <w:pPr>
              <w:ind w:left="20"/>
              <w:spacing w:after="0"/>
              <w:rPr>
                <w:sz w:val="20"/>
                <w:szCs w:val="20"/>
                <w:color w:val="auto"/>
              </w:rPr>
            </w:pPr>
            <w:r>
              <w:rPr>
                <w:rFonts w:ascii="Arial" w:cs="Arial" w:eastAsia="Arial" w:hAnsi="Arial"/>
                <w:sz w:val="13"/>
                <w:szCs w:val="13"/>
                <w:color w:val="auto"/>
              </w:rPr>
              <w:t>Officer</w:t>
            </w:r>
          </w:p>
        </w:tc>
        <w:tc>
          <w:tcPr>
            <w:tcW w:w="660" w:type="dxa"/>
            <w:vAlign w:val="bottom"/>
            <w:tcBorders>
              <w:bottom w:val="single" w:sz="8" w:color="BCBEC0"/>
            </w:tcBorders>
          </w:tcPr>
          <w:p>
            <w:pPr>
              <w:spacing w:after="0"/>
              <w:rPr>
                <w:sz w:val="5"/>
                <w:szCs w:val="5"/>
                <w:color w:val="auto"/>
              </w:rPr>
            </w:pPr>
          </w:p>
        </w:tc>
        <w:tc>
          <w:tcPr>
            <w:tcW w:w="980" w:type="dxa"/>
            <w:vAlign w:val="bottom"/>
            <w:tcBorders>
              <w:bottom w:val="single" w:sz="8" w:color="BCBEC0"/>
            </w:tcBorders>
          </w:tcPr>
          <w:p>
            <w:pPr>
              <w:spacing w:after="0"/>
              <w:rPr>
                <w:sz w:val="5"/>
                <w:szCs w:val="5"/>
                <w:color w:val="auto"/>
              </w:rPr>
            </w:pPr>
          </w:p>
        </w:tc>
        <w:tc>
          <w:tcPr>
            <w:tcW w:w="700" w:type="dxa"/>
            <w:vAlign w:val="bottom"/>
            <w:tcBorders>
              <w:bottom w:val="single" w:sz="8" w:color="BCBEC0"/>
            </w:tcBorders>
          </w:tcPr>
          <w:p>
            <w:pPr>
              <w:spacing w:after="0"/>
              <w:rPr>
                <w:sz w:val="5"/>
                <w:szCs w:val="5"/>
                <w:color w:val="auto"/>
              </w:rPr>
            </w:pPr>
          </w:p>
        </w:tc>
        <w:tc>
          <w:tcPr>
            <w:tcW w:w="920" w:type="dxa"/>
            <w:vAlign w:val="bottom"/>
            <w:tcBorders>
              <w:bottom w:val="single" w:sz="8" w:color="BCBEC0"/>
            </w:tcBorders>
          </w:tcPr>
          <w:p>
            <w:pPr>
              <w:spacing w:after="0"/>
              <w:rPr>
                <w:sz w:val="5"/>
                <w:szCs w:val="5"/>
                <w:color w:val="auto"/>
              </w:rPr>
            </w:pPr>
          </w:p>
        </w:tc>
        <w:tc>
          <w:tcPr>
            <w:tcW w:w="960" w:type="dxa"/>
            <w:vAlign w:val="bottom"/>
            <w:tcBorders>
              <w:bottom w:val="single" w:sz="8" w:color="BCBEC0"/>
            </w:tcBorders>
          </w:tcPr>
          <w:p>
            <w:pPr>
              <w:spacing w:after="0"/>
              <w:rPr>
                <w:sz w:val="5"/>
                <w:szCs w:val="5"/>
                <w:color w:val="auto"/>
              </w:rPr>
            </w:pPr>
          </w:p>
        </w:tc>
        <w:tc>
          <w:tcPr>
            <w:tcW w:w="1300" w:type="dxa"/>
            <w:vAlign w:val="bottom"/>
            <w:tcBorders>
              <w:bottom w:val="single" w:sz="8" w:color="BCBEC0"/>
            </w:tcBorders>
          </w:tcPr>
          <w:p>
            <w:pPr>
              <w:spacing w:after="0"/>
              <w:rPr>
                <w:sz w:val="5"/>
                <w:szCs w:val="5"/>
                <w:color w:val="auto"/>
              </w:rPr>
            </w:pPr>
          </w:p>
        </w:tc>
        <w:tc>
          <w:tcPr>
            <w:tcW w:w="1280" w:type="dxa"/>
            <w:vAlign w:val="bottom"/>
            <w:tcBorders>
              <w:bottom w:val="single" w:sz="8" w:color="BCBEC0"/>
            </w:tcBorders>
          </w:tcPr>
          <w:p>
            <w:pPr>
              <w:spacing w:after="0"/>
              <w:rPr>
                <w:sz w:val="5"/>
                <w:szCs w:val="5"/>
                <w:color w:val="auto"/>
              </w:rPr>
            </w:pPr>
          </w:p>
        </w:tc>
        <w:tc>
          <w:tcPr>
            <w:tcW w:w="1280" w:type="dxa"/>
            <w:vAlign w:val="bottom"/>
            <w:tcBorders>
              <w:bottom w:val="single" w:sz="8" w:color="BCBEC0"/>
            </w:tcBorders>
          </w:tcPr>
          <w:p>
            <w:pPr>
              <w:spacing w:after="0"/>
              <w:rPr>
                <w:sz w:val="5"/>
                <w:szCs w:val="5"/>
                <w:color w:val="auto"/>
              </w:rPr>
            </w:pPr>
          </w:p>
        </w:tc>
        <w:tc>
          <w:tcPr>
            <w:tcW w:w="1080" w:type="dxa"/>
            <w:vAlign w:val="bottom"/>
            <w:tcBorders>
              <w:bottom w:val="single" w:sz="8" w:color="BCBEC0"/>
            </w:tcBorders>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2080" w:type="dxa"/>
            <w:vAlign w:val="bottom"/>
            <w:vMerge w:val="continue"/>
          </w:tcPr>
          <w:p>
            <w:pPr>
              <w:spacing w:after="0"/>
              <w:rPr>
                <w:sz w:val="7"/>
                <w:szCs w:val="7"/>
                <w:color w:val="auto"/>
              </w:rPr>
            </w:pPr>
          </w:p>
        </w:tc>
        <w:tc>
          <w:tcPr>
            <w:tcW w:w="660" w:type="dxa"/>
            <w:vAlign w:val="bottom"/>
            <w:vMerge w:val="restart"/>
          </w:tcPr>
          <w:p>
            <w:pPr>
              <w:jc w:val="center"/>
              <w:spacing w:after="0"/>
              <w:rPr>
                <w:sz w:val="20"/>
                <w:szCs w:val="20"/>
                <w:color w:val="auto"/>
              </w:rPr>
            </w:pPr>
            <w:r>
              <w:rPr>
                <w:rFonts w:ascii="Arial" w:cs="Arial" w:eastAsia="Arial" w:hAnsi="Arial"/>
                <w:sz w:val="13"/>
                <w:szCs w:val="13"/>
                <w:color w:val="auto"/>
                <w:w w:val="96"/>
              </w:rPr>
              <w:t>2023</w:t>
            </w:r>
          </w:p>
        </w:tc>
        <w:tc>
          <w:tcPr>
            <w:tcW w:w="980" w:type="dxa"/>
            <w:vAlign w:val="bottom"/>
            <w:vMerge w:val="restart"/>
          </w:tcPr>
          <w:p>
            <w:pPr>
              <w:jc w:val="right"/>
              <w:ind w:right="137"/>
              <w:spacing w:after="0"/>
              <w:rPr>
                <w:sz w:val="20"/>
                <w:szCs w:val="20"/>
                <w:color w:val="auto"/>
              </w:rPr>
            </w:pPr>
            <w:r>
              <w:rPr>
                <w:rFonts w:ascii="Arial" w:cs="Arial" w:eastAsia="Arial" w:hAnsi="Arial"/>
                <w:sz w:val="13"/>
                <w:szCs w:val="13"/>
                <w:color w:val="auto"/>
              </w:rPr>
              <w:t>1,075,041</w:t>
            </w:r>
          </w:p>
        </w:tc>
        <w:tc>
          <w:tcPr>
            <w:tcW w:w="700" w:type="dxa"/>
            <w:vAlign w:val="bottom"/>
            <w:vMerge w:val="restart"/>
          </w:tcPr>
          <w:p>
            <w:pPr>
              <w:ind w:left="380"/>
              <w:spacing w:after="0"/>
              <w:rPr>
                <w:sz w:val="20"/>
                <w:szCs w:val="20"/>
                <w:color w:val="auto"/>
              </w:rPr>
            </w:pPr>
            <w:r>
              <w:rPr>
                <w:rFonts w:ascii="Arial" w:cs="Arial" w:eastAsia="Arial" w:hAnsi="Arial"/>
                <w:sz w:val="13"/>
                <w:szCs w:val="13"/>
                <w:color w:val="auto"/>
              </w:rPr>
              <w:t>—</w:t>
            </w:r>
          </w:p>
        </w:tc>
        <w:tc>
          <w:tcPr>
            <w:tcW w:w="920" w:type="dxa"/>
            <w:vAlign w:val="bottom"/>
            <w:vMerge w:val="restart"/>
          </w:tcPr>
          <w:p>
            <w:pPr>
              <w:jc w:val="right"/>
              <w:ind w:right="137"/>
              <w:spacing w:after="0"/>
              <w:rPr>
                <w:sz w:val="20"/>
                <w:szCs w:val="20"/>
                <w:color w:val="auto"/>
              </w:rPr>
            </w:pPr>
            <w:r>
              <w:rPr>
                <w:rFonts w:ascii="Arial" w:cs="Arial" w:eastAsia="Arial" w:hAnsi="Arial"/>
                <w:sz w:val="13"/>
                <w:szCs w:val="13"/>
                <w:color w:val="auto"/>
              </w:rPr>
              <w:t>4,649,995</w:t>
            </w:r>
          </w:p>
        </w:tc>
        <w:tc>
          <w:tcPr>
            <w:tcW w:w="960" w:type="dxa"/>
            <w:vAlign w:val="bottom"/>
            <w:vMerge w:val="restart"/>
          </w:tcPr>
          <w:p>
            <w:pPr>
              <w:jc w:val="right"/>
              <w:ind w:right="177"/>
              <w:spacing w:after="0"/>
              <w:rPr>
                <w:sz w:val="20"/>
                <w:szCs w:val="20"/>
                <w:color w:val="auto"/>
              </w:rPr>
            </w:pPr>
            <w:r>
              <w:rPr>
                <w:rFonts w:ascii="Arial" w:cs="Arial" w:eastAsia="Arial" w:hAnsi="Arial"/>
                <w:sz w:val="13"/>
                <w:szCs w:val="13"/>
                <w:color w:val="auto"/>
              </w:rPr>
              <w:t>1,549,963</w:t>
            </w:r>
          </w:p>
        </w:tc>
        <w:tc>
          <w:tcPr>
            <w:tcW w:w="1300" w:type="dxa"/>
            <w:vAlign w:val="bottom"/>
            <w:vMerge w:val="restart"/>
          </w:tcPr>
          <w:p>
            <w:pPr>
              <w:jc w:val="right"/>
              <w:ind w:right="198"/>
              <w:spacing w:after="0"/>
              <w:rPr>
                <w:sz w:val="20"/>
                <w:szCs w:val="20"/>
                <w:color w:val="auto"/>
              </w:rPr>
            </w:pPr>
            <w:r>
              <w:rPr>
                <w:rFonts w:ascii="Arial" w:cs="Arial" w:eastAsia="Arial" w:hAnsi="Arial"/>
                <w:sz w:val="13"/>
                <w:szCs w:val="13"/>
                <w:color w:val="auto"/>
              </w:rPr>
              <w:t>1,630,743</w:t>
            </w:r>
          </w:p>
        </w:tc>
        <w:tc>
          <w:tcPr>
            <w:tcW w:w="1280" w:type="dxa"/>
            <w:vAlign w:val="bottom"/>
            <w:vMerge w:val="restart"/>
          </w:tcPr>
          <w:p>
            <w:pPr>
              <w:jc w:val="right"/>
              <w:ind w:right="177"/>
              <w:spacing w:after="0"/>
              <w:rPr>
                <w:sz w:val="20"/>
                <w:szCs w:val="20"/>
                <w:color w:val="auto"/>
              </w:rPr>
            </w:pPr>
            <w:r>
              <w:rPr>
                <w:rFonts w:ascii="Arial" w:cs="Arial" w:eastAsia="Arial" w:hAnsi="Arial"/>
                <w:sz w:val="13"/>
                <w:szCs w:val="13"/>
                <w:color w:val="auto"/>
              </w:rPr>
              <w:t>1,064,217</w:t>
            </w:r>
          </w:p>
        </w:tc>
        <w:tc>
          <w:tcPr>
            <w:tcW w:w="1280" w:type="dxa"/>
            <w:vAlign w:val="bottom"/>
            <w:vMerge w:val="restart"/>
          </w:tcPr>
          <w:p>
            <w:pPr>
              <w:jc w:val="right"/>
              <w:ind w:right="197"/>
              <w:spacing w:after="0"/>
              <w:rPr>
                <w:sz w:val="20"/>
                <w:szCs w:val="20"/>
                <w:color w:val="auto"/>
              </w:rPr>
            </w:pPr>
            <w:r>
              <w:rPr>
                <w:rFonts w:ascii="Arial" w:cs="Arial" w:eastAsia="Arial" w:hAnsi="Arial"/>
                <w:sz w:val="13"/>
                <w:szCs w:val="13"/>
                <w:color w:val="auto"/>
              </w:rPr>
              <w:t>38,510</w:t>
            </w:r>
          </w:p>
        </w:tc>
        <w:tc>
          <w:tcPr>
            <w:tcW w:w="1080" w:type="dxa"/>
            <w:vAlign w:val="bottom"/>
            <w:vMerge w:val="restart"/>
          </w:tcPr>
          <w:p>
            <w:pPr>
              <w:jc w:val="right"/>
              <w:spacing w:after="0"/>
              <w:rPr>
                <w:sz w:val="20"/>
                <w:szCs w:val="20"/>
                <w:color w:val="auto"/>
              </w:rPr>
            </w:pPr>
            <w:r>
              <w:rPr>
                <w:rFonts w:ascii="Arial" w:cs="Arial" w:eastAsia="Arial" w:hAnsi="Arial"/>
                <w:sz w:val="13"/>
                <w:szCs w:val="13"/>
                <w:color w:val="auto"/>
              </w:rPr>
              <w:t>10,008,469</w:t>
            </w:r>
          </w:p>
        </w:tc>
        <w:tc>
          <w:tcPr>
            <w:tcW w:w="0" w:type="dxa"/>
            <w:vAlign w:val="bottom"/>
          </w:tcPr>
          <w:p>
            <w:pPr>
              <w:spacing w:after="0"/>
              <w:rPr>
                <w:sz w:val="1"/>
                <w:szCs w:val="1"/>
                <w:color w:val="auto"/>
              </w:rPr>
            </w:pPr>
          </w:p>
        </w:tc>
      </w:tr>
      <w:tr>
        <w:trPr>
          <w:trHeight w:val="81"/>
        </w:trPr>
        <w:tc>
          <w:tcPr>
            <w:tcW w:w="208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98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920" w:type="dxa"/>
            <w:vAlign w:val="bottom"/>
            <w:vMerge w:val="continue"/>
          </w:tcPr>
          <w:p>
            <w:pPr>
              <w:spacing w:after="0"/>
              <w:rPr>
                <w:sz w:val="7"/>
                <w:szCs w:val="7"/>
                <w:color w:val="auto"/>
              </w:rPr>
            </w:pPr>
          </w:p>
        </w:tc>
        <w:tc>
          <w:tcPr>
            <w:tcW w:w="960" w:type="dxa"/>
            <w:vAlign w:val="bottom"/>
            <w:vMerge w:val="continue"/>
          </w:tcPr>
          <w:p>
            <w:pPr>
              <w:spacing w:after="0"/>
              <w:rPr>
                <w:sz w:val="7"/>
                <w:szCs w:val="7"/>
                <w:color w:val="auto"/>
              </w:rPr>
            </w:pPr>
          </w:p>
        </w:tc>
        <w:tc>
          <w:tcPr>
            <w:tcW w:w="1300" w:type="dxa"/>
            <w:vAlign w:val="bottom"/>
            <w:vMerge w:val="continue"/>
          </w:tcPr>
          <w:p>
            <w:pPr>
              <w:spacing w:after="0"/>
              <w:rPr>
                <w:sz w:val="7"/>
                <w:szCs w:val="7"/>
                <w:color w:val="auto"/>
              </w:rPr>
            </w:pPr>
          </w:p>
        </w:tc>
        <w:tc>
          <w:tcPr>
            <w:tcW w:w="1280" w:type="dxa"/>
            <w:vAlign w:val="bottom"/>
            <w:vMerge w:val="continue"/>
          </w:tcPr>
          <w:p>
            <w:pPr>
              <w:spacing w:after="0"/>
              <w:rPr>
                <w:sz w:val="7"/>
                <w:szCs w:val="7"/>
                <w:color w:val="auto"/>
              </w:rPr>
            </w:pPr>
          </w:p>
        </w:tc>
        <w:tc>
          <w:tcPr>
            <w:tcW w:w="1280" w:type="dxa"/>
            <w:vAlign w:val="bottom"/>
            <w:vMerge w:val="continue"/>
          </w:tcPr>
          <w:p>
            <w:pPr>
              <w:spacing w:after="0"/>
              <w:rPr>
                <w:sz w:val="7"/>
                <w:szCs w:val="7"/>
                <w:color w:val="auto"/>
              </w:rPr>
            </w:pPr>
          </w:p>
        </w:tc>
        <w:tc>
          <w:tcPr>
            <w:tcW w:w="1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
        </w:trPr>
        <w:tc>
          <w:tcPr>
            <w:tcW w:w="2080" w:type="dxa"/>
            <w:vAlign w:val="bottom"/>
            <w:tcBorders>
              <w:bottom w:val="single" w:sz="8" w:color="BCBEC0"/>
            </w:tcBorders>
          </w:tcPr>
          <w:p>
            <w:pPr>
              <w:spacing w:after="0"/>
              <w:rPr>
                <w:sz w:val="2"/>
                <w:szCs w:val="2"/>
                <w:color w:val="auto"/>
              </w:rPr>
            </w:pPr>
          </w:p>
        </w:tc>
        <w:tc>
          <w:tcPr>
            <w:tcW w:w="660" w:type="dxa"/>
            <w:vAlign w:val="bottom"/>
            <w:tcBorders>
              <w:bottom w:val="single" w:sz="8" w:color="BCBEC0"/>
            </w:tcBorders>
          </w:tcPr>
          <w:p>
            <w:pPr>
              <w:spacing w:after="0"/>
              <w:rPr>
                <w:sz w:val="2"/>
                <w:szCs w:val="2"/>
                <w:color w:val="auto"/>
              </w:rPr>
            </w:pPr>
          </w:p>
        </w:tc>
        <w:tc>
          <w:tcPr>
            <w:tcW w:w="980" w:type="dxa"/>
            <w:vAlign w:val="bottom"/>
            <w:tcBorders>
              <w:bottom w:val="single" w:sz="8" w:color="BCBEC0"/>
            </w:tcBorders>
          </w:tcPr>
          <w:p>
            <w:pPr>
              <w:spacing w:after="0"/>
              <w:rPr>
                <w:sz w:val="2"/>
                <w:szCs w:val="2"/>
                <w:color w:val="auto"/>
              </w:rPr>
            </w:pPr>
          </w:p>
        </w:tc>
        <w:tc>
          <w:tcPr>
            <w:tcW w:w="700" w:type="dxa"/>
            <w:vAlign w:val="bottom"/>
            <w:tcBorders>
              <w:bottom w:val="single" w:sz="8" w:color="BCBEC0"/>
            </w:tcBorders>
          </w:tcPr>
          <w:p>
            <w:pPr>
              <w:spacing w:after="0"/>
              <w:rPr>
                <w:sz w:val="2"/>
                <w:szCs w:val="2"/>
                <w:color w:val="auto"/>
              </w:rPr>
            </w:pPr>
          </w:p>
        </w:tc>
        <w:tc>
          <w:tcPr>
            <w:tcW w:w="920" w:type="dxa"/>
            <w:vAlign w:val="bottom"/>
            <w:tcBorders>
              <w:bottom w:val="single" w:sz="8" w:color="BCBEC0"/>
            </w:tcBorders>
          </w:tcPr>
          <w:p>
            <w:pPr>
              <w:spacing w:after="0"/>
              <w:rPr>
                <w:sz w:val="2"/>
                <w:szCs w:val="2"/>
                <w:color w:val="auto"/>
              </w:rPr>
            </w:pPr>
          </w:p>
        </w:tc>
        <w:tc>
          <w:tcPr>
            <w:tcW w:w="960" w:type="dxa"/>
            <w:vAlign w:val="bottom"/>
            <w:tcBorders>
              <w:bottom w:val="single" w:sz="8" w:color="BCBEC0"/>
            </w:tcBorders>
          </w:tcPr>
          <w:p>
            <w:pPr>
              <w:spacing w:after="0"/>
              <w:rPr>
                <w:sz w:val="2"/>
                <w:szCs w:val="2"/>
                <w:color w:val="auto"/>
              </w:rPr>
            </w:pPr>
          </w:p>
        </w:tc>
        <w:tc>
          <w:tcPr>
            <w:tcW w:w="1300" w:type="dxa"/>
            <w:vAlign w:val="bottom"/>
            <w:tcBorders>
              <w:bottom w:val="single" w:sz="8" w:color="BCBEC0"/>
            </w:tcBorders>
          </w:tcPr>
          <w:p>
            <w:pPr>
              <w:spacing w:after="0"/>
              <w:rPr>
                <w:sz w:val="2"/>
                <w:szCs w:val="2"/>
                <w:color w:val="auto"/>
              </w:rPr>
            </w:pPr>
          </w:p>
        </w:tc>
        <w:tc>
          <w:tcPr>
            <w:tcW w:w="1280" w:type="dxa"/>
            <w:vAlign w:val="bottom"/>
            <w:tcBorders>
              <w:bottom w:val="single" w:sz="8" w:color="BCBEC0"/>
            </w:tcBorders>
          </w:tcPr>
          <w:p>
            <w:pPr>
              <w:spacing w:after="0"/>
              <w:rPr>
                <w:sz w:val="2"/>
                <w:szCs w:val="2"/>
                <w:color w:val="auto"/>
              </w:rPr>
            </w:pPr>
          </w:p>
        </w:tc>
        <w:tc>
          <w:tcPr>
            <w:tcW w:w="1280" w:type="dxa"/>
            <w:vAlign w:val="bottom"/>
            <w:tcBorders>
              <w:bottom w:val="single" w:sz="8" w:color="BCBEC0"/>
            </w:tcBorders>
          </w:tcPr>
          <w:p>
            <w:pPr>
              <w:spacing w:after="0"/>
              <w:rPr>
                <w:sz w:val="2"/>
                <w:szCs w:val="2"/>
                <w:color w:val="auto"/>
              </w:rPr>
            </w:pPr>
          </w:p>
        </w:tc>
        <w:tc>
          <w:tcPr>
            <w:tcW w:w="1080" w:type="dxa"/>
            <w:vAlign w:val="bottom"/>
            <w:tcBorders>
              <w:bottom w:val="single" w:sz="8" w:color="BCBEC0"/>
            </w:tcBorders>
          </w:tcPr>
          <w:p>
            <w:pPr>
              <w:spacing w:after="0"/>
              <w:rPr>
                <w:sz w:val="2"/>
                <w:szCs w:val="2"/>
                <w:color w:val="auto"/>
              </w:rPr>
            </w:pPr>
          </w:p>
        </w:tc>
        <w:tc>
          <w:tcPr>
            <w:tcW w:w="0" w:type="dxa"/>
            <w:vAlign w:val="bottom"/>
          </w:tcPr>
          <w:p>
            <w:pPr>
              <w:spacing w:after="0"/>
              <w:rPr>
                <w:sz w:val="1"/>
                <w:szCs w:val="1"/>
                <w:color w:val="auto"/>
              </w:rPr>
            </w:pPr>
          </w:p>
        </w:tc>
      </w:tr>
      <w:tr>
        <w:trPr>
          <w:trHeight w:val="174"/>
        </w:trPr>
        <w:tc>
          <w:tcPr>
            <w:tcW w:w="2080" w:type="dxa"/>
            <w:vAlign w:val="bottom"/>
          </w:tcPr>
          <w:p>
            <w:pPr>
              <w:ind w:left="20"/>
              <w:spacing w:after="0"/>
              <w:rPr>
                <w:sz w:val="20"/>
                <w:szCs w:val="20"/>
                <w:color w:val="auto"/>
              </w:rPr>
            </w:pPr>
            <w:r>
              <w:rPr>
                <w:rFonts w:ascii="Arial" w:cs="Arial" w:eastAsia="Arial" w:hAnsi="Arial"/>
                <w:sz w:val="13"/>
                <w:szCs w:val="13"/>
                <w:b w:val="1"/>
                <w:bCs w:val="1"/>
                <w:color w:val="0C3471"/>
              </w:rPr>
              <w:t>Robert P. Fishman</w:t>
            </w:r>
          </w:p>
        </w:tc>
        <w:tc>
          <w:tcPr>
            <w:tcW w:w="660" w:type="dxa"/>
            <w:vAlign w:val="bottom"/>
          </w:tcPr>
          <w:p>
            <w:pPr>
              <w:jc w:val="center"/>
              <w:spacing w:after="0"/>
              <w:rPr>
                <w:sz w:val="20"/>
                <w:szCs w:val="20"/>
                <w:color w:val="auto"/>
              </w:rPr>
            </w:pPr>
            <w:r>
              <w:rPr>
                <w:rFonts w:ascii="Arial" w:cs="Arial" w:eastAsia="Arial" w:hAnsi="Arial"/>
                <w:sz w:val="13"/>
                <w:szCs w:val="13"/>
                <w:color w:val="auto"/>
                <w:w w:val="96"/>
              </w:rPr>
              <w:t>2025</w:t>
            </w:r>
          </w:p>
        </w:tc>
        <w:tc>
          <w:tcPr>
            <w:tcW w:w="980" w:type="dxa"/>
            <w:vAlign w:val="bottom"/>
          </w:tcPr>
          <w:p>
            <w:pPr>
              <w:jc w:val="right"/>
              <w:ind w:right="137"/>
              <w:spacing w:after="0"/>
              <w:rPr>
                <w:sz w:val="20"/>
                <w:szCs w:val="20"/>
                <w:color w:val="auto"/>
              </w:rPr>
            </w:pPr>
            <w:r>
              <w:rPr>
                <w:rFonts w:ascii="Arial" w:cs="Arial" w:eastAsia="Arial" w:hAnsi="Arial"/>
                <w:sz w:val="13"/>
                <w:szCs w:val="13"/>
                <w:color w:val="auto"/>
              </w:rPr>
              <w:t>745,029</w:t>
            </w:r>
          </w:p>
        </w:tc>
        <w:tc>
          <w:tcPr>
            <w:tcW w:w="700" w:type="dxa"/>
            <w:vAlign w:val="bottom"/>
          </w:tcPr>
          <w:p>
            <w:pPr>
              <w:ind w:left="380"/>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137"/>
              <w:spacing w:after="0"/>
              <w:rPr>
                <w:sz w:val="20"/>
                <w:szCs w:val="20"/>
                <w:color w:val="auto"/>
              </w:rPr>
            </w:pPr>
            <w:r>
              <w:rPr>
                <w:rFonts w:ascii="Arial" w:cs="Arial" w:eastAsia="Arial" w:hAnsi="Arial"/>
                <w:sz w:val="13"/>
                <w:szCs w:val="13"/>
                <w:color w:val="auto"/>
              </w:rPr>
              <w:t>1,387,528</w:t>
            </w:r>
          </w:p>
        </w:tc>
        <w:tc>
          <w:tcPr>
            <w:tcW w:w="960" w:type="dxa"/>
            <w:vAlign w:val="bottom"/>
          </w:tcPr>
          <w:p>
            <w:pPr>
              <w:jc w:val="right"/>
              <w:ind w:right="177"/>
              <w:spacing w:after="0"/>
              <w:rPr>
                <w:sz w:val="20"/>
                <w:szCs w:val="20"/>
                <w:color w:val="auto"/>
              </w:rPr>
            </w:pPr>
            <w:r>
              <w:rPr>
                <w:rFonts w:ascii="Arial" w:cs="Arial" w:eastAsia="Arial" w:hAnsi="Arial"/>
                <w:sz w:val="13"/>
                <w:szCs w:val="13"/>
                <w:color w:val="auto"/>
              </w:rPr>
              <w:t>462,491</w:t>
            </w:r>
          </w:p>
        </w:tc>
        <w:tc>
          <w:tcPr>
            <w:tcW w:w="1300" w:type="dxa"/>
            <w:vAlign w:val="bottom"/>
          </w:tcPr>
          <w:p>
            <w:pPr>
              <w:jc w:val="right"/>
              <w:ind w:right="198"/>
              <w:spacing w:after="0"/>
              <w:rPr>
                <w:sz w:val="20"/>
                <w:szCs w:val="20"/>
                <w:color w:val="auto"/>
              </w:rPr>
            </w:pPr>
            <w:r>
              <w:rPr>
                <w:rFonts w:ascii="Arial" w:cs="Arial" w:eastAsia="Arial" w:hAnsi="Arial"/>
                <w:sz w:val="13"/>
                <w:szCs w:val="13"/>
                <w:color w:val="auto"/>
              </w:rPr>
              <w:t>818,755</w:t>
            </w:r>
          </w:p>
        </w:tc>
        <w:tc>
          <w:tcPr>
            <w:tcW w:w="1280" w:type="dxa"/>
            <w:vAlign w:val="bottom"/>
          </w:tcPr>
          <w:p>
            <w:pPr>
              <w:jc w:val="right"/>
              <w:ind w:right="177"/>
              <w:spacing w:after="0"/>
              <w:rPr>
                <w:sz w:val="20"/>
                <w:szCs w:val="20"/>
                <w:color w:val="auto"/>
              </w:rPr>
            </w:pPr>
            <w:r>
              <w:rPr>
                <w:rFonts w:ascii="Arial" w:cs="Arial" w:eastAsia="Arial" w:hAnsi="Arial"/>
                <w:sz w:val="13"/>
                <w:szCs w:val="13"/>
                <w:color w:val="auto"/>
              </w:rPr>
              <w:t>—</w:t>
            </w:r>
          </w:p>
        </w:tc>
        <w:tc>
          <w:tcPr>
            <w:tcW w:w="1280" w:type="dxa"/>
            <w:vAlign w:val="bottom"/>
          </w:tcPr>
          <w:p>
            <w:pPr>
              <w:jc w:val="right"/>
              <w:ind w:right="197"/>
              <w:spacing w:after="0"/>
              <w:rPr>
                <w:sz w:val="20"/>
                <w:szCs w:val="20"/>
                <w:color w:val="auto"/>
              </w:rPr>
            </w:pPr>
            <w:r>
              <w:rPr>
                <w:rFonts w:ascii="Arial" w:cs="Arial" w:eastAsia="Arial" w:hAnsi="Arial"/>
                <w:sz w:val="13"/>
                <w:szCs w:val="13"/>
                <w:color w:val="auto"/>
              </w:rPr>
              <w:t>48,241</w:t>
            </w:r>
          </w:p>
        </w:tc>
        <w:tc>
          <w:tcPr>
            <w:tcW w:w="1080" w:type="dxa"/>
            <w:vAlign w:val="bottom"/>
          </w:tcPr>
          <w:p>
            <w:pPr>
              <w:jc w:val="right"/>
              <w:spacing w:after="0"/>
              <w:rPr>
                <w:sz w:val="20"/>
                <w:szCs w:val="20"/>
                <w:color w:val="auto"/>
              </w:rPr>
            </w:pPr>
            <w:r>
              <w:rPr>
                <w:rFonts w:ascii="Arial" w:cs="Arial" w:eastAsia="Arial" w:hAnsi="Arial"/>
                <w:sz w:val="13"/>
                <w:szCs w:val="13"/>
                <w:color w:val="auto"/>
              </w:rPr>
              <w:t>3,462,044</w:t>
            </w:r>
          </w:p>
        </w:tc>
        <w:tc>
          <w:tcPr>
            <w:tcW w:w="0" w:type="dxa"/>
            <w:vAlign w:val="bottom"/>
          </w:tcPr>
          <w:p>
            <w:pPr>
              <w:spacing w:after="0"/>
              <w:rPr>
                <w:sz w:val="1"/>
                <w:szCs w:val="1"/>
                <w:color w:val="auto"/>
              </w:rPr>
            </w:pPr>
          </w:p>
        </w:tc>
      </w:tr>
      <w:tr>
        <w:trPr>
          <w:trHeight w:val="22"/>
        </w:trPr>
        <w:tc>
          <w:tcPr>
            <w:tcW w:w="2080" w:type="dxa"/>
            <w:vAlign w:val="bottom"/>
            <w:vMerge w:val="restart"/>
          </w:tcPr>
          <w:p>
            <w:pPr>
              <w:ind w:left="20"/>
              <w:spacing w:after="0"/>
              <w:rPr>
                <w:sz w:val="20"/>
                <w:szCs w:val="20"/>
                <w:color w:val="auto"/>
              </w:rPr>
            </w:pPr>
            <w:r>
              <w:rPr>
                <w:rFonts w:ascii="Arial" w:cs="Arial" w:eastAsia="Arial" w:hAnsi="Arial"/>
                <w:sz w:val="13"/>
                <w:szCs w:val="13"/>
                <w:color w:val="auto"/>
              </w:rPr>
              <w:t>Former Executive Vice President,</w:t>
            </w:r>
          </w:p>
        </w:tc>
        <w:tc>
          <w:tcPr>
            <w:tcW w:w="660" w:type="dxa"/>
            <w:vAlign w:val="bottom"/>
            <w:tcBorders>
              <w:bottom w:val="single" w:sz="8" w:color="BCBEC0"/>
            </w:tcBorders>
          </w:tcPr>
          <w:p>
            <w:pPr>
              <w:spacing w:after="0" w:line="20" w:lineRule="exact"/>
              <w:rPr>
                <w:sz w:val="1"/>
                <w:szCs w:val="1"/>
                <w:color w:val="auto"/>
              </w:rPr>
            </w:pPr>
          </w:p>
        </w:tc>
        <w:tc>
          <w:tcPr>
            <w:tcW w:w="980" w:type="dxa"/>
            <w:vAlign w:val="bottom"/>
            <w:tcBorders>
              <w:bottom w:val="single" w:sz="8" w:color="BCBEC0"/>
            </w:tcBorders>
          </w:tcPr>
          <w:p>
            <w:pPr>
              <w:spacing w:after="0" w:line="20" w:lineRule="exact"/>
              <w:rPr>
                <w:sz w:val="1"/>
                <w:szCs w:val="1"/>
                <w:color w:val="auto"/>
              </w:rPr>
            </w:pPr>
          </w:p>
        </w:tc>
        <w:tc>
          <w:tcPr>
            <w:tcW w:w="700" w:type="dxa"/>
            <w:vAlign w:val="bottom"/>
            <w:tcBorders>
              <w:bottom w:val="single" w:sz="8" w:color="BCBEC0"/>
            </w:tcBorders>
          </w:tcPr>
          <w:p>
            <w:pPr>
              <w:spacing w:after="0" w:line="20" w:lineRule="exact"/>
              <w:rPr>
                <w:sz w:val="1"/>
                <w:szCs w:val="1"/>
                <w:color w:val="auto"/>
              </w:rPr>
            </w:pPr>
          </w:p>
        </w:tc>
        <w:tc>
          <w:tcPr>
            <w:tcW w:w="920" w:type="dxa"/>
            <w:vAlign w:val="bottom"/>
            <w:tcBorders>
              <w:bottom w:val="single" w:sz="8" w:color="BCBEC0"/>
            </w:tcBorders>
          </w:tcPr>
          <w:p>
            <w:pPr>
              <w:spacing w:after="0" w:line="20" w:lineRule="exact"/>
              <w:rPr>
                <w:sz w:val="1"/>
                <w:szCs w:val="1"/>
                <w:color w:val="auto"/>
              </w:rPr>
            </w:pPr>
          </w:p>
        </w:tc>
        <w:tc>
          <w:tcPr>
            <w:tcW w:w="960" w:type="dxa"/>
            <w:vAlign w:val="bottom"/>
            <w:tcBorders>
              <w:bottom w:val="single" w:sz="8" w:color="BCBEC0"/>
            </w:tcBorders>
          </w:tcPr>
          <w:p>
            <w:pPr>
              <w:spacing w:after="0" w:line="20" w:lineRule="exact"/>
              <w:rPr>
                <w:sz w:val="1"/>
                <w:szCs w:val="1"/>
                <w:color w:val="auto"/>
              </w:rPr>
            </w:pPr>
          </w:p>
        </w:tc>
        <w:tc>
          <w:tcPr>
            <w:tcW w:w="1300" w:type="dxa"/>
            <w:vAlign w:val="bottom"/>
            <w:tcBorders>
              <w:bottom w:val="single" w:sz="8" w:color="BCBEC0"/>
            </w:tcBorders>
          </w:tcPr>
          <w:p>
            <w:pPr>
              <w:spacing w:after="0" w:line="20" w:lineRule="exact"/>
              <w:rPr>
                <w:sz w:val="1"/>
                <w:szCs w:val="1"/>
                <w:color w:val="auto"/>
              </w:rPr>
            </w:pPr>
          </w:p>
        </w:tc>
        <w:tc>
          <w:tcPr>
            <w:tcW w:w="1280" w:type="dxa"/>
            <w:vAlign w:val="bottom"/>
            <w:tcBorders>
              <w:bottom w:val="single" w:sz="8" w:color="BCBEC0"/>
            </w:tcBorders>
          </w:tcPr>
          <w:p>
            <w:pPr>
              <w:spacing w:after="0" w:line="20" w:lineRule="exact"/>
              <w:rPr>
                <w:sz w:val="1"/>
                <w:szCs w:val="1"/>
                <w:color w:val="auto"/>
              </w:rPr>
            </w:pPr>
          </w:p>
        </w:tc>
        <w:tc>
          <w:tcPr>
            <w:tcW w:w="1280" w:type="dxa"/>
            <w:vAlign w:val="bottom"/>
            <w:tcBorders>
              <w:bottom w:val="single" w:sz="8" w:color="BCBEC0"/>
            </w:tcBorders>
          </w:tcPr>
          <w:p>
            <w:pPr>
              <w:spacing w:after="0" w:line="20" w:lineRule="exact"/>
              <w:rPr>
                <w:sz w:val="1"/>
                <w:szCs w:val="1"/>
                <w:color w:val="auto"/>
              </w:rPr>
            </w:pPr>
          </w:p>
        </w:tc>
        <w:tc>
          <w:tcPr>
            <w:tcW w:w="1080" w:type="dxa"/>
            <w:vAlign w:val="bottom"/>
            <w:tcBorders>
              <w:bottom w:val="single" w:sz="8" w:color="BCBEC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8"/>
        </w:trPr>
        <w:tc>
          <w:tcPr>
            <w:tcW w:w="2080" w:type="dxa"/>
            <w:vAlign w:val="bottom"/>
            <w:vMerge w:val="continue"/>
          </w:tcPr>
          <w:p>
            <w:pPr>
              <w:spacing w:after="0"/>
              <w:rPr>
                <w:sz w:val="11"/>
                <w:szCs w:val="11"/>
                <w:color w:val="auto"/>
              </w:rPr>
            </w:pPr>
          </w:p>
        </w:tc>
        <w:tc>
          <w:tcPr>
            <w:tcW w:w="660" w:type="dxa"/>
            <w:vAlign w:val="bottom"/>
          </w:tcPr>
          <w:p>
            <w:pPr>
              <w:jc w:val="center"/>
              <w:spacing w:after="0" w:line="138" w:lineRule="exact"/>
              <w:rPr>
                <w:sz w:val="20"/>
                <w:szCs w:val="20"/>
                <w:color w:val="auto"/>
              </w:rPr>
            </w:pPr>
            <w:r>
              <w:rPr>
                <w:rFonts w:ascii="Arial" w:cs="Arial" w:eastAsia="Arial" w:hAnsi="Arial"/>
                <w:sz w:val="13"/>
                <w:szCs w:val="13"/>
                <w:color w:val="auto"/>
                <w:w w:val="96"/>
              </w:rPr>
              <w:t>2024</w:t>
            </w:r>
          </w:p>
        </w:tc>
        <w:tc>
          <w:tcPr>
            <w:tcW w:w="980" w:type="dxa"/>
            <w:vAlign w:val="bottom"/>
          </w:tcPr>
          <w:p>
            <w:pPr>
              <w:jc w:val="right"/>
              <w:ind w:right="137"/>
              <w:spacing w:after="0" w:line="138" w:lineRule="exact"/>
              <w:rPr>
                <w:sz w:val="20"/>
                <w:szCs w:val="20"/>
                <w:color w:val="auto"/>
              </w:rPr>
            </w:pPr>
            <w:r>
              <w:rPr>
                <w:rFonts w:ascii="Arial" w:cs="Arial" w:eastAsia="Arial" w:hAnsi="Arial"/>
                <w:sz w:val="13"/>
                <w:szCs w:val="13"/>
                <w:color w:val="auto"/>
              </w:rPr>
              <w:t>725,028</w:t>
            </w:r>
          </w:p>
        </w:tc>
        <w:tc>
          <w:tcPr>
            <w:tcW w:w="700" w:type="dxa"/>
            <w:vAlign w:val="bottom"/>
          </w:tcPr>
          <w:p>
            <w:pPr>
              <w:ind w:left="380"/>
              <w:spacing w:after="0" w:line="138" w:lineRule="exact"/>
              <w:rPr>
                <w:sz w:val="20"/>
                <w:szCs w:val="20"/>
                <w:color w:val="auto"/>
              </w:rPr>
            </w:pPr>
            <w:r>
              <w:rPr>
                <w:rFonts w:ascii="Arial" w:cs="Arial" w:eastAsia="Arial" w:hAnsi="Arial"/>
                <w:sz w:val="13"/>
                <w:szCs w:val="13"/>
                <w:color w:val="auto"/>
              </w:rPr>
              <w:t>—</w:t>
            </w:r>
          </w:p>
        </w:tc>
        <w:tc>
          <w:tcPr>
            <w:tcW w:w="920" w:type="dxa"/>
            <w:vAlign w:val="bottom"/>
          </w:tcPr>
          <w:p>
            <w:pPr>
              <w:jc w:val="right"/>
              <w:ind w:right="137"/>
              <w:spacing w:after="0" w:line="138" w:lineRule="exact"/>
              <w:rPr>
                <w:sz w:val="20"/>
                <w:szCs w:val="20"/>
                <w:color w:val="auto"/>
              </w:rPr>
            </w:pPr>
            <w:r>
              <w:rPr>
                <w:rFonts w:ascii="Arial" w:cs="Arial" w:eastAsia="Arial" w:hAnsi="Arial"/>
                <w:sz w:val="13"/>
                <w:szCs w:val="13"/>
                <w:color w:val="auto"/>
              </w:rPr>
              <w:t>1,349,962</w:t>
            </w:r>
          </w:p>
        </w:tc>
        <w:tc>
          <w:tcPr>
            <w:tcW w:w="960" w:type="dxa"/>
            <w:vAlign w:val="bottom"/>
          </w:tcPr>
          <w:p>
            <w:pPr>
              <w:jc w:val="right"/>
              <w:ind w:right="177"/>
              <w:spacing w:after="0" w:line="138" w:lineRule="exact"/>
              <w:rPr>
                <w:sz w:val="20"/>
                <w:szCs w:val="20"/>
                <w:color w:val="auto"/>
              </w:rPr>
            </w:pPr>
            <w:r>
              <w:rPr>
                <w:rFonts w:ascii="Arial" w:cs="Arial" w:eastAsia="Arial" w:hAnsi="Arial"/>
                <w:sz w:val="13"/>
                <w:szCs w:val="13"/>
                <w:color w:val="auto"/>
              </w:rPr>
              <w:t>449,994</w:t>
            </w:r>
          </w:p>
        </w:tc>
        <w:tc>
          <w:tcPr>
            <w:tcW w:w="1300" w:type="dxa"/>
            <w:vAlign w:val="bottom"/>
          </w:tcPr>
          <w:p>
            <w:pPr>
              <w:jc w:val="right"/>
              <w:ind w:right="198"/>
              <w:spacing w:after="0" w:line="138" w:lineRule="exact"/>
              <w:rPr>
                <w:sz w:val="20"/>
                <w:szCs w:val="20"/>
                <w:color w:val="auto"/>
              </w:rPr>
            </w:pPr>
            <w:r>
              <w:rPr>
                <w:rFonts w:ascii="Arial" w:cs="Arial" w:eastAsia="Arial" w:hAnsi="Arial"/>
                <w:sz w:val="13"/>
                <w:szCs w:val="13"/>
                <w:color w:val="auto"/>
              </w:rPr>
              <w:t>899,870</w:t>
            </w:r>
          </w:p>
        </w:tc>
        <w:tc>
          <w:tcPr>
            <w:tcW w:w="1280" w:type="dxa"/>
            <w:vAlign w:val="bottom"/>
          </w:tcPr>
          <w:p>
            <w:pPr>
              <w:jc w:val="right"/>
              <w:ind w:right="177"/>
              <w:spacing w:after="0" w:line="138" w:lineRule="exact"/>
              <w:rPr>
                <w:sz w:val="20"/>
                <w:szCs w:val="20"/>
                <w:color w:val="auto"/>
              </w:rPr>
            </w:pPr>
            <w:r>
              <w:rPr>
                <w:rFonts w:ascii="Arial" w:cs="Arial" w:eastAsia="Arial" w:hAnsi="Arial"/>
                <w:sz w:val="13"/>
                <w:szCs w:val="13"/>
                <w:color w:val="auto"/>
              </w:rPr>
              <w:t>—</w:t>
            </w:r>
          </w:p>
        </w:tc>
        <w:tc>
          <w:tcPr>
            <w:tcW w:w="1280" w:type="dxa"/>
            <w:vAlign w:val="bottom"/>
          </w:tcPr>
          <w:p>
            <w:pPr>
              <w:jc w:val="right"/>
              <w:ind w:right="197"/>
              <w:spacing w:after="0" w:line="138" w:lineRule="exact"/>
              <w:rPr>
                <w:sz w:val="20"/>
                <w:szCs w:val="20"/>
                <w:color w:val="auto"/>
              </w:rPr>
            </w:pPr>
            <w:r>
              <w:rPr>
                <w:rFonts w:ascii="Arial" w:cs="Arial" w:eastAsia="Arial" w:hAnsi="Arial"/>
                <w:sz w:val="13"/>
                <w:szCs w:val="13"/>
                <w:color w:val="auto"/>
              </w:rPr>
              <w:t>50,022</w:t>
            </w:r>
          </w:p>
        </w:tc>
        <w:tc>
          <w:tcPr>
            <w:tcW w:w="1080" w:type="dxa"/>
            <w:vAlign w:val="bottom"/>
          </w:tcPr>
          <w:p>
            <w:pPr>
              <w:jc w:val="right"/>
              <w:spacing w:after="0" w:line="138" w:lineRule="exact"/>
              <w:rPr>
                <w:sz w:val="20"/>
                <w:szCs w:val="20"/>
                <w:color w:val="auto"/>
              </w:rPr>
            </w:pPr>
            <w:r>
              <w:rPr>
                <w:rFonts w:ascii="Arial" w:cs="Arial" w:eastAsia="Arial" w:hAnsi="Arial"/>
                <w:sz w:val="13"/>
                <w:szCs w:val="13"/>
                <w:color w:val="auto"/>
              </w:rPr>
              <w:t>3,474,876</w:t>
            </w:r>
          </w:p>
        </w:tc>
        <w:tc>
          <w:tcPr>
            <w:tcW w:w="0" w:type="dxa"/>
            <w:vAlign w:val="bottom"/>
          </w:tcPr>
          <w:p>
            <w:pPr>
              <w:spacing w:after="0"/>
              <w:rPr>
                <w:sz w:val="1"/>
                <w:szCs w:val="1"/>
                <w:color w:val="auto"/>
              </w:rPr>
            </w:pPr>
          </w:p>
        </w:tc>
      </w:tr>
      <w:tr>
        <w:trPr>
          <w:trHeight w:val="58"/>
        </w:trPr>
        <w:tc>
          <w:tcPr>
            <w:tcW w:w="2080" w:type="dxa"/>
            <w:vAlign w:val="bottom"/>
            <w:vMerge w:val="restart"/>
          </w:tcPr>
          <w:p>
            <w:pPr>
              <w:ind w:left="20"/>
              <w:spacing w:after="0"/>
              <w:rPr>
                <w:sz w:val="20"/>
                <w:szCs w:val="20"/>
                <w:color w:val="auto"/>
              </w:rPr>
            </w:pPr>
            <w:r>
              <w:rPr>
                <w:rFonts w:ascii="Arial" w:cs="Arial" w:eastAsia="Arial" w:hAnsi="Arial"/>
                <w:sz w:val="13"/>
                <w:szCs w:val="13"/>
                <w:color w:val="auto"/>
              </w:rPr>
              <w:t>Chief Financial Officer</w:t>
            </w:r>
          </w:p>
        </w:tc>
        <w:tc>
          <w:tcPr>
            <w:tcW w:w="660" w:type="dxa"/>
            <w:vAlign w:val="bottom"/>
            <w:tcBorders>
              <w:bottom w:val="single" w:sz="8" w:color="BCBEC0"/>
            </w:tcBorders>
          </w:tcPr>
          <w:p>
            <w:pPr>
              <w:spacing w:after="0"/>
              <w:rPr>
                <w:sz w:val="5"/>
                <w:szCs w:val="5"/>
                <w:color w:val="auto"/>
              </w:rPr>
            </w:pPr>
          </w:p>
        </w:tc>
        <w:tc>
          <w:tcPr>
            <w:tcW w:w="980" w:type="dxa"/>
            <w:vAlign w:val="bottom"/>
            <w:tcBorders>
              <w:bottom w:val="single" w:sz="8" w:color="BCBEC0"/>
            </w:tcBorders>
          </w:tcPr>
          <w:p>
            <w:pPr>
              <w:spacing w:after="0"/>
              <w:rPr>
                <w:sz w:val="5"/>
                <w:szCs w:val="5"/>
                <w:color w:val="auto"/>
              </w:rPr>
            </w:pPr>
          </w:p>
        </w:tc>
        <w:tc>
          <w:tcPr>
            <w:tcW w:w="700" w:type="dxa"/>
            <w:vAlign w:val="bottom"/>
            <w:tcBorders>
              <w:bottom w:val="single" w:sz="8" w:color="BCBEC0"/>
            </w:tcBorders>
          </w:tcPr>
          <w:p>
            <w:pPr>
              <w:spacing w:after="0"/>
              <w:rPr>
                <w:sz w:val="5"/>
                <w:szCs w:val="5"/>
                <w:color w:val="auto"/>
              </w:rPr>
            </w:pPr>
          </w:p>
        </w:tc>
        <w:tc>
          <w:tcPr>
            <w:tcW w:w="920" w:type="dxa"/>
            <w:vAlign w:val="bottom"/>
            <w:tcBorders>
              <w:bottom w:val="single" w:sz="8" w:color="BCBEC0"/>
            </w:tcBorders>
          </w:tcPr>
          <w:p>
            <w:pPr>
              <w:spacing w:after="0"/>
              <w:rPr>
                <w:sz w:val="5"/>
                <w:szCs w:val="5"/>
                <w:color w:val="auto"/>
              </w:rPr>
            </w:pPr>
          </w:p>
        </w:tc>
        <w:tc>
          <w:tcPr>
            <w:tcW w:w="960" w:type="dxa"/>
            <w:vAlign w:val="bottom"/>
            <w:tcBorders>
              <w:bottom w:val="single" w:sz="8" w:color="BCBEC0"/>
            </w:tcBorders>
          </w:tcPr>
          <w:p>
            <w:pPr>
              <w:spacing w:after="0"/>
              <w:rPr>
                <w:sz w:val="5"/>
                <w:szCs w:val="5"/>
                <w:color w:val="auto"/>
              </w:rPr>
            </w:pPr>
          </w:p>
        </w:tc>
        <w:tc>
          <w:tcPr>
            <w:tcW w:w="1300" w:type="dxa"/>
            <w:vAlign w:val="bottom"/>
            <w:tcBorders>
              <w:bottom w:val="single" w:sz="8" w:color="BCBEC0"/>
            </w:tcBorders>
          </w:tcPr>
          <w:p>
            <w:pPr>
              <w:spacing w:after="0"/>
              <w:rPr>
                <w:sz w:val="5"/>
                <w:szCs w:val="5"/>
                <w:color w:val="auto"/>
              </w:rPr>
            </w:pPr>
          </w:p>
        </w:tc>
        <w:tc>
          <w:tcPr>
            <w:tcW w:w="1280" w:type="dxa"/>
            <w:vAlign w:val="bottom"/>
            <w:tcBorders>
              <w:bottom w:val="single" w:sz="8" w:color="BCBEC0"/>
            </w:tcBorders>
          </w:tcPr>
          <w:p>
            <w:pPr>
              <w:spacing w:after="0"/>
              <w:rPr>
                <w:sz w:val="5"/>
                <w:szCs w:val="5"/>
                <w:color w:val="auto"/>
              </w:rPr>
            </w:pPr>
          </w:p>
        </w:tc>
        <w:tc>
          <w:tcPr>
            <w:tcW w:w="1280" w:type="dxa"/>
            <w:vAlign w:val="bottom"/>
            <w:tcBorders>
              <w:bottom w:val="single" w:sz="8" w:color="BCBEC0"/>
            </w:tcBorders>
          </w:tcPr>
          <w:p>
            <w:pPr>
              <w:spacing w:after="0"/>
              <w:rPr>
                <w:sz w:val="5"/>
                <w:szCs w:val="5"/>
                <w:color w:val="auto"/>
              </w:rPr>
            </w:pPr>
          </w:p>
        </w:tc>
        <w:tc>
          <w:tcPr>
            <w:tcW w:w="1080" w:type="dxa"/>
            <w:vAlign w:val="bottom"/>
            <w:tcBorders>
              <w:bottom w:val="single" w:sz="8" w:color="BCBEC0"/>
            </w:tcBorders>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2080" w:type="dxa"/>
            <w:vAlign w:val="bottom"/>
            <w:vMerge w:val="continue"/>
          </w:tcPr>
          <w:p>
            <w:pPr>
              <w:spacing w:after="0"/>
              <w:rPr>
                <w:sz w:val="7"/>
                <w:szCs w:val="7"/>
                <w:color w:val="auto"/>
              </w:rPr>
            </w:pPr>
          </w:p>
        </w:tc>
        <w:tc>
          <w:tcPr>
            <w:tcW w:w="660" w:type="dxa"/>
            <w:vAlign w:val="bottom"/>
            <w:vMerge w:val="restart"/>
          </w:tcPr>
          <w:p>
            <w:pPr>
              <w:jc w:val="center"/>
              <w:spacing w:after="0"/>
              <w:rPr>
                <w:sz w:val="20"/>
                <w:szCs w:val="20"/>
                <w:color w:val="auto"/>
              </w:rPr>
            </w:pPr>
            <w:r>
              <w:rPr>
                <w:rFonts w:ascii="Arial" w:cs="Arial" w:eastAsia="Arial" w:hAnsi="Arial"/>
                <w:sz w:val="13"/>
                <w:szCs w:val="13"/>
                <w:color w:val="auto"/>
                <w:w w:val="96"/>
              </w:rPr>
              <w:t>2023</w:t>
            </w:r>
          </w:p>
        </w:tc>
        <w:tc>
          <w:tcPr>
            <w:tcW w:w="980" w:type="dxa"/>
            <w:vAlign w:val="bottom"/>
            <w:vMerge w:val="restart"/>
          </w:tcPr>
          <w:p>
            <w:pPr>
              <w:jc w:val="right"/>
              <w:ind w:right="137"/>
              <w:spacing w:after="0"/>
              <w:rPr>
                <w:sz w:val="20"/>
                <w:szCs w:val="20"/>
                <w:color w:val="auto"/>
              </w:rPr>
            </w:pPr>
            <w:r>
              <w:rPr>
                <w:rFonts w:ascii="Arial" w:cs="Arial" w:eastAsia="Arial" w:hAnsi="Arial"/>
                <w:sz w:val="13"/>
                <w:szCs w:val="13"/>
                <w:color w:val="auto"/>
              </w:rPr>
              <w:t>705,027</w:t>
            </w:r>
          </w:p>
        </w:tc>
        <w:tc>
          <w:tcPr>
            <w:tcW w:w="700" w:type="dxa"/>
            <w:vAlign w:val="bottom"/>
            <w:vMerge w:val="restart"/>
          </w:tcPr>
          <w:p>
            <w:pPr>
              <w:ind w:left="380"/>
              <w:spacing w:after="0"/>
              <w:rPr>
                <w:sz w:val="20"/>
                <w:szCs w:val="20"/>
                <w:color w:val="auto"/>
              </w:rPr>
            </w:pPr>
            <w:r>
              <w:rPr>
                <w:rFonts w:ascii="Arial" w:cs="Arial" w:eastAsia="Arial" w:hAnsi="Arial"/>
                <w:sz w:val="13"/>
                <w:szCs w:val="13"/>
                <w:color w:val="auto"/>
              </w:rPr>
              <w:t>—</w:t>
            </w:r>
          </w:p>
        </w:tc>
        <w:tc>
          <w:tcPr>
            <w:tcW w:w="920" w:type="dxa"/>
            <w:vAlign w:val="bottom"/>
            <w:vMerge w:val="restart"/>
          </w:tcPr>
          <w:p>
            <w:pPr>
              <w:jc w:val="right"/>
              <w:ind w:right="137"/>
              <w:spacing w:after="0"/>
              <w:rPr>
                <w:sz w:val="20"/>
                <w:szCs w:val="20"/>
                <w:color w:val="auto"/>
              </w:rPr>
            </w:pPr>
            <w:r>
              <w:rPr>
                <w:rFonts w:ascii="Arial" w:cs="Arial" w:eastAsia="Arial" w:hAnsi="Arial"/>
                <w:sz w:val="13"/>
                <w:szCs w:val="13"/>
                <w:color w:val="auto"/>
              </w:rPr>
              <w:t>1,312,473</w:t>
            </w:r>
          </w:p>
        </w:tc>
        <w:tc>
          <w:tcPr>
            <w:tcW w:w="960" w:type="dxa"/>
            <w:vAlign w:val="bottom"/>
            <w:vMerge w:val="restart"/>
          </w:tcPr>
          <w:p>
            <w:pPr>
              <w:jc w:val="right"/>
              <w:ind w:right="177"/>
              <w:spacing w:after="0"/>
              <w:rPr>
                <w:sz w:val="20"/>
                <w:szCs w:val="20"/>
                <w:color w:val="auto"/>
              </w:rPr>
            </w:pPr>
            <w:r>
              <w:rPr>
                <w:rFonts w:ascii="Arial" w:cs="Arial" w:eastAsia="Arial" w:hAnsi="Arial"/>
                <w:sz w:val="13"/>
                <w:szCs w:val="13"/>
                <w:color w:val="auto"/>
              </w:rPr>
              <w:t>437,490</w:t>
            </w:r>
          </w:p>
        </w:tc>
        <w:tc>
          <w:tcPr>
            <w:tcW w:w="1300" w:type="dxa"/>
            <w:vAlign w:val="bottom"/>
            <w:vMerge w:val="restart"/>
          </w:tcPr>
          <w:p>
            <w:pPr>
              <w:jc w:val="right"/>
              <w:ind w:right="198"/>
              <w:spacing w:after="0"/>
              <w:rPr>
                <w:sz w:val="20"/>
                <w:szCs w:val="20"/>
                <w:color w:val="auto"/>
              </w:rPr>
            </w:pPr>
            <w:r>
              <w:rPr>
                <w:rFonts w:ascii="Arial" w:cs="Arial" w:eastAsia="Arial" w:hAnsi="Arial"/>
                <w:sz w:val="13"/>
                <w:szCs w:val="13"/>
                <w:color w:val="auto"/>
              </w:rPr>
              <w:t>822,665</w:t>
            </w:r>
          </w:p>
        </w:tc>
        <w:tc>
          <w:tcPr>
            <w:tcW w:w="1280" w:type="dxa"/>
            <w:vAlign w:val="bottom"/>
            <w:vMerge w:val="restart"/>
          </w:tcPr>
          <w:p>
            <w:pPr>
              <w:jc w:val="right"/>
              <w:ind w:right="177"/>
              <w:spacing w:after="0"/>
              <w:rPr>
                <w:sz w:val="20"/>
                <w:szCs w:val="20"/>
                <w:color w:val="auto"/>
              </w:rPr>
            </w:pPr>
            <w:r>
              <w:rPr>
                <w:rFonts w:ascii="Arial" w:cs="Arial" w:eastAsia="Arial" w:hAnsi="Arial"/>
                <w:sz w:val="13"/>
                <w:szCs w:val="13"/>
                <w:color w:val="auto"/>
              </w:rPr>
              <w:t>—</w:t>
            </w:r>
          </w:p>
        </w:tc>
        <w:tc>
          <w:tcPr>
            <w:tcW w:w="1280" w:type="dxa"/>
            <w:vAlign w:val="bottom"/>
            <w:vMerge w:val="restart"/>
          </w:tcPr>
          <w:p>
            <w:pPr>
              <w:jc w:val="right"/>
              <w:ind w:right="197"/>
              <w:spacing w:after="0"/>
              <w:rPr>
                <w:sz w:val="20"/>
                <w:szCs w:val="20"/>
                <w:color w:val="auto"/>
              </w:rPr>
            </w:pPr>
            <w:r>
              <w:rPr>
                <w:rFonts w:ascii="Arial" w:cs="Arial" w:eastAsia="Arial" w:hAnsi="Arial"/>
                <w:sz w:val="13"/>
                <w:szCs w:val="13"/>
                <w:color w:val="auto"/>
              </w:rPr>
              <w:t>40,995</w:t>
            </w:r>
          </w:p>
        </w:tc>
        <w:tc>
          <w:tcPr>
            <w:tcW w:w="1080" w:type="dxa"/>
            <w:vAlign w:val="bottom"/>
            <w:vMerge w:val="restart"/>
          </w:tcPr>
          <w:p>
            <w:pPr>
              <w:jc w:val="right"/>
              <w:spacing w:after="0"/>
              <w:rPr>
                <w:sz w:val="20"/>
                <w:szCs w:val="20"/>
                <w:color w:val="auto"/>
              </w:rPr>
            </w:pPr>
            <w:r>
              <w:rPr>
                <w:rFonts w:ascii="Arial" w:cs="Arial" w:eastAsia="Arial" w:hAnsi="Arial"/>
                <w:sz w:val="13"/>
                <w:szCs w:val="13"/>
                <w:color w:val="auto"/>
              </w:rPr>
              <w:t>3,318,650</w:t>
            </w:r>
          </w:p>
        </w:tc>
        <w:tc>
          <w:tcPr>
            <w:tcW w:w="0" w:type="dxa"/>
            <w:vAlign w:val="bottom"/>
          </w:tcPr>
          <w:p>
            <w:pPr>
              <w:spacing w:after="0"/>
              <w:rPr>
                <w:sz w:val="1"/>
                <w:szCs w:val="1"/>
                <w:color w:val="auto"/>
              </w:rPr>
            </w:pPr>
          </w:p>
        </w:tc>
      </w:tr>
      <w:tr>
        <w:trPr>
          <w:trHeight w:val="81"/>
        </w:trPr>
        <w:tc>
          <w:tcPr>
            <w:tcW w:w="208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98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920" w:type="dxa"/>
            <w:vAlign w:val="bottom"/>
            <w:vMerge w:val="continue"/>
          </w:tcPr>
          <w:p>
            <w:pPr>
              <w:spacing w:after="0"/>
              <w:rPr>
                <w:sz w:val="7"/>
                <w:szCs w:val="7"/>
                <w:color w:val="auto"/>
              </w:rPr>
            </w:pPr>
          </w:p>
        </w:tc>
        <w:tc>
          <w:tcPr>
            <w:tcW w:w="960" w:type="dxa"/>
            <w:vAlign w:val="bottom"/>
            <w:vMerge w:val="continue"/>
          </w:tcPr>
          <w:p>
            <w:pPr>
              <w:spacing w:after="0"/>
              <w:rPr>
                <w:sz w:val="7"/>
                <w:szCs w:val="7"/>
                <w:color w:val="auto"/>
              </w:rPr>
            </w:pPr>
          </w:p>
        </w:tc>
        <w:tc>
          <w:tcPr>
            <w:tcW w:w="1300" w:type="dxa"/>
            <w:vAlign w:val="bottom"/>
            <w:vMerge w:val="continue"/>
          </w:tcPr>
          <w:p>
            <w:pPr>
              <w:spacing w:after="0"/>
              <w:rPr>
                <w:sz w:val="7"/>
                <w:szCs w:val="7"/>
                <w:color w:val="auto"/>
              </w:rPr>
            </w:pPr>
          </w:p>
        </w:tc>
        <w:tc>
          <w:tcPr>
            <w:tcW w:w="1280" w:type="dxa"/>
            <w:vAlign w:val="bottom"/>
            <w:vMerge w:val="continue"/>
          </w:tcPr>
          <w:p>
            <w:pPr>
              <w:spacing w:after="0"/>
              <w:rPr>
                <w:sz w:val="7"/>
                <w:szCs w:val="7"/>
                <w:color w:val="auto"/>
              </w:rPr>
            </w:pPr>
          </w:p>
        </w:tc>
        <w:tc>
          <w:tcPr>
            <w:tcW w:w="1280" w:type="dxa"/>
            <w:vAlign w:val="bottom"/>
            <w:vMerge w:val="continue"/>
          </w:tcPr>
          <w:p>
            <w:pPr>
              <w:spacing w:after="0"/>
              <w:rPr>
                <w:sz w:val="7"/>
                <w:szCs w:val="7"/>
                <w:color w:val="auto"/>
              </w:rPr>
            </w:pPr>
          </w:p>
        </w:tc>
        <w:tc>
          <w:tcPr>
            <w:tcW w:w="1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2"/>
        </w:trPr>
        <w:tc>
          <w:tcPr>
            <w:tcW w:w="2080" w:type="dxa"/>
            <w:vAlign w:val="bottom"/>
            <w:tcBorders>
              <w:bottom w:val="single" w:sz="8" w:color="BCBEC0"/>
            </w:tcBorders>
          </w:tcPr>
          <w:p>
            <w:pPr>
              <w:spacing w:after="0"/>
              <w:rPr>
                <w:sz w:val="10"/>
                <w:szCs w:val="10"/>
                <w:color w:val="auto"/>
              </w:rPr>
            </w:pPr>
          </w:p>
        </w:tc>
        <w:tc>
          <w:tcPr>
            <w:tcW w:w="660" w:type="dxa"/>
            <w:vAlign w:val="bottom"/>
            <w:tcBorders>
              <w:bottom w:val="single" w:sz="8" w:color="BCBEC0"/>
            </w:tcBorders>
          </w:tcPr>
          <w:p>
            <w:pPr>
              <w:spacing w:after="0"/>
              <w:rPr>
                <w:sz w:val="10"/>
                <w:szCs w:val="10"/>
                <w:color w:val="auto"/>
              </w:rPr>
            </w:pPr>
          </w:p>
        </w:tc>
        <w:tc>
          <w:tcPr>
            <w:tcW w:w="980" w:type="dxa"/>
            <w:vAlign w:val="bottom"/>
            <w:tcBorders>
              <w:bottom w:val="single" w:sz="8" w:color="BCBEC0"/>
            </w:tcBorders>
          </w:tcPr>
          <w:p>
            <w:pPr>
              <w:spacing w:after="0"/>
              <w:rPr>
                <w:sz w:val="10"/>
                <w:szCs w:val="10"/>
                <w:color w:val="auto"/>
              </w:rPr>
            </w:pPr>
          </w:p>
        </w:tc>
        <w:tc>
          <w:tcPr>
            <w:tcW w:w="700" w:type="dxa"/>
            <w:vAlign w:val="bottom"/>
            <w:tcBorders>
              <w:bottom w:val="single" w:sz="8" w:color="BCBEC0"/>
            </w:tcBorders>
          </w:tcPr>
          <w:p>
            <w:pPr>
              <w:spacing w:after="0"/>
              <w:rPr>
                <w:sz w:val="10"/>
                <w:szCs w:val="10"/>
                <w:color w:val="auto"/>
              </w:rPr>
            </w:pPr>
          </w:p>
        </w:tc>
        <w:tc>
          <w:tcPr>
            <w:tcW w:w="920" w:type="dxa"/>
            <w:vAlign w:val="bottom"/>
            <w:tcBorders>
              <w:bottom w:val="single" w:sz="8" w:color="BCBEC0"/>
            </w:tcBorders>
          </w:tcPr>
          <w:p>
            <w:pPr>
              <w:spacing w:after="0"/>
              <w:rPr>
                <w:sz w:val="10"/>
                <w:szCs w:val="10"/>
                <w:color w:val="auto"/>
              </w:rPr>
            </w:pPr>
          </w:p>
        </w:tc>
        <w:tc>
          <w:tcPr>
            <w:tcW w:w="960" w:type="dxa"/>
            <w:vAlign w:val="bottom"/>
            <w:tcBorders>
              <w:bottom w:val="single" w:sz="8" w:color="BCBEC0"/>
            </w:tcBorders>
          </w:tcPr>
          <w:p>
            <w:pPr>
              <w:spacing w:after="0"/>
              <w:rPr>
                <w:sz w:val="10"/>
                <w:szCs w:val="10"/>
                <w:color w:val="auto"/>
              </w:rPr>
            </w:pPr>
          </w:p>
        </w:tc>
        <w:tc>
          <w:tcPr>
            <w:tcW w:w="1300" w:type="dxa"/>
            <w:vAlign w:val="bottom"/>
            <w:tcBorders>
              <w:bottom w:val="single" w:sz="8" w:color="BCBEC0"/>
            </w:tcBorders>
          </w:tcPr>
          <w:p>
            <w:pPr>
              <w:spacing w:after="0"/>
              <w:rPr>
                <w:sz w:val="10"/>
                <w:szCs w:val="10"/>
                <w:color w:val="auto"/>
              </w:rPr>
            </w:pPr>
          </w:p>
        </w:tc>
        <w:tc>
          <w:tcPr>
            <w:tcW w:w="1280" w:type="dxa"/>
            <w:vAlign w:val="bottom"/>
            <w:tcBorders>
              <w:bottom w:val="single" w:sz="8" w:color="BCBEC0"/>
            </w:tcBorders>
          </w:tcPr>
          <w:p>
            <w:pPr>
              <w:spacing w:after="0"/>
              <w:rPr>
                <w:sz w:val="10"/>
                <w:szCs w:val="10"/>
                <w:color w:val="auto"/>
              </w:rPr>
            </w:pPr>
          </w:p>
        </w:tc>
        <w:tc>
          <w:tcPr>
            <w:tcW w:w="1280" w:type="dxa"/>
            <w:vAlign w:val="bottom"/>
            <w:tcBorders>
              <w:bottom w:val="single" w:sz="8" w:color="BCBEC0"/>
            </w:tcBorders>
          </w:tcPr>
          <w:p>
            <w:pPr>
              <w:spacing w:after="0"/>
              <w:rPr>
                <w:sz w:val="10"/>
                <w:szCs w:val="10"/>
                <w:color w:val="auto"/>
              </w:rPr>
            </w:pPr>
          </w:p>
        </w:tc>
        <w:tc>
          <w:tcPr>
            <w:tcW w:w="1080" w:type="dxa"/>
            <w:vAlign w:val="bottom"/>
            <w:tcBorders>
              <w:bottom w:val="single" w:sz="8" w:color="BCBEC0"/>
            </w:tcBorders>
          </w:tcPr>
          <w:p>
            <w:pPr>
              <w:spacing w:after="0"/>
              <w:rPr>
                <w:sz w:val="10"/>
                <w:szCs w:val="10"/>
                <w:color w:val="auto"/>
              </w:rPr>
            </w:pPr>
          </w:p>
        </w:tc>
        <w:tc>
          <w:tcPr>
            <w:tcW w:w="0" w:type="dxa"/>
            <w:vAlign w:val="bottom"/>
          </w:tcPr>
          <w:p>
            <w:pPr>
              <w:spacing w:after="0"/>
              <w:rPr>
                <w:sz w:val="1"/>
                <w:szCs w:val="1"/>
                <w:color w:val="auto"/>
              </w:rPr>
            </w:pPr>
          </w:p>
        </w:tc>
      </w:tr>
      <w:tr>
        <w:trPr>
          <w:trHeight w:val="174"/>
        </w:trPr>
        <w:tc>
          <w:tcPr>
            <w:tcW w:w="2080" w:type="dxa"/>
            <w:vAlign w:val="bottom"/>
          </w:tcPr>
          <w:p>
            <w:pPr>
              <w:ind w:left="20"/>
              <w:spacing w:after="0"/>
              <w:rPr>
                <w:sz w:val="20"/>
                <w:szCs w:val="20"/>
                <w:color w:val="auto"/>
              </w:rPr>
            </w:pPr>
            <w:r>
              <w:rPr>
                <w:rFonts w:ascii="Arial" w:cs="Arial" w:eastAsia="Arial" w:hAnsi="Arial"/>
                <w:sz w:val="13"/>
                <w:szCs w:val="13"/>
                <w:b w:val="1"/>
                <w:bCs w:val="1"/>
                <w:color w:val="0C3471"/>
              </w:rPr>
              <w:t>Jerome O. Pedretti</w:t>
            </w:r>
          </w:p>
        </w:tc>
        <w:tc>
          <w:tcPr>
            <w:tcW w:w="660" w:type="dxa"/>
            <w:vAlign w:val="bottom"/>
          </w:tcPr>
          <w:p>
            <w:pPr>
              <w:jc w:val="center"/>
              <w:spacing w:after="0"/>
              <w:rPr>
                <w:sz w:val="20"/>
                <w:szCs w:val="20"/>
                <w:color w:val="auto"/>
              </w:rPr>
            </w:pPr>
            <w:r>
              <w:rPr>
                <w:rFonts w:ascii="Arial" w:cs="Arial" w:eastAsia="Arial" w:hAnsi="Arial"/>
                <w:sz w:val="13"/>
                <w:szCs w:val="13"/>
                <w:color w:val="auto"/>
                <w:w w:val="96"/>
              </w:rPr>
              <w:t>2025</w:t>
            </w:r>
          </w:p>
        </w:tc>
        <w:tc>
          <w:tcPr>
            <w:tcW w:w="980" w:type="dxa"/>
            <w:vAlign w:val="bottom"/>
          </w:tcPr>
          <w:p>
            <w:pPr>
              <w:jc w:val="right"/>
              <w:ind w:right="137"/>
              <w:spacing w:after="0"/>
              <w:rPr>
                <w:sz w:val="20"/>
                <w:szCs w:val="20"/>
                <w:color w:val="auto"/>
              </w:rPr>
            </w:pPr>
            <w:r>
              <w:rPr>
                <w:rFonts w:ascii="Arial" w:cs="Arial" w:eastAsia="Arial" w:hAnsi="Arial"/>
                <w:sz w:val="13"/>
                <w:szCs w:val="13"/>
                <w:color w:val="auto"/>
              </w:rPr>
              <w:t>675,026</w:t>
            </w:r>
          </w:p>
        </w:tc>
        <w:tc>
          <w:tcPr>
            <w:tcW w:w="700" w:type="dxa"/>
            <w:vAlign w:val="bottom"/>
          </w:tcPr>
          <w:p>
            <w:pPr>
              <w:ind w:left="380"/>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137"/>
              <w:spacing w:after="0"/>
              <w:rPr>
                <w:sz w:val="20"/>
                <w:szCs w:val="20"/>
                <w:color w:val="auto"/>
              </w:rPr>
            </w:pPr>
            <w:r>
              <w:rPr>
                <w:rFonts w:ascii="Arial" w:cs="Arial" w:eastAsia="Arial" w:hAnsi="Arial"/>
                <w:sz w:val="13"/>
                <w:szCs w:val="13"/>
                <w:color w:val="auto"/>
              </w:rPr>
              <w:t>1,124,982</w:t>
            </w:r>
          </w:p>
        </w:tc>
        <w:tc>
          <w:tcPr>
            <w:tcW w:w="960" w:type="dxa"/>
            <w:vAlign w:val="bottom"/>
          </w:tcPr>
          <w:p>
            <w:pPr>
              <w:jc w:val="right"/>
              <w:ind w:right="177"/>
              <w:spacing w:after="0"/>
              <w:rPr>
                <w:sz w:val="20"/>
                <w:szCs w:val="20"/>
                <w:color w:val="auto"/>
              </w:rPr>
            </w:pPr>
            <w:r>
              <w:rPr>
                <w:rFonts w:ascii="Arial" w:cs="Arial" w:eastAsia="Arial" w:hAnsi="Arial"/>
                <w:sz w:val="13"/>
                <w:szCs w:val="13"/>
                <w:color w:val="auto"/>
              </w:rPr>
              <w:t>374,995</w:t>
            </w:r>
          </w:p>
        </w:tc>
        <w:tc>
          <w:tcPr>
            <w:tcW w:w="1300" w:type="dxa"/>
            <w:vAlign w:val="bottom"/>
          </w:tcPr>
          <w:p>
            <w:pPr>
              <w:jc w:val="right"/>
              <w:ind w:right="198"/>
              <w:spacing w:after="0"/>
              <w:rPr>
                <w:sz w:val="20"/>
                <w:szCs w:val="20"/>
                <w:color w:val="auto"/>
              </w:rPr>
            </w:pPr>
            <w:r>
              <w:rPr>
                <w:rFonts w:ascii="Arial" w:cs="Arial" w:eastAsia="Arial" w:hAnsi="Arial"/>
                <w:sz w:val="13"/>
                <w:szCs w:val="13"/>
                <w:color w:val="auto"/>
              </w:rPr>
              <w:t>638,820</w:t>
            </w:r>
          </w:p>
        </w:tc>
        <w:tc>
          <w:tcPr>
            <w:tcW w:w="1280" w:type="dxa"/>
            <w:vAlign w:val="bottom"/>
          </w:tcPr>
          <w:p>
            <w:pPr>
              <w:jc w:val="right"/>
              <w:ind w:right="177"/>
              <w:spacing w:after="0"/>
              <w:rPr>
                <w:sz w:val="20"/>
                <w:szCs w:val="20"/>
                <w:color w:val="auto"/>
              </w:rPr>
            </w:pPr>
            <w:r>
              <w:rPr>
                <w:rFonts w:ascii="Arial" w:cs="Arial" w:eastAsia="Arial" w:hAnsi="Arial"/>
                <w:sz w:val="13"/>
                <w:szCs w:val="13"/>
                <w:color w:val="auto"/>
              </w:rPr>
              <w:t>—</w:t>
            </w:r>
          </w:p>
        </w:tc>
        <w:tc>
          <w:tcPr>
            <w:tcW w:w="1280" w:type="dxa"/>
            <w:vAlign w:val="bottom"/>
          </w:tcPr>
          <w:p>
            <w:pPr>
              <w:jc w:val="right"/>
              <w:ind w:right="197"/>
              <w:spacing w:after="0"/>
              <w:rPr>
                <w:sz w:val="20"/>
                <w:szCs w:val="20"/>
                <w:color w:val="auto"/>
              </w:rPr>
            </w:pPr>
            <w:r>
              <w:rPr>
                <w:rFonts w:ascii="Arial" w:cs="Arial" w:eastAsia="Arial" w:hAnsi="Arial"/>
                <w:sz w:val="13"/>
                <w:szCs w:val="13"/>
                <w:color w:val="auto"/>
              </w:rPr>
              <w:t>37,850</w:t>
            </w:r>
          </w:p>
        </w:tc>
        <w:tc>
          <w:tcPr>
            <w:tcW w:w="1080" w:type="dxa"/>
            <w:vAlign w:val="bottom"/>
          </w:tcPr>
          <w:p>
            <w:pPr>
              <w:jc w:val="right"/>
              <w:spacing w:after="0"/>
              <w:rPr>
                <w:sz w:val="20"/>
                <w:szCs w:val="20"/>
                <w:color w:val="auto"/>
              </w:rPr>
            </w:pPr>
            <w:r>
              <w:rPr>
                <w:rFonts w:ascii="Arial" w:cs="Arial" w:eastAsia="Arial" w:hAnsi="Arial"/>
                <w:sz w:val="13"/>
                <w:szCs w:val="13"/>
                <w:color w:val="auto"/>
              </w:rPr>
              <w:t>2,851,673</w:t>
            </w:r>
          </w:p>
        </w:tc>
        <w:tc>
          <w:tcPr>
            <w:tcW w:w="0" w:type="dxa"/>
            <w:vAlign w:val="bottom"/>
          </w:tcPr>
          <w:p>
            <w:pPr>
              <w:spacing w:after="0"/>
              <w:rPr>
                <w:sz w:val="1"/>
                <w:szCs w:val="1"/>
                <w:color w:val="auto"/>
              </w:rPr>
            </w:pPr>
          </w:p>
        </w:tc>
      </w:tr>
      <w:tr>
        <w:trPr>
          <w:trHeight w:val="22"/>
        </w:trPr>
        <w:tc>
          <w:tcPr>
            <w:tcW w:w="2080" w:type="dxa"/>
            <w:vAlign w:val="bottom"/>
            <w:vMerge w:val="restart"/>
          </w:tcPr>
          <w:p>
            <w:pPr>
              <w:ind w:left="20"/>
              <w:spacing w:after="0"/>
              <w:rPr>
                <w:sz w:val="20"/>
                <w:szCs w:val="20"/>
                <w:color w:val="auto"/>
              </w:rPr>
            </w:pPr>
            <w:r>
              <w:rPr>
                <w:rFonts w:ascii="Arial" w:cs="Arial" w:eastAsia="Arial" w:hAnsi="Arial"/>
                <w:sz w:val="13"/>
                <w:szCs w:val="13"/>
                <w:color w:val="auto"/>
              </w:rPr>
              <w:t>Executive Vice President and Chief</w:t>
            </w:r>
          </w:p>
        </w:tc>
        <w:tc>
          <w:tcPr>
            <w:tcW w:w="660" w:type="dxa"/>
            <w:vAlign w:val="bottom"/>
            <w:tcBorders>
              <w:bottom w:val="single" w:sz="8" w:color="BCBEC0"/>
            </w:tcBorders>
          </w:tcPr>
          <w:p>
            <w:pPr>
              <w:spacing w:after="0" w:line="20" w:lineRule="exact"/>
              <w:rPr>
                <w:sz w:val="1"/>
                <w:szCs w:val="1"/>
                <w:color w:val="auto"/>
              </w:rPr>
            </w:pPr>
          </w:p>
        </w:tc>
        <w:tc>
          <w:tcPr>
            <w:tcW w:w="980" w:type="dxa"/>
            <w:vAlign w:val="bottom"/>
            <w:tcBorders>
              <w:bottom w:val="single" w:sz="8" w:color="BCBEC0"/>
            </w:tcBorders>
          </w:tcPr>
          <w:p>
            <w:pPr>
              <w:spacing w:after="0" w:line="20" w:lineRule="exact"/>
              <w:rPr>
                <w:sz w:val="1"/>
                <w:szCs w:val="1"/>
                <w:color w:val="auto"/>
              </w:rPr>
            </w:pPr>
          </w:p>
        </w:tc>
        <w:tc>
          <w:tcPr>
            <w:tcW w:w="700" w:type="dxa"/>
            <w:vAlign w:val="bottom"/>
            <w:tcBorders>
              <w:bottom w:val="single" w:sz="8" w:color="BCBEC0"/>
            </w:tcBorders>
          </w:tcPr>
          <w:p>
            <w:pPr>
              <w:spacing w:after="0" w:line="20" w:lineRule="exact"/>
              <w:rPr>
                <w:sz w:val="1"/>
                <w:szCs w:val="1"/>
                <w:color w:val="auto"/>
              </w:rPr>
            </w:pPr>
          </w:p>
        </w:tc>
        <w:tc>
          <w:tcPr>
            <w:tcW w:w="920" w:type="dxa"/>
            <w:vAlign w:val="bottom"/>
            <w:tcBorders>
              <w:bottom w:val="single" w:sz="8" w:color="BCBEC0"/>
            </w:tcBorders>
          </w:tcPr>
          <w:p>
            <w:pPr>
              <w:spacing w:after="0" w:line="20" w:lineRule="exact"/>
              <w:rPr>
                <w:sz w:val="1"/>
                <w:szCs w:val="1"/>
                <w:color w:val="auto"/>
              </w:rPr>
            </w:pPr>
          </w:p>
        </w:tc>
        <w:tc>
          <w:tcPr>
            <w:tcW w:w="960" w:type="dxa"/>
            <w:vAlign w:val="bottom"/>
            <w:tcBorders>
              <w:bottom w:val="single" w:sz="8" w:color="BCBEC0"/>
            </w:tcBorders>
          </w:tcPr>
          <w:p>
            <w:pPr>
              <w:spacing w:after="0" w:line="20" w:lineRule="exact"/>
              <w:rPr>
                <w:sz w:val="1"/>
                <w:szCs w:val="1"/>
                <w:color w:val="auto"/>
              </w:rPr>
            </w:pPr>
          </w:p>
        </w:tc>
        <w:tc>
          <w:tcPr>
            <w:tcW w:w="1300" w:type="dxa"/>
            <w:vAlign w:val="bottom"/>
            <w:tcBorders>
              <w:bottom w:val="single" w:sz="8" w:color="BCBEC0"/>
            </w:tcBorders>
          </w:tcPr>
          <w:p>
            <w:pPr>
              <w:spacing w:after="0" w:line="20" w:lineRule="exact"/>
              <w:rPr>
                <w:sz w:val="1"/>
                <w:szCs w:val="1"/>
                <w:color w:val="auto"/>
              </w:rPr>
            </w:pPr>
          </w:p>
        </w:tc>
        <w:tc>
          <w:tcPr>
            <w:tcW w:w="1280" w:type="dxa"/>
            <w:vAlign w:val="bottom"/>
            <w:tcBorders>
              <w:bottom w:val="single" w:sz="8" w:color="BCBEC0"/>
            </w:tcBorders>
          </w:tcPr>
          <w:p>
            <w:pPr>
              <w:spacing w:after="0" w:line="20" w:lineRule="exact"/>
              <w:rPr>
                <w:sz w:val="1"/>
                <w:szCs w:val="1"/>
                <w:color w:val="auto"/>
              </w:rPr>
            </w:pPr>
          </w:p>
        </w:tc>
        <w:tc>
          <w:tcPr>
            <w:tcW w:w="1280" w:type="dxa"/>
            <w:vAlign w:val="bottom"/>
            <w:tcBorders>
              <w:bottom w:val="single" w:sz="8" w:color="BCBEC0"/>
            </w:tcBorders>
          </w:tcPr>
          <w:p>
            <w:pPr>
              <w:spacing w:after="0" w:line="20" w:lineRule="exact"/>
              <w:rPr>
                <w:sz w:val="1"/>
                <w:szCs w:val="1"/>
                <w:color w:val="auto"/>
              </w:rPr>
            </w:pPr>
          </w:p>
        </w:tc>
        <w:tc>
          <w:tcPr>
            <w:tcW w:w="1080" w:type="dxa"/>
            <w:vAlign w:val="bottom"/>
            <w:tcBorders>
              <w:bottom w:val="single" w:sz="8" w:color="BCBEC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8"/>
        </w:trPr>
        <w:tc>
          <w:tcPr>
            <w:tcW w:w="2080" w:type="dxa"/>
            <w:vAlign w:val="bottom"/>
            <w:vMerge w:val="continue"/>
          </w:tcPr>
          <w:p>
            <w:pPr>
              <w:spacing w:after="0"/>
              <w:rPr>
                <w:sz w:val="11"/>
                <w:szCs w:val="11"/>
                <w:color w:val="auto"/>
              </w:rPr>
            </w:pPr>
          </w:p>
        </w:tc>
        <w:tc>
          <w:tcPr>
            <w:tcW w:w="660" w:type="dxa"/>
            <w:vAlign w:val="bottom"/>
          </w:tcPr>
          <w:p>
            <w:pPr>
              <w:jc w:val="center"/>
              <w:spacing w:after="0" w:line="138" w:lineRule="exact"/>
              <w:rPr>
                <w:sz w:val="20"/>
                <w:szCs w:val="20"/>
                <w:color w:val="auto"/>
              </w:rPr>
            </w:pPr>
            <w:r>
              <w:rPr>
                <w:rFonts w:ascii="Arial" w:cs="Arial" w:eastAsia="Arial" w:hAnsi="Arial"/>
                <w:sz w:val="13"/>
                <w:szCs w:val="13"/>
                <w:color w:val="auto"/>
                <w:w w:val="96"/>
              </w:rPr>
              <w:t>2024</w:t>
            </w:r>
          </w:p>
        </w:tc>
        <w:tc>
          <w:tcPr>
            <w:tcW w:w="980" w:type="dxa"/>
            <w:vAlign w:val="bottom"/>
          </w:tcPr>
          <w:p>
            <w:pPr>
              <w:jc w:val="right"/>
              <w:ind w:right="137"/>
              <w:spacing w:after="0" w:line="138" w:lineRule="exact"/>
              <w:rPr>
                <w:sz w:val="20"/>
                <w:szCs w:val="20"/>
                <w:color w:val="auto"/>
              </w:rPr>
            </w:pPr>
            <w:r>
              <w:rPr>
                <w:rFonts w:ascii="Arial" w:cs="Arial" w:eastAsia="Arial" w:hAnsi="Arial"/>
                <w:sz w:val="13"/>
                <w:szCs w:val="13"/>
                <w:color w:val="auto"/>
              </w:rPr>
              <w:t>660,025</w:t>
            </w:r>
          </w:p>
        </w:tc>
        <w:tc>
          <w:tcPr>
            <w:tcW w:w="700" w:type="dxa"/>
            <w:vAlign w:val="bottom"/>
          </w:tcPr>
          <w:p>
            <w:pPr>
              <w:ind w:left="380"/>
              <w:spacing w:after="0" w:line="138" w:lineRule="exact"/>
              <w:rPr>
                <w:sz w:val="20"/>
                <w:szCs w:val="20"/>
                <w:color w:val="auto"/>
              </w:rPr>
            </w:pPr>
            <w:r>
              <w:rPr>
                <w:rFonts w:ascii="Arial" w:cs="Arial" w:eastAsia="Arial" w:hAnsi="Arial"/>
                <w:sz w:val="13"/>
                <w:szCs w:val="13"/>
                <w:color w:val="auto"/>
              </w:rPr>
              <w:t>—</w:t>
            </w:r>
          </w:p>
        </w:tc>
        <w:tc>
          <w:tcPr>
            <w:tcW w:w="920" w:type="dxa"/>
            <w:vAlign w:val="bottom"/>
          </w:tcPr>
          <w:p>
            <w:pPr>
              <w:jc w:val="right"/>
              <w:ind w:right="137"/>
              <w:spacing w:after="0" w:line="138" w:lineRule="exact"/>
              <w:rPr>
                <w:sz w:val="20"/>
                <w:szCs w:val="20"/>
                <w:color w:val="auto"/>
              </w:rPr>
            </w:pPr>
            <w:r>
              <w:rPr>
                <w:rFonts w:ascii="Arial" w:cs="Arial" w:eastAsia="Arial" w:hAnsi="Arial"/>
                <w:sz w:val="13"/>
                <w:szCs w:val="13"/>
                <w:color w:val="auto"/>
              </w:rPr>
              <w:t>1,087,487</w:t>
            </w:r>
          </w:p>
        </w:tc>
        <w:tc>
          <w:tcPr>
            <w:tcW w:w="960" w:type="dxa"/>
            <w:vAlign w:val="bottom"/>
          </w:tcPr>
          <w:p>
            <w:pPr>
              <w:jc w:val="right"/>
              <w:ind w:right="177"/>
              <w:spacing w:after="0" w:line="138" w:lineRule="exact"/>
              <w:rPr>
                <w:sz w:val="20"/>
                <w:szCs w:val="20"/>
                <w:color w:val="auto"/>
              </w:rPr>
            </w:pPr>
            <w:r>
              <w:rPr>
                <w:rFonts w:ascii="Arial" w:cs="Arial" w:eastAsia="Arial" w:hAnsi="Arial"/>
                <w:sz w:val="13"/>
                <w:szCs w:val="13"/>
                <w:color w:val="auto"/>
              </w:rPr>
              <w:t>362,497</w:t>
            </w:r>
          </w:p>
        </w:tc>
        <w:tc>
          <w:tcPr>
            <w:tcW w:w="1300" w:type="dxa"/>
            <w:vAlign w:val="bottom"/>
          </w:tcPr>
          <w:p>
            <w:pPr>
              <w:jc w:val="right"/>
              <w:ind w:right="198"/>
              <w:spacing w:after="0" w:line="138" w:lineRule="exact"/>
              <w:rPr>
                <w:sz w:val="20"/>
                <w:szCs w:val="20"/>
                <w:color w:val="auto"/>
              </w:rPr>
            </w:pPr>
            <w:r>
              <w:rPr>
                <w:rFonts w:ascii="Arial" w:cs="Arial" w:eastAsia="Arial" w:hAnsi="Arial"/>
                <w:sz w:val="13"/>
                <w:szCs w:val="13"/>
                <w:color w:val="auto"/>
              </w:rPr>
              <w:t>717,077</w:t>
            </w:r>
          </w:p>
        </w:tc>
        <w:tc>
          <w:tcPr>
            <w:tcW w:w="1280" w:type="dxa"/>
            <w:vAlign w:val="bottom"/>
          </w:tcPr>
          <w:p>
            <w:pPr>
              <w:jc w:val="right"/>
              <w:ind w:right="177"/>
              <w:spacing w:after="0" w:line="138" w:lineRule="exact"/>
              <w:rPr>
                <w:sz w:val="20"/>
                <w:szCs w:val="20"/>
                <w:color w:val="auto"/>
              </w:rPr>
            </w:pPr>
            <w:r>
              <w:rPr>
                <w:rFonts w:ascii="Arial" w:cs="Arial" w:eastAsia="Arial" w:hAnsi="Arial"/>
                <w:sz w:val="13"/>
                <w:szCs w:val="13"/>
                <w:color w:val="auto"/>
              </w:rPr>
              <w:t>—</w:t>
            </w:r>
          </w:p>
        </w:tc>
        <w:tc>
          <w:tcPr>
            <w:tcW w:w="1280" w:type="dxa"/>
            <w:vAlign w:val="bottom"/>
          </w:tcPr>
          <w:p>
            <w:pPr>
              <w:jc w:val="right"/>
              <w:ind w:right="197"/>
              <w:spacing w:after="0" w:line="138" w:lineRule="exact"/>
              <w:rPr>
                <w:sz w:val="20"/>
                <w:szCs w:val="20"/>
                <w:color w:val="auto"/>
              </w:rPr>
            </w:pPr>
            <w:r>
              <w:rPr>
                <w:rFonts w:ascii="Arial" w:cs="Arial" w:eastAsia="Arial" w:hAnsi="Arial"/>
                <w:sz w:val="13"/>
                <w:szCs w:val="13"/>
                <w:color w:val="auto"/>
              </w:rPr>
              <w:t>38,350</w:t>
            </w:r>
          </w:p>
        </w:tc>
        <w:tc>
          <w:tcPr>
            <w:tcW w:w="1080" w:type="dxa"/>
            <w:vAlign w:val="bottom"/>
          </w:tcPr>
          <w:p>
            <w:pPr>
              <w:jc w:val="right"/>
              <w:spacing w:after="0" w:line="138" w:lineRule="exact"/>
              <w:rPr>
                <w:sz w:val="20"/>
                <w:szCs w:val="20"/>
                <w:color w:val="auto"/>
              </w:rPr>
            </w:pPr>
            <w:r>
              <w:rPr>
                <w:rFonts w:ascii="Arial" w:cs="Arial" w:eastAsia="Arial" w:hAnsi="Arial"/>
                <w:sz w:val="13"/>
                <w:szCs w:val="13"/>
                <w:color w:val="auto"/>
              </w:rPr>
              <w:t>2,865,436</w:t>
            </w:r>
          </w:p>
        </w:tc>
        <w:tc>
          <w:tcPr>
            <w:tcW w:w="0" w:type="dxa"/>
            <w:vAlign w:val="bottom"/>
          </w:tcPr>
          <w:p>
            <w:pPr>
              <w:spacing w:after="0"/>
              <w:rPr>
                <w:sz w:val="1"/>
                <w:szCs w:val="1"/>
                <w:color w:val="auto"/>
              </w:rPr>
            </w:pPr>
          </w:p>
        </w:tc>
      </w:tr>
      <w:tr>
        <w:trPr>
          <w:trHeight w:val="58"/>
        </w:trPr>
        <w:tc>
          <w:tcPr>
            <w:tcW w:w="2080" w:type="dxa"/>
            <w:vAlign w:val="bottom"/>
            <w:vMerge w:val="restart"/>
          </w:tcPr>
          <w:p>
            <w:pPr>
              <w:ind w:left="20"/>
              <w:spacing w:after="0"/>
              <w:rPr>
                <w:sz w:val="20"/>
                <w:szCs w:val="20"/>
                <w:color w:val="auto"/>
              </w:rPr>
            </w:pPr>
            <w:r>
              <w:rPr>
                <w:rFonts w:ascii="Arial" w:cs="Arial" w:eastAsia="Arial" w:hAnsi="Arial"/>
                <w:sz w:val="13"/>
                <w:szCs w:val="13"/>
                <w:color w:val="auto"/>
              </w:rPr>
              <w:t>Executive Officer, Pool</w:t>
            </w:r>
          </w:p>
        </w:tc>
        <w:tc>
          <w:tcPr>
            <w:tcW w:w="660" w:type="dxa"/>
            <w:vAlign w:val="bottom"/>
            <w:tcBorders>
              <w:bottom w:val="single" w:sz="8" w:color="BCBEC0"/>
            </w:tcBorders>
          </w:tcPr>
          <w:p>
            <w:pPr>
              <w:spacing w:after="0"/>
              <w:rPr>
                <w:sz w:val="5"/>
                <w:szCs w:val="5"/>
                <w:color w:val="auto"/>
              </w:rPr>
            </w:pPr>
          </w:p>
        </w:tc>
        <w:tc>
          <w:tcPr>
            <w:tcW w:w="980" w:type="dxa"/>
            <w:vAlign w:val="bottom"/>
            <w:tcBorders>
              <w:bottom w:val="single" w:sz="8" w:color="BCBEC0"/>
            </w:tcBorders>
          </w:tcPr>
          <w:p>
            <w:pPr>
              <w:spacing w:after="0"/>
              <w:rPr>
                <w:sz w:val="5"/>
                <w:szCs w:val="5"/>
                <w:color w:val="auto"/>
              </w:rPr>
            </w:pPr>
          </w:p>
        </w:tc>
        <w:tc>
          <w:tcPr>
            <w:tcW w:w="700" w:type="dxa"/>
            <w:vAlign w:val="bottom"/>
            <w:tcBorders>
              <w:bottom w:val="single" w:sz="8" w:color="BCBEC0"/>
            </w:tcBorders>
          </w:tcPr>
          <w:p>
            <w:pPr>
              <w:spacing w:after="0"/>
              <w:rPr>
                <w:sz w:val="5"/>
                <w:szCs w:val="5"/>
                <w:color w:val="auto"/>
              </w:rPr>
            </w:pPr>
          </w:p>
        </w:tc>
        <w:tc>
          <w:tcPr>
            <w:tcW w:w="920" w:type="dxa"/>
            <w:vAlign w:val="bottom"/>
            <w:tcBorders>
              <w:bottom w:val="single" w:sz="8" w:color="BCBEC0"/>
            </w:tcBorders>
          </w:tcPr>
          <w:p>
            <w:pPr>
              <w:spacing w:after="0"/>
              <w:rPr>
                <w:sz w:val="5"/>
                <w:szCs w:val="5"/>
                <w:color w:val="auto"/>
              </w:rPr>
            </w:pPr>
          </w:p>
        </w:tc>
        <w:tc>
          <w:tcPr>
            <w:tcW w:w="960" w:type="dxa"/>
            <w:vAlign w:val="bottom"/>
            <w:tcBorders>
              <w:bottom w:val="single" w:sz="8" w:color="BCBEC0"/>
            </w:tcBorders>
          </w:tcPr>
          <w:p>
            <w:pPr>
              <w:spacing w:after="0"/>
              <w:rPr>
                <w:sz w:val="5"/>
                <w:szCs w:val="5"/>
                <w:color w:val="auto"/>
              </w:rPr>
            </w:pPr>
          </w:p>
        </w:tc>
        <w:tc>
          <w:tcPr>
            <w:tcW w:w="1300" w:type="dxa"/>
            <w:vAlign w:val="bottom"/>
            <w:tcBorders>
              <w:bottom w:val="single" w:sz="8" w:color="BCBEC0"/>
            </w:tcBorders>
          </w:tcPr>
          <w:p>
            <w:pPr>
              <w:spacing w:after="0"/>
              <w:rPr>
                <w:sz w:val="5"/>
                <w:szCs w:val="5"/>
                <w:color w:val="auto"/>
              </w:rPr>
            </w:pPr>
          </w:p>
        </w:tc>
        <w:tc>
          <w:tcPr>
            <w:tcW w:w="1280" w:type="dxa"/>
            <w:vAlign w:val="bottom"/>
            <w:tcBorders>
              <w:bottom w:val="single" w:sz="8" w:color="BCBEC0"/>
            </w:tcBorders>
          </w:tcPr>
          <w:p>
            <w:pPr>
              <w:spacing w:after="0"/>
              <w:rPr>
                <w:sz w:val="5"/>
                <w:szCs w:val="5"/>
                <w:color w:val="auto"/>
              </w:rPr>
            </w:pPr>
          </w:p>
        </w:tc>
        <w:tc>
          <w:tcPr>
            <w:tcW w:w="1280" w:type="dxa"/>
            <w:vAlign w:val="bottom"/>
            <w:tcBorders>
              <w:bottom w:val="single" w:sz="8" w:color="BCBEC0"/>
            </w:tcBorders>
          </w:tcPr>
          <w:p>
            <w:pPr>
              <w:spacing w:after="0"/>
              <w:rPr>
                <w:sz w:val="5"/>
                <w:szCs w:val="5"/>
                <w:color w:val="auto"/>
              </w:rPr>
            </w:pPr>
          </w:p>
        </w:tc>
        <w:tc>
          <w:tcPr>
            <w:tcW w:w="1080" w:type="dxa"/>
            <w:vAlign w:val="bottom"/>
            <w:tcBorders>
              <w:bottom w:val="single" w:sz="8" w:color="BCBEC0"/>
            </w:tcBorders>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2080" w:type="dxa"/>
            <w:vAlign w:val="bottom"/>
            <w:vMerge w:val="continue"/>
          </w:tcPr>
          <w:p>
            <w:pPr>
              <w:spacing w:after="0"/>
              <w:rPr>
                <w:sz w:val="7"/>
                <w:szCs w:val="7"/>
                <w:color w:val="auto"/>
              </w:rPr>
            </w:pPr>
          </w:p>
        </w:tc>
        <w:tc>
          <w:tcPr>
            <w:tcW w:w="660" w:type="dxa"/>
            <w:vAlign w:val="bottom"/>
            <w:vMerge w:val="restart"/>
          </w:tcPr>
          <w:p>
            <w:pPr>
              <w:jc w:val="center"/>
              <w:spacing w:after="0"/>
              <w:rPr>
                <w:sz w:val="20"/>
                <w:szCs w:val="20"/>
                <w:color w:val="auto"/>
              </w:rPr>
            </w:pPr>
            <w:r>
              <w:rPr>
                <w:rFonts w:ascii="Arial" w:cs="Arial" w:eastAsia="Arial" w:hAnsi="Arial"/>
                <w:sz w:val="13"/>
                <w:szCs w:val="13"/>
                <w:color w:val="auto"/>
                <w:w w:val="96"/>
              </w:rPr>
              <w:t>2023</w:t>
            </w:r>
          </w:p>
        </w:tc>
        <w:tc>
          <w:tcPr>
            <w:tcW w:w="980" w:type="dxa"/>
            <w:vAlign w:val="bottom"/>
            <w:vMerge w:val="restart"/>
          </w:tcPr>
          <w:p>
            <w:pPr>
              <w:jc w:val="right"/>
              <w:ind w:right="137"/>
              <w:spacing w:after="0"/>
              <w:rPr>
                <w:sz w:val="20"/>
                <w:szCs w:val="20"/>
                <w:color w:val="auto"/>
              </w:rPr>
            </w:pPr>
            <w:r>
              <w:rPr>
                <w:rFonts w:ascii="Arial" w:cs="Arial" w:eastAsia="Arial" w:hAnsi="Arial"/>
                <w:sz w:val="13"/>
                <w:szCs w:val="13"/>
                <w:color w:val="auto"/>
              </w:rPr>
              <w:t>640,025</w:t>
            </w:r>
          </w:p>
        </w:tc>
        <w:tc>
          <w:tcPr>
            <w:tcW w:w="700" w:type="dxa"/>
            <w:vAlign w:val="bottom"/>
            <w:vMerge w:val="restart"/>
          </w:tcPr>
          <w:p>
            <w:pPr>
              <w:ind w:left="380"/>
              <w:spacing w:after="0"/>
              <w:rPr>
                <w:sz w:val="20"/>
                <w:szCs w:val="20"/>
                <w:color w:val="auto"/>
              </w:rPr>
            </w:pPr>
            <w:r>
              <w:rPr>
                <w:rFonts w:ascii="Arial" w:cs="Arial" w:eastAsia="Arial" w:hAnsi="Arial"/>
                <w:sz w:val="13"/>
                <w:szCs w:val="13"/>
                <w:color w:val="auto"/>
              </w:rPr>
              <w:t>—</w:t>
            </w:r>
          </w:p>
        </w:tc>
        <w:tc>
          <w:tcPr>
            <w:tcW w:w="920" w:type="dxa"/>
            <w:vAlign w:val="bottom"/>
            <w:vMerge w:val="restart"/>
          </w:tcPr>
          <w:p>
            <w:pPr>
              <w:jc w:val="right"/>
              <w:ind w:right="137"/>
              <w:spacing w:after="0"/>
              <w:rPr>
                <w:sz w:val="20"/>
                <w:szCs w:val="20"/>
                <w:color w:val="auto"/>
              </w:rPr>
            </w:pPr>
            <w:r>
              <w:rPr>
                <w:rFonts w:ascii="Arial" w:cs="Arial" w:eastAsia="Arial" w:hAnsi="Arial"/>
                <w:sz w:val="13"/>
                <w:szCs w:val="13"/>
                <w:color w:val="auto"/>
              </w:rPr>
              <w:t>1,049,996</w:t>
            </w:r>
          </w:p>
        </w:tc>
        <w:tc>
          <w:tcPr>
            <w:tcW w:w="960" w:type="dxa"/>
            <w:vAlign w:val="bottom"/>
            <w:vMerge w:val="restart"/>
          </w:tcPr>
          <w:p>
            <w:pPr>
              <w:jc w:val="right"/>
              <w:ind w:right="177"/>
              <w:spacing w:after="0"/>
              <w:rPr>
                <w:sz w:val="20"/>
                <w:szCs w:val="20"/>
                <w:color w:val="auto"/>
              </w:rPr>
            </w:pPr>
            <w:r>
              <w:rPr>
                <w:rFonts w:ascii="Arial" w:cs="Arial" w:eastAsia="Arial" w:hAnsi="Arial"/>
                <w:sz w:val="13"/>
                <w:szCs w:val="13"/>
                <w:color w:val="auto"/>
              </w:rPr>
              <w:t>349,987</w:t>
            </w:r>
          </w:p>
        </w:tc>
        <w:tc>
          <w:tcPr>
            <w:tcW w:w="1300" w:type="dxa"/>
            <w:vAlign w:val="bottom"/>
            <w:vMerge w:val="restart"/>
          </w:tcPr>
          <w:p>
            <w:pPr>
              <w:jc w:val="right"/>
              <w:ind w:right="198"/>
              <w:spacing w:after="0"/>
              <w:rPr>
                <w:sz w:val="20"/>
                <w:szCs w:val="20"/>
                <w:color w:val="auto"/>
              </w:rPr>
            </w:pPr>
            <w:r>
              <w:rPr>
                <w:rFonts w:ascii="Arial" w:cs="Arial" w:eastAsia="Arial" w:hAnsi="Arial"/>
                <w:sz w:val="13"/>
                <w:szCs w:val="13"/>
                <w:color w:val="auto"/>
              </w:rPr>
              <w:t>285,133</w:t>
            </w:r>
          </w:p>
        </w:tc>
        <w:tc>
          <w:tcPr>
            <w:tcW w:w="1280" w:type="dxa"/>
            <w:vAlign w:val="bottom"/>
            <w:vMerge w:val="restart"/>
          </w:tcPr>
          <w:p>
            <w:pPr>
              <w:jc w:val="right"/>
              <w:ind w:right="177"/>
              <w:spacing w:after="0"/>
              <w:rPr>
                <w:sz w:val="20"/>
                <w:szCs w:val="20"/>
                <w:color w:val="auto"/>
              </w:rPr>
            </w:pPr>
            <w:r>
              <w:rPr>
                <w:rFonts w:ascii="Arial" w:cs="Arial" w:eastAsia="Arial" w:hAnsi="Arial"/>
                <w:sz w:val="13"/>
                <w:szCs w:val="13"/>
                <w:color w:val="auto"/>
              </w:rPr>
              <w:t>—</w:t>
            </w:r>
          </w:p>
        </w:tc>
        <w:tc>
          <w:tcPr>
            <w:tcW w:w="1280" w:type="dxa"/>
            <w:vAlign w:val="bottom"/>
            <w:vMerge w:val="restart"/>
          </w:tcPr>
          <w:p>
            <w:pPr>
              <w:jc w:val="right"/>
              <w:ind w:right="197"/>
              <w:spacing w:after="0"/>
              <w:rPr>
                <w:sz w:val="20"/>
                <w:szCs w:val="20"/>
                <w:color w:val="auto"/>
              </w:rPr>
            </w:pPr>
            <w:r>
              <w:rPr>
                <w:rFonts w:ascii="Arial" w:cs="Arial" w:eastAsia="Arial" w:hAnsi="Arial"/>
                <w:sz w:val="13"/>
                <w:szCs w:val="13"/>
                <w:color w:val="auto"/>
              </w:rPr>
              <w:t>36,250</w:t>
            </w:r>
          </w:p>
        </w:tc>
        <w:tc>
          <w:tcPr>
            <w:tcW w:w="1080" w:type="dxa"/>
            <w:vAlign w:val="bottom"/>
            <w:vMerge w:val="restart"/>
          </w:tcPr>
          <w:p>
            <w:pPr>
              <w:jc w:val="right"/>
              <w:spacing w:after="0"/>
              <w:rPr>
                <w:sz w:val="20"/>
                <w:szCs w:val="20"/>
                <w:color w:val="auto"/>
              </w:rPr>
            </w:pPr>
            <w:r>
              <w:rPr>
                <w:rFonts w:ascii="Arial" w:cs="Arial" w:eastAsia="Arial" w:hAnsi="Arial"/>
                <w:sz w:val="13"/>
                <w:szCs w:val="13"/>
                <w:color w:val="auto"/>
              </w:rPr>
              <w:t>2,361,391</w:t>
            </w:r>
          </w:p>
        </w:tc>
        <w:tc>
          <w:tcPr>
            <w:tcW w:w="0" w:type="dxa"/>
            <w:vAlign w:val="bottom"/>
          </w:tcPr>
          <w:p>
            <w:pPr>
              <w:spacing w:after="0"/>
              <w:rPr>
                <w:sz w:val="1"/>
                <w:szCs w:val="1"/>
                <w:color w:val="auto"/>
              </w:rPr>
            </w:pPr>
          </w:p>
        </w:tc>
      </w:tr>
      <w:tr>
        <w:trPr>
          <w:trHeight w:val="81"/>
        </w:trPr>
        <w:tc>
          <w:tcPr>
            <w:tcW w:w="208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98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920" w:type="dxa"/>
            <w:vAlign w:val="bottom"/>
            <w:vMerge w:val="continue"/>
          </w:tcPr>
          <w:p>
            <w:pPr>
              <w:spacing w:after="0"/>
              <w:rPr>
                <w:sz w:val="7"/>
                <w:szCs w:val="7"/>
                <w:color w:val="auto"/>
              </w:rPr>
            </w:pPr>
          </w:p>
        </w:tc>
        <w:tc>
          <w:tcPr>
            <w:tcW w:w="960" w:type="dxa"/>
            <w:vAlign w:val="bottom"/>
            <w:vMerge w:val="continue"/>
          </w:tcPr>
          <w:p>
            <w:pPr>
              <w:spacing w:after="0"/>
              <w:rPr>
                <w:sz w:val="7"/>
                <w:szCs w:val="7"/>
                <w:color w:val="auto"/>
              </w:rPr>
            </w:pPr>
          </w:p>
        </w:tc>
        <w:tc>
          <w:tcPr>
            <w:tcW w:w="1300" w:type="dxa"/>
            <w:vAlign w:val="bottom"/>
            <w:vMerge w:val="continue"/>
          </w:tcPr>
          <w:p>
            <w:pPr>
              <w:spacing w:after="0"/>
              <w:rPr>
                <w:sz w:val="7"/>
                <w:szCs w:val="7"/>
                <w:color w:val="auto"/>
              </w:rPr>
            </w:pPr>
          </w:p>
        </w:tc>
        <w:tc>
          <w:tcPr>
            <w:tcW w:w="1280" w:type="dxa"/>
            <w:vAlign w:val="bottom"/>
            <w:vMerge w:val="continue"/>
          </w:tcPr>
          <w:p>
            <w:pPr>
              <w:spacing w:after="0"/>
              <w:rPr>
                <w:sz w:val="7"/>
                <w:szCs w:val="7"/>
                <w:color w:val="auto"/>
              </w:rPr>
            </w:pPr>
          </w:p>
        </w:tc>
        <w:tc>
          <w:tcPr>
            <w:tcW w:w="1280" w:type="dxa"/>
            <w:vAlign w:val="bottom"/>
            <w:vMerge w:val="continue"/>
          </w:tcPr>
          <w:p>
            <w:pPr>
              <w:spacing w:after="0"/>
              <w:rPr>
                <w:sz w:val="7"/>
                <w:szCs w:val="7"/>
                <w:color w:val="auto"/>
              </w:rPr>
            </w:pPr>
          </w:p>
        </w:tc>
        <w:tc>
          <w:tcPr>
            <w:tcW w:w="1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2"/>
        </w:trPr>
        <w:tc>
          <w:tcPr>
            <w:tcW w:w="2080" w:type="dxa"/>
            <w:vAlign w:val="bottom"/>
            <w:tcBorders>
              <w:bottom w:val="single" w:sz="8" w:color="BCBEC0"/>
            </w:tcBorders>
          </w:tcPr>
          <w:p>
            <w:pPr>
              <w:spacing w:after="0"/>
              <w:rPr>
                <w:sz w:val="10"/>
                <w:szCs w:val="10"/>
                <w:color w:val="auto"/>
              </w:rPr>
            </w:pPr>
          </w:p>
        </w:tc>
        <w:tc>
          <w:tcPr>
            <w:tcW w:w="660" w:type="dxa"/>
            <w:vAlign w:val="bottom"/>
            <w:tcBorders>
              <w:bottom w:val="single" w:sz="8" w:color="BCBEC0"/>
            </w:tcBorders>
          </w:tcPr>
          <w:p>
            <w:pPr>
              <w:spacing w:after="0"/>
              <w:rPr>
                <w:sz w:val="10"/>
                <w:szCs w:val="10"/>
                <w:color w:val="auto"/>
              </w:rPr>
            </w:pPr>
          </w:p>
        </w:tc>
        <w:tc>
          <w:tcPr>
            <w:tcW w:w="980" w:type="dxa"/>
            <w:vAlign w:val="bottom"/>
            <w:tcBorders>
              <w:bottom w:val="single" w:sz="8" w:color="BCBEC0"/>
            </w:tcBorders>
          </w:tcPr>
          <w:p>
            <w:pPr>
              <w:spacing w:after="0"/>
              <w:rPr>
                <w:sz w:val="10"/>
                <w:szCs w:val="10"/>
                <w:color w:val="auto"/>
              </w:rPr>
            </w:pPr>
          </w:p>
        </w:tc>
        <w:tc>
          <w:tcPr>
            <w:tcW w:w="700" w:type="dxa"/>
            <w:vAlign w:val="bottom"/>
            <w:tcBorders>
              <w:bottom w:val="single" w:sz="8" w:color="BCBEC0"/>
            </w:tcBorders>
          </w:tcPr>
          <w:p>
            <w:pPr>
              <w:spacing w:after="0"/>
              <w:rPr>
                <w:sz w:val="10"/>
                <w:szCs w:val="10"/>
                <w:color w:val="auto"/>
              </w:rPr>
            </w:pPr>
          </w:p>
        </w:tc>
        <w:tc>
          <w:tcPr>
            <w:tcW w:w="920" w:type="dxa"/>
            <w:vAlign w:val="bottom"/>
            <w:tcBorders>
              <w:bottom w:val="single" w:sz="8" w:color="BCBEC0"/>
            </w:tcBorders>
          </w:tcPr>
          <w:p>
            <w:pPr>
              <w:spacing w:after="0"/>
              <w:rPr>
                <w:sz w:val="10"/>
                <w:szCs w:val="10"/>
                <w:color w:val="auto"/>
              </w:rPr>
            </w:pPr>
          </w:p>
        </w:tc>
        <w:tc>
          <w:tcPr>
            <w:tcW w:w="960" w:type="dxa"/>
            <w:vAlign w:val="bottom"/>
            <w:tcBorders>
              <w:bottom w:val="single" w:sz="8" w:color="BCBEC0"/>
            </w:tcBorders>
          </w:tcPr>
          <w:p>
            <w:pPr>
              <w:spacing w:after="0"/>
              <w:rPr>
                <w:sz w:val="10"/>
                <w:szCs w:val="10"/>
                <w:color w:val="auto"/>
              </w:rPr>
            </w:pPr>
          </w:p>
        </w:tc>
        <w:tc>
          <w:tcPr>
            <w:tcW w:w="1300" w:type="dxa"/>
            <w:vAlign w:val="bottom"/>
            <w:tcBorders>
              <w:bottom w:val="single" w:sz="8" w:color="BCBEC0"/>
            </w:tcBorders>
          </w:tcPr>
          <w:p>
            <w:pPr>
              <w:spacing w:after="0"/>
              <w:rPr>
                <w:sz w:val="10"/>
                <w:szCs w:val="10"/>
                <w:color w:val="auto"/>
              </w:rPr>
            </w:pPr>
          </w:p>
        </w:tc>
        <w:tc>
          <w:tcPr>
            <w:tcW w:w="1280" w:type="dxa"/>
            <w:vAlign w:val="bottom"/>
            <w:tcBorders>
              <w:bottom w:val="single" w:sz="8" w:color="BCBEC0"/>
            </w:tcBorders>
          </w:tcPr>
          <w:p>
            <w:pPr>
              <w:spacing w:after="0"/>
              <w:rPr>
                <w:sz w:val="10"/>
                <w:szCs w:val="10"/>
                <w:color w:val="auto"/>
              </w:rPr>
            </w:pPr>
          </w:p>
        </w:tc>
        <w:tc>
          <w:tcPr>
            <w:tcW w:w="1280" w:type="dxa"/>
            <w:vAlign w:val="bottom"/>
            <w:tcBorders>
              <w:bottom w:val="single" w:sz="8" w:color="BCBEC0"/>
            </w:tcBorders>
          </w:tcPr>
          <w:p>
            <w:pPr>
              <w:spacing w:after="0"/>
              <w:rPr>
                <w:sz w:val="10"/>
                <w:szCs w:val="10"/>
                <w:color w:val="auto"/>
              </w:rPr>
            </w:pPr>
          </w:p>
        </w:tc>
        <w:tc>
          <w:tcPr>
            <w:tcW w:w="1080" w:type="dxa"/>
            <w:vAlign w:val="bottom"/>
            <w:tcBorders>
              <w:bottom w:val="single" w:sz="8" w:color="BCBEC0"/>
            </w:tcBorders>
          </w:tcPr>
          <w:p>
            <w:pPr>
              <w:spacing w:after="0"/>
              <w:rPr>
                <w:sz w:val="10"/>
                <w:szCs w:val="10"/>
                <w:color w:val="auto"/>
              </w:rPr>
            </w:pPr>
          </w:p>
        </w:tc>
        <w:tc>
          <w:tcPr>
            <w:tcW w:w="0" w:type="dxa"/>
            <w:vAlign w:val="bottom"/>
          </w:tcPr>
          <w:p>
            <w:pPr>
              <w:spacing w:after="0"/>
              <w:rPr>
                <w:sz w:val="1"/>
                <w:szCs w:val="1"/>
                <w:color w:val="auto"/>
              </w:rPr>
            </w:pPr>
          </w:p>
        </w:tc>
      </w:tr>
      <w:tr>
        <w:trPr>
          <w:trHeight w:val="174"/>
        </w:trPr>
        <w:tc>
          <w:tcPr>
            <w:tcW w:w="2080" w:type="dxa"/>
            <w:vAlign w:val="bottom"/>
          </w:tcPr>
          <w:p>
            <w:pPr>
              <w:ind w:left="20"/>
              <w:spacing w:after="0"/>
              <w:rPr>
                <w:sz w:val="20"/>
                <w:szCs w:val="20"/>
                <w:color w:val="auto"/>
              </w:rPr>
            </w:pPr>
            <w:r>
              <w:rPr>
                <w:rFonts w:ascii="Arial" w:cs="Arial" w:eastAsia="Arial" w:hAnsi="Arial"/>
                <w:sz w:val="13"/>
                <w:szCs w:val="13"/>
                <w:b w:val="1"/>
                <w:bCs w:val="1"/>
                <w:color w:val="0C3471"/>
              </w:rPr>
              <w:t>De'Mon L. Wiggins</w:t>
            </w:r>
          </w:p>
        </w:tc>
        <w:tc>
          <w:tcPr>
            <w:tcW w:w="660" w:type="dxa"/>
            <w:vAlign w:val="bottom"/>
          </w:tcPr>
          <w:p>
            <w:pPr>
              <w:jc w:val="center"/>
              <w:spacing w:after="0"/>
              <w:rPr>
                <w:sz w:val="20"/>
                <w:szCs w:val="20"/>
                <w:color w:val="auto"/>
              </w:rPr>
            </w:pPr>
            <w:r>
              <w:rPr>
                <w:rFonts w:ascii="Arial" w:cs="Arial" w:eastAsia="Arial" w:hAnsi="Arial"/>
                <w:sz w:val="13"/>
                <w:szCs w:val="13"/>
                <w:color w:val="auto"/>
                <w:w w:val="96"/>
              </w:rPr>
              <w:t>2025</w:t>
            </w:r>
          </w:p>
        </w:tc>
        <w:tc>
          <w:tcPr>
            <w:tcW w:w="980" w:type="dxa"/>
            <w:vAlign w:val="bottom"/>
          </w:tcPr>
          <w:p>
            <w:pPr>
              <w:jc w:val="right"/>
              <w:ind w:right="137"/>
              <w:spacing w:after="0"/>
              <w:rPr>
                <w:sz w:val="20"/>
                <w:szCs w:val="20"/>
                <w:color w:val="auto"/>
              </w:rPr>
            </w:pPr>
            <w:r>
              <w:rPr>
                <w:rFonts w:ascii="Arial" w:cs="Arial" w:eastAsia="Arial" w:hAnsi="Arial"/>
                <w:sz w:val="13"/>
                <w:szCs w:val="13"/>
                <w:color w:val="auto"/>
              </w:rPr>
              <w:t>600,023</w:t>
            </w:r>
          </w:p>
        </w:tc>
        <w:tc>
          <w:tcPr>
            <w:tcW w:w="700" w:type="dxa"/>
            <w:vAlign w:val="bottom"/>
          </w:tcPr>
          <w:p>
            <w:pPr>
              <w:ind w:left="380"/>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137"/>
              <w:spacing w:after="0"/>
              <w:rPr>
                <w:sz w:val="20"/>
                <w:szCs w:val="20"/>
                <w:color w:val="auto"/>
              </w:rPr>
            </w:pPr>
            <w:r>
              <w:rPr>
                <w:rFonts w:ascii="Arial" w:cs="Arial" w:eastAsia="Arial" w:hAnsi="Arial"/>
                <w:sz w:val="13"/>
                <w:szCs w:val="13"/>
                <w:color w:val="auto"/>
              </w:rPr>
              <w:t>1,012,534</w:t>
            </w:r>
          </w:p>
        </w:tc>
        <w:tc>
          <w:tcPr>
            <w:tcW w:w="960" w:type="dxa"/>
            <w:vAlign w:val="bottom"/>
          </w:tcPr>
          <w:p>
            <w:pPr>
              <w:jc w:val="right"/>
              <w:ind w:right="177"/>
              <w:spacing w:after="0"/>
              <w:rPr>
                <w:sz w:val="20"/>
                <w:szCs w:val="20"/>
                <w:color w:val="auto"/>
              </w:rPr>
            </w:pPr>
            <w:r>
              <w:rPr>
                <w:rFonts w:ascii="Arial" w:cs="Arial" w:eastAsia="Arial" w:hAnsi="Arial"/>
                <w:sz w:val="13"/>
                <w:szCs w:val="13"/>
                <w:color w:val="auto"/>
              </w:rPr>
              <w:t>337,492</w:t>
            </w:r>
          </w:p>
        </w:tc>
        <w:tc>
          <w:tcPr>
            <w:tcW w:w="1300" w:type="dxa"/>
            <w:vAlign w:val="bottom"/>
          </w:tcPr>
          <w:p>
            <w:pPr>
              <w:jc w:val="right"/>
              <w:ind w:right="198"/>
              <w:spacing w:after="0"/>
              <w:rPr>
                <w:sz w:val="20"/>
                <w:szCs w:val="20"/>
                <w:color w:val="auto"/>
              </w:rPr>
            </w:pPr>
            <w:r>
              <w:rPr>
                <w:rFonts w:ascii="Arial" w:cs="Arial" w:eastAsia="Arial" w:hAnsi="Arial"/>
                <w:sz w:val="13"/>
                <w:szCs w:val="13"/>
                <w:color w:val="auto"/>
              </w:rPr>
              <w:t>645,120</w:t>
            </w:r>
          </w:p>
        </w:tc>
        <w:tc>
          <w:tcPr>
            <w:tcW w:w="1280" w:type="dxa"/>
            <w:vAlign w:val="bottom"/>
          </w:tcPr>
          <w:p>
            <w:pPr>
              <w:jc w:val="right"/>
              <w:ind w:right="177"/>
              <w:spacing w:after="0"/>
              <w:rPr>
                <w:sz w:val="20"/>
                <w:szCs w:val="20"/>
                <w:color w:val="auto"/>
              </w:rPr>
            </w:pPr>
            <w:r>
              <w:rPr>
                <w:rFonts w:ascii="Arial" w:cs="Arial" w:eastAsia="Arial" w:hAnsi="Arial"/>
                <w:sz w:val="13"/>
                <w:szCs w:val="13"/>
                <w:color w:val="auto"/>
              </w:rPr>
              <w:t>—</w:t>
            </w:r>
          </w:p>
        </w:tc>
        <w:tc>
          <w:tcPr>
            <w:tcW w:w="1280" w:type="dxa"/>
            <w:vAlign w:val="bottom"/>
          </w:tcPr>
          <w:p>
            <w:pPr>
              <w:jc w:val="right"/>
              <w:ind w:right="197"/>
              <w:spacing w:after="0"/>
              <w:rPr>
                <w:sz w:val="20"/>
                <w:szCs w:val="20"/>
                <w:color w:val="auto"/>
              </w:rPr>
            </w:pPr>
            <w:r>
              <w:rPr>
                <w:rFonts w:ascii="Arial" w:cs="Arial" w:eastAsia="Arial" w:hAnsi="Arial"/>
                <w:sz w:val="13"/>
                <w:szCs w:val="13"/>
                <w:color w:val="auto"/>
              </w:rPr>
              <w:t>37,296</w:t>
            </w:r>
          </w:p>
        </w:tc>
        <w:tc>
          <w:tcPr>
            <w:tcW w:w="1080" w:type="dxa"/>
            <w:vAlign w:val="bottom"/>
          </w:tcPr>
          <w:p>
            <w:pPr>
              <w:jc w:val="right"/>
              <w:spacing w:after="0"/>
              <w:rPr>
                <w:sz w:val="20"/>
                <w:szCs w:val="20"/>
                <w:color w:val="auto"/>
              </w:rPr>
            </w:pPr>
            <w:r>
              <w:rPr>
                <w:rFonts w:ascii="Arial" w:cs="Arial" w:eastAsia="Arial" w:hAnsi="Arial"/>
                <w:sz w:val="13"/>
                <w:szCs w:val="13"/>
                <w:color w:val="auto"/>
              </w:rPr>
              <w:t>2,632,465</w:t>
            </w:r>
          </w:p>
        </w:tc>
        <w:tc>
          <w:tcPr>
            <w:tcW w:w="0" w:type="dxa"/>
            <w:vAlign w:val="bottom"/>
          </w:tcPr>
          <w:p>
            <w:pPr>
              <w:spacing w:after="0"/>
              <w:rPr>
                <w:sz w:val="1"/>
                <w:szCs w:val="1"/>
                <w:color w:val="auto"/>
              </w:rPr>
            </w:pPr>
          </w:p>
        </w:tc>
      </w:tr>
      <w:tr>
        <w:trPr>
          <w:trHeight w:val="22"/>
        </w:trPr>
        <w:tc>
          <w:tcPr>
            <w:tcW w:w="2080" w:type="dxa"/>
            <w:vAlign w:val="bottom"/>
            <w:vMerge w:val="restart"/>
          </w:tcPr>
          <w:p>
            <w:pPr>
              <w:ind w:left="20"/>
              <w:spacing w:after="0"/>
              <w:rPr>
                <w:sz w:val="20"/>
                <w:szCs w:val="20"/>
                <w:color w:val="auto"/>
              </w:rPr>
            </w:pPr>
            <w:r>
              <w:rPr>
                <w:rFonts w:ascii="Arial" w:cs="Arial" w:eastAsia="Arial" w:hAnsi="Arial"/>
                <w:sz w:val="13"/>
                <w:szCs w:val="13"/>
                <w:color w:val="auto"/>
              </w:rPr>
              <w:t>Executive Vice President and</w:t>
            </w:r>
          </w:p>
        </w:tc>
        <w:tc>
          <w:tcPr>
            <w:tcW w:w="660" w:type="dxa"/>
            <w:vAlign w:val="bottom"/>
            <w:tcBorders>
              <w:bottom w:val="single" w:sz="8" w:color="BCBEC0"/>
            </w:tcBorders>
          </w:tcPr>
          <w:p>
            <w:pPr>
              <w:spacing w:after="0" w:line="20" w:lineRule="exact"/>
              <w:rPr>
                <w:sz w:val="1"/>
                <w:szCs w:val="1"/>
                <w:color w:val="auto"/>
              </w:rPr>
            </w:pPr>
          </w:p>
        </w:tc>
        <w:tc>
          <w:tcPr>
            <w:tcW w:w="980" w:type="dxa"/>
            <w:vAlign w:val="bottom"/>
            <w:tcBorders>
              <w:bottom w:val="single" w:sz="8" w:color="BCBEC0"/>
            </w:tcBorders>
          </w:tcPr>
          <w:p>
            <w:pPr>
              <w:spacing w:after="0" w:line="20" w:lineRule="exact"/>
              <w:rPr>
                <w:sz w:val="1"/>
                <w:szCs w:val="1"/>
                <w:color w:val="auto"/>
              </w:rPr>
            </w:pPr>
          </w:p>
        </w:tc>
        <w:tc>
          <w:tcPr>
            <w:tcW w:w="700" w:type="dxa"/>
            <w:vAlign w:val="bottom"/>
            <w:tcBorders>
              <w:bottom w:val="single" w:sz="8" w:color="BCBEC0"/>
            </w:tcBorders>
          </w:tcPr>
          <w:p>
            <w:pPr>
              <w:spacing w:after="0" w:line="20" w:lineRule="exact"/>
              <w:rPr>
                <w:sz w:val="1"/>
                <w:szCs w:val="1"/>
                <w:color w:val="auto"/>
              </w:rPr>
            </w:pPr>
          </w:p>
        </w:tc>
        <w:tc>
          <w:tcPr>
            <w:tcW w:w="920" w:type="dxa"/>
            <w:vAlign w:val="bottom"/>
            <w:tcBorders>
              <w:bottom w:val="single" w:sz="8" w:color="BCBEC0"/>
            </w:tcBorders>
          </w:tcPr>
          <w:p>
            <w:pPr>
              <w:spacing w:after="0" w:line="20" w:lineRule="exact"/>
              <w:rPr>
                <w:sz w:val="1"/>
                <w:szCs w:val="1"/>
                <w:color w:val="auto"/>
              </w:rPr>
            </w:pPr>
          </w:p>
        </w:tc>
        <w:tc>
          <w:tcPr>
            <w:tcW w:w="960" w:type="dxa"/>
            <w:vAlign w:val="bottom"/>
            <w:tcBorders>
              <w:bottom w:val="single" w:sz="8" w:color="BCBEC0"/>
            </w:tcBorders>
          </w:tcPr>
          <w:p>
            <w:pPr>
              <w:spacing w:after="0" w:line="20" w:lineRule="exact"/>
              <w:rPr>
                <w:sz w:val="1"/>
                <w:szCs w:val="1"/>
                <w:color w:val="auto"/>
              </w:rPr>
            </w:pPr>
          </w:p>
        </w:tc>
        <w:tc>
          <w:tcPr>
            <w:tcW w:w="1300" w:type="dxa"/>
            <w:vAlign w:val="bottom"/>
            <w:tcBorders>
              <w:bottom w:val="single" w:sz="8" w:color="BCBEC0"/>
            </w:tcBorders>
          </w:tcPr>
          <w:p>
            <w:pPr>
              <w:spacing w:after="0" w:line="20" w:lineRule="exact"/>
              <w:rPr>
                <w:sz w:val="1"/>
                <w:szCs w:val="1"/>
                <w:color w:val="auto"/>
              </w:rPr>
            </w:pPr>
          </w:p>
        </w:tc>
        <w:tc>
          <w:tcPr>
            <w:tcW w:w="1280" w:type="dxa"/>
            <w:vAlign w:val="bottom"/>
            <w:tcBorders>
              <w:bottom w:val="single" w:sz="8" w:color="BCBEC0"/>
            </w:tcBorders>
          </w:tcPr>
          <w:p>
            <w:pPr>
              <w:spacing w:after="0" w:line="20" w:lineRule="exact"/>
              <w:rPr>
                <w:sz w:val="1"/>
                <w:szCs w:val="1"/>
                <w:color w:val="auto"/>
              </w:rPr>
            </w:pPr>
          </w:p>
        </w:tc>
        <w:tc>
          <w:tcPr>
            <w:tcW w:w="1280" w:type="dxa"/>
            <w:vAlign w:val="bottom"/>
            <w:tcBorders>
              <w:bottom w:val="single" w:sz="8" w:color="BCBEC0"/>
            </w:tcBorders>
          </w:tcPr>
          <w:p>
            <w:pPr>
              <w:spacing w:after="0" w:line="20" w:lineRule="exact"/>
              <w:rPr>
                <w:sz w:val="1"/>
                <w:szCs w:val="1"/>
                <w:color w:val="auto"/>
              </w:rPr>
            </w:pPr>
          </w:p>
        </w:tc>
        <w:tc>
          <w:tcPr>
            <w:tcW w:w="1080" w:type="dxa"/>
            <w:vAlign w:val="bottom"/>
            <w:tcBorders>
              <w:bottom w:val="single" w:sz="8" w:color="BCBEC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8"/>
        </w:trPr>
        <w:tc>
          <w:tcPr>
            <w:tcW w:w="2080" w:type="dxa"/>
            <w:vAlign w:val="bottom"/>
            <w:vMerge w:val="continue"/>
          </w:tcPr>
          <w:p>
            <w:pPr>
              <w:spacing w:after="0"/>
              <w:rPr>
                <w:sz w:val="11"/>
                <w:szCs w:val="11"/>
                <w:color w:val="auto"/>
              </w:rPr>
            </w:pPr>
          </w:p>
        </w:tc>
        <w:tc>
          <w:tcPr>
            <w:tcW w:w="660" w:type="dxa"/>
            <w:vAlign w:val="bottom"/>
          </w:tcPr>
          <w:p>
            <w:pPr>
              <w:jc w:val="center"/>
              <w:spacing w:after="0" w:line="138" w:lineRule="exact"/>
              <w:rPr>
                <w:sz w:val="20"/>
                <w:szCs w:val="20"/>
                <w:color w:val="auto"/>
              </w:rPr>
            </w:pPr>
            <w:r>
              <w:rPr>
                <w:rFonts w:ascii="Arial" w:cs="Arial" w:eastAsia="Arial" w:hAnsi="Arial"/>
                <w:sz w:val="13"/>
                <w:szCs w:val="13"/>
                <w:color w:val="auto"/>
                <w:w w:val="96"/>
              </w:rPr>
              <w:t>2024</w:t>
            </w:r>
          </w:p>
        </w:tc>
        <w:tc>
          <w:tcPr>
            <w:tcW w:w="980" w:type="dxa"/>
            <w:vAlign w:val="bottom"/>
          </w:tcPr>
          <w:p>
            <w:pPr>
              <w:jc w:val="right"/>
              <w:ind w:right="137"/>
              <w:spacing w:after="0" w:line="138" w:lineRule="exact"/>
              <w:rPr>
                <w:sz w:val="20"/>
                <w:szCs w:val="20"/>
                <w:color w:val="auto"/>
              </w:rPr>
            </w:pPr>
            <w:r>
              <w:rPr>
                <w:rFonts w:ascii="Arial" w:cs="Arial" w:eastAsia="Arial" w:hAnsi="Arial"/>
                <w:sz w:val="13"/>
                <w:szCs w:val="13"/>
                <w:color w:val="auto"/>
              </w:rPr>
              <w:t>550,021</w:t>
            </w:r>
          </w:p>
        </w:tc>
        <w:tc>
          <w:tcPr>
            <w:tcW w:w="700" w:type="dxa"/>
            <w:vAlign w:val="bottom"/>
          </w:tcPr>
          <w:p>
            <w:pPr>
              <w:ind w:left="380"/>
              <w:spacing w:after="0" w:line="138" w:lineRule="exact"/>
              <w:rPr>
                <w:sz w:val="20"/>
                <w:szCs w:val="20"/>
                <w:color w:val="auto"/>
              </w:rPr>
            </w:pPr>
            <w:r>
              <w:rPr>
                <w:rFonts w:ascii="Arial" w:cs="Arial" w:eastAsia="Arial" w:hAnsi="Arial"/>
                <w:sz w:val="13"/>
                <w:szCs w:val="13"/>
                <w:color w:val="auto"/>
              </w:rPr>
              <w:t>—</w:t>
            </w:r>
          </w:p>
        </w:tc>
        <w:tc>
          <w:tcPr>
            <w:tcW w:w="920" w:type="dxa"/>
            <w:vAlign w:val="bottom"/>
          </w:tcPr>
          <w:p>
            <w:pPr>
              <w:jc w:val="right"/>
              <w:ind w:right="137"/>
              <w:spacing w:after="0" w:line="138" w:lineRule="exact"/>
              <w:rPr>
                <w:sz w:val="20"/>
                <w:szCs w:val="20"/>
                <w:color w:val="auto"/>
              </w:rPr>
            </w:pPr>
            <w:r>
              <w:rPr>
                <w:rFonts w:ascii="Arial" w:cs="Arial" w:eastAsia="Arial" w:hAnsi="Arial"/>
                <w:sz w:val="13"/>
                <w:szCs w:val="13"/>
                <w:color w:val="auto"/>
              </w:rPr>
              <w:t>899,975</w:t>
            </w:r>
          </w:p>
        </w:tc>
        <w:tc>
          <w:tcPr>
            <w:tcW w:w="960" w:type="dxa"/>
            <w:vAlign w:val="bottom"/>
          </w:tcPr>
          <w:p>
            <w:pPr>
              <w:jc w:val="right"/>
              <w:ind w:right="177"/>
              <w:spacing w:after="0" w:line="138" w:lineRule="exact"/>
              <w:rPr>
                <w:sz w:val="20"/>
                <w:szCs w:val="20"/>
                <w:color w:val="auto"/>
              </w:rPr>
            </w:pPr>
            <w:r>
              <w:rPr>
                <w:rFonts w:ascii="Arial" w:cs="Arial" w:eastAsia="Arial" w:hAnsi="Arial"/>
                <w:sz w:val="13"/>
                <w:szCs w:val="13"/>
                <w:color w:val="auto"/>
              </w:rPr>
              <w:t>299,996</w:t>
            </w:r>
          </w:p>
        </w:tc>
        <w:tc>
          <w:tcPr>
            <w:tcW w:w="1300" w:type="dxa"/>
            <w:vAlign w:val="bottom"/>
          </w:tcPr>
          <w:p>
            <w:pPr>
              <w:jc w:val="right"/>
              <w:ind w:right="198"/>
              <w:spacing w:after="0" w:line="138" w:lineRule="exact"/>
              <w:rPr>
                <w:sz w:val="20"/>
                <w:szCs w:val="20"/>
                <w:color w:val="auto"/>
              </w:rPr>
            </w:pPr>
            <w:r>
              <w:rPr>
                <w:rFonts w:ascii="Arial" w:cs="Arial" w:eastAsia="Arial" w:hAnsi="Arial"/>
                <w:sz w:val="13"/>
                <w:szCs w:val="13"/>
                <w:color w:val="auto"/>
              </w:rPr>
              <w:t>626,384</w:t>
            </w:r>
          </w:p>
        </w:tc>
        <w:tc>
          <w:tcPr>
            <w:tcW w:w="1280" w:type="dxa"/>
            <w:vAlign w:val="bottom"/>
          </w:tcPr>
          <w:p>
            <w:pPr>
              <w:jc w:val="right"/>
              <w:ind w:right="177"/>
              <w:spacing w:after="0" w:line="138" w:lineRule="exact"/>
              <w:rPr>
                <w:sz w:val="20"/>
                <w:szCs w:val="20"/>
                <w:color w:val="auto"/>
              </w:rPr>
            </w:pPr>
            <w:r>
              <w:rPr>
                <w:rFonts w:ascii="Arial" w:cs="Arial" w:eastAsia="Arial" w:hAnsi="Arial"/>
                <w:sz w:val="13"/>
                <w:szCs w:val="13"/>
                <w:color w:val="auto"/>
              </w:rPr>
              <w:t>—</w:t>
            </w:r>
          </w:p>
        </w:tc>
        <w:tc>
          <w:tcPr>
            <w:tcW w:w="1280" w:type="dxa"/>
            <w:vAlign w:val="bottom"/>
          </w:tcPr>
          <w:p>
            <w:pPr>
              <w:jc w:val="right"/>
              <w:ind w:right="197"/>
              <w:spacing w:after="0" w:line="138" w:lineRule="exact"/>
              <w:rPr>
                <w:sz w:val="20"/>
                <w:szCs w:val="20"/>
                <w:color w:val="auto"/>
              </w:rPr>
            </w:pPr>
            <w:r>
              <w:rPr>
                <w:rFonts w:ascii="Arial" w:cs="Arial" w:eastAsia="Arial" w:hAnsi="Arial"/>
                <w:sz w:val="13"/>
                <w:szCs w:val="13"/>
                <w:color w:val="auto"/>
              </w:rPr>
              <w:t>49,650</w:t>
            </w:r>
          </w:p>
        </w:tc>
        <w:tc>
          <w:tcPr>
            <w:tcW w:w="1080" w:type="dxa"/>
            <w:vAlign w:val="bottom"/>
          </w:tcPr>
          <w:p>
            <w:pPr>
              <w:jc w:val="right"/>
              <w:spacing w:after="0" w:line="138" w:lineRule="exact"/>
              <w:rPr>
                <w:sz w:val="20"/>
                <w:szCs w:val="20"/>
                <w:color w:val="auto"/>
              </w:rPr>
            </w:pPr>
            <w:r>
              <w:rPr>
                <w:rFonts w:ascii="Arial" w:cs="Arial" w:eastAsia="Arial" w:hAnsi="Arial"/>
                <w:sz w:val="13"/>
                <w:szCs w:val="13"/>
                <w:color w:val="auto"/>
              </w:rPr>
              <w:t>2,426,026</w:t>
            </w:r>
          </w:p>
        </w:tc>
        <w:tc>
          <w:tcPr>
            <w:tcW w:w="0" w:type="dxa"/>
            <w:vAlign w:val="bottom"/>
          </w:tcPr>
          <w:p>
            <w:pPr>
              <w:spacing w:after="0"/>
              <w:rPr>
                <w:sz w:val="1"/>
                <w:szCs w:val="1"/>
                <w:color w:val="auto"/>
              </w:rPr>
            </w:pPr>
          </w:p>
        </w:tc>
      </w:tr>
      <w:tr>
        <w:trPr>
          <w:trHeight w:val="58"/>
        </w:trPr>
        <w:tc>
          <w:tcPr>
            <w:tcW w:w="2080" w:type="dxa"/>
            <w:vAlign w:val="bottom"/>
            <w:vMerge w:val="restart"/>
          </w:tcPr>
          <w:p>
            <w:pPr>
              <w:ind w:left="20"/>
              <w:spacing w:after="0"/>
              <w:rPr>
                <w:sz w:val="20"/>
                <w:szCs w:val="20"/>
                <w:color w:val="auto"/>
              </w:rPr>
            </w:pPr>
            <w:r>
              <w:rPr>
                <w:rFonts w:ascii="Arial" w:cs="Arial" w:eastAsia="Arial" w:hAnsi="Arial"/>
                <w:sz w:val="13"/>
                <w:szCs w:val="13"/>
                <w:color w:val="auto"/>
              </w:rPr>
              <w:t>President, Flow</w:t>
            </w:r>
          </w:p>
        </w:tc>
        <w:tc>
          <w:tcPr>
            <w:tcW w:w="660" w:type="dxa"/>
            <w:vAlign w:val="bottom"/>
            <w:tcBorders>
              <w:bottom w:val="single" w:sz="8" w:color="BCBEC0"/>
            </w:tcBorders>
          </w:tcPr>
          <w:p>
            <w:pPr>
              <w:spacing w:after="0"/>
              <w:rPr>
                <w:sz w:val="5"/>
                <w:szCs w:val="5"/>
                <w:color w:val="auto"/>
              </w:rPr>
            </w:pPr>
          </w:p>
        </w:tc>
        <w:tc>
          <w:tcPr>
            <w:tcW w:w="980" w:type="dxa"/>
            <w:vAlign w:val="bottom"/>
            <w:tcBorders>
              <w:bottom w:val="single" w:sz="8" w:color="BCBEC0"/>
            </w:tcBorders>
          </w:tcPr>
          <w:p>
            <w:pPr>
              <w:spacing w:after="0"/>
              <w:rPr>
                <w:sz w:val="5"/>
                <w:szCs w:val="5"/>
                <w:color w:val="auto"/>
              </w:rPr>
            </w:pPr>
          </w:p>
        </w:tc>
        <w:tc>
          <w:tcPr>
            <w:tcW w:w="700" w:type="dxa"/>
            <w:vAlign w:val="bottom"/>
            <w:tcBorders>
              <w:bottom w:val="single" w:sz="8" w:color="BCBEC0"/>
            </w:tcBorders>
          </w:tcPr>
          <w:p>
            <w:pPr>
              <w:spacing w:after="0"/>
              <w:rPr>
                <w:sz w:val="5"/>
                <w:szCs w:val="5"/>
                <w:color w:val="auto"/>
              </w:rPr>
            </w:pPr>
          </w:p>
        </w:tc>
        <w:tc>
          <w:tcPr>
            <w:tcW w:w="920" w:type="dxa"/>
            <w:vAlign w:val="bottom"/>
            <w:tcBorders>
              <w:bottom w:val="single" w:sz="8" w:color="BCBEC0"/>
            </w:tcBorders>
          </w:tcPr>
          <w:p>
            <w:pPr>
              <w:spacing w:after="0"/>
              <w:rPr>
                <w:sz w:val="5"/>
                <w:szCs w:val="5"/>
                <w:color w:val="auto"/>
              </w:rPr>
            </w:pPr>
          </w:p>
        </w:tc>
        <w:tc>
          <w:tcPr>
            <w:tcW w:w="960" w:type="dxa"/>
            <w:vAlign w:val="bottom"/>
            <w:tcBorders>
              <w:bottom w:val="single" w:sz="8" w:color="BCBEC0"/>
            </w:tcBorders>
          </w:tcPr>
          <w:p>
            <w:pPr>
              <w:spacing w:after="0"/>
              <w:rPr>
                <w:sz w:val="5"/>
                <w:szCs w:val="5"/>
                <w:color w:val="auto"/>
              </w:rPr>
            </w:pPr>
          </w:p>
        </w:tc>
        <w:tc>
          <w:tcPr>
            <w:tcW w:w="1300" w:type="dxa"/>
            <w:vAlign w:val="bottom"/>
            <w:tcBorders>
              <w:bottom w:val="single" w:sz="8" w:color="BCBEC0"/>
            </w:tcBorders>
          </w:tcPr>
          <w:p>
            <w:pPr>
              <w:spacing w:after="0"/>
              <w:rPr>
                <w:sz w:val="5"/>
                <w:szCs w:val="5"/>
                <w:color w:val="auto"/>
              </w:rPr>
            </w:pPr>
          </w:p>
        </w:tc>
        <w:tc>
          <w:tcPr>
            <w:tcW w:w="1280" w:type="dxa"/>
            <w:vAlign w:val="bottom"/>
            <w:tcBorders>
              <w:bottom w:val="single" w:sz="8" w:color="BCBEC0"/>
            </w:tcBorders>
          </w:tcPr>
          <w:p>
            <w:pPr>
              <w:spacing w:after="0"/>
              <w:rPr>
                <w:sz w:val="5"/>
                <w:szCs w:val="5"/>
                <w:color w:val="auto"/>
              </w:rPr>
            </w:pPr>
          </w:p>
        </w:tc>
        <w:tc>
          <w:tcPr>
            <w:tcW w:w="1280" w:type="dxa"/>
            <w:vAlign w:val="bottom"/>
            <w:tcBorders>
              <w:bottom w:val="single" w:sz="8" w:color="BCBEC0"/>
            </w:tcBorders>
          </w:tcPr>
          <w:p>
            <w:pPr>
              <w:spacing w:after="0"/>
              <w:rPr>
                <w:sz w:val="5"/>
                <w:szCs w:val="5"/>
                <w:color w:val="auto"/>
              </w:rPr>
            </w:pPr>
          </w:p>
        </w:tc>
        <w:tc>
          <w:tcPr>
            <w:tcW w:w="1080" w:type="dxa"/>
            <w:vAlign w:val="bottom"/>
            <w:tcBorders>
              <w:bottom w:val="single" w:sz="8" w:color="BCBEC0"/>
            </w:tcBorders>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2080" w:type="dxa"/>
            <w:vAlign w:val="bottom"/>
            <w:vMerge w:val="continue"/>
          </w:tcPr>
          <w:p>
            <w:pPr>
              <w:spacing w:after="0"/>
              <w:rPr>
                <w:sz w:val="7"/>
                <w:szCs w:val="7"/>
                <w:color w:val="auto"/>
              </w:rPr>
            </w:pPr>
          </w:p>
        </w:tc>
        <w:tc>
          <w:tcPr>
            <w:tcW w:w="660" w:type="dxa"/>
            <w:vAlign w:val="bottom"/>
            <w:vMerge w:val="restart"/>
          </w:tcPr>
          <w:p>
            <w:pPr>
              <w:jc w:val="center"/>
              <w:spacing w:after="0"/>
              <w:rPr>
                <w:sz w:val="20"/>
                <w:szCs w:val="20"/>
                <w:color w:val="auto"/>
              </w:rPr>
            </w:pPr>
            <w:r>
              <w:rPr>
                <w:rFonts w:ascii="Arial" w:cs="Arial" w:eastAsia="Arial" w:hAnsi="Arial"/>
                <w:sz w:val="13"/>
                <w:szCs w:val="13"/>
                <w:color w:val="FFFFFF"/>
                <w:w w:val="96"/>
              </w:rPr>
              <w:t>2023</w:t>
            </w:r>
          </w:p>
        </w:tc>
        <w:tc>
          <w:tcPr>
            <w:tcW w:w="980" w:type="dxa"/>
            <w:vAlign w:val="bottom"/>
            <w:vMerge w:val="restart"/>
          </w:tcPr>
          <w:p>
            <w:pPr>
              <w:jc w:val="right"/>
              <w:ind w:right="137"/>
              <w:spacing w:after="0"/>
              <w:rPr>
                <w:sz w:val="20"/>
                <w:szCs w:val="20"/>
                <w:color w:val="auto"/>
              </w:rPr>
            </w:pPr>
            <w:r>
              <w:rPr>
                <w:rFonts w:ascii="Arial" w:cs="Arial" w:eastAsia="Arial" w:hAnsi="Arial"/>
                <w:sz w:val="13"/>
                <w:szCs w:val="13"/>
                <w:color w:val="FFFFFF"/>
              </w:rPr>
              <w:t>525,020</w:t>
            </w:r>
          </w:p>
        </w:tc>
        <w:tc>
          <w:tcPr>
            <w:tcW w:w="700" w:type="dxa"/>
            <w:vAlign w:val="bottom"/>
            <w:vMerge w:val="restart"/>
          </w:tcPr>
          <w:p>
            <w:pPr>
              <w:ind w:left="380"/>
              <w:spacing w:after="0"/>
              <w:rPr>
                <w:sz w:val="20"/>
                <w:szCs w:val="20"/>
                <w:color w:val="auto"/>
              </w:rPr>
            </w:pPr>
            <w:r>
              <w:rPr>
                <w:rFonts w:ascii="Arial" w:cs="Arial" w:eastAsia="Arial" w:hAnsi="Arial"/>
                <w:sz w:val="13"/>
                <w:szCs w:val="13"/>
                <w:color w:val="FFFFFF"/>
              </w:rPr>
              <w:t>—</w:t>
            </w:r>
          </w:p>
        </w:tc>
        <w:tc>
          <w:tcPr>
            <w:tcW w:w="920" w:type="dxa"/>
            <w:vAlign w:val="bottom"/>
            <w:vMerge w:val="restart"/>
          </w:tcPr>
          <w:p>
            <w:pPr>
              <w:jc w:val="right"/>
              <w:ind w:right="137"/>
              <w:spacing w:after="0"/>
              <w:rPr>
                <w:sz w:val="20"/>
                <w:szCs w:val="20"/>
                <w:color w:val="auto"/>
              </w:rPr>
            </w:pPr>
            <w:r>
              <w:rPr>
                <w:rFonts w:ascii="Arial" w:cs="Arial" w:eastAsia="Arial" w:hAnsi="Arial"/>
                <w:sz w:val="13"/>
                <w:szCs w:val="13"/>
                <w:color w:val="FFFFFF"/>
              </w:rPr>
              <w:t>750,003</w:t>
            </w:r>
          </w:p>
        </w:tc>
        <w:tc>
          <w:tcPr>
            <w:tcW w:w="960" w:type="dxa"/>
            <w:vAlign w:val="bottom"/>
            <w:vMerge w:val="restart"/>
          </w:tcPr>
          <w:p>
            <w:pPr>
              <w:jc w:val="right"/>
              <w:ind w:right="177"/>
              <w:spacing w:after="0"/>
              <w:rPr>
                <w:sz w:val="20"/>
                <w:szCs w:val="20"/>
                <w:color w:val="auto"/>
              </w:rPr>
            </w:pPr>
            <w:r>
              <w:rPr>
                <w:rFonts w:ascii="Arial" w:cs="Arial" w:eastAsia="Arial" w:hAnsi="Arial"/>
                <w:sz w:val="13"/>
                <w:szCs w:val="13"/>
                <w:color w:val="FFFFFF"/>
              </w:rPr>
              <w:t>249,988</w:t>
            </w:r>
          </w:p>
        </w:tc>
        <w:tc>
          <w:tcPr>
            <w:tcW w:w="1300" w:type="dxa"/>
            <w:vAlign w:val="bottom"/>
            <w:vMerge w:val="restart"/>
          </w:tcPr>
          <w:p>
            <w:pPr>
              <w:jc w:val="right"/>
              <w:ind w:right="198"/>
              <w:spacing w:after="0"/>
              <w:rPr>
                <w:sz w:val="20"/>
                <w:szCs w:val="20"/>
                <w:color w:val="auto"/>
              </w:rPr>
            </w:pPr>
            <w:r>
              <w:rPr>
                <w:rFonts w:ascii="Arial" w:cs="Arial" w:eastAsia="Arial" w:hAnsi="Arial"/>
                <w:sz w:val="13"/>
                <w:szCs w:val="13"/>
                <w:color w:val="FFFFFF"/>
              </w:rPr>
              <w:t>676,662</w:t>
            </w:r>
          </w:p>
        </w:tc>
        <w:tc>
          <w:tcPr>
            <w:tcW w:w="1280" w:type="dxa"/>
            <w:vAlign w:val="bottom"/>
            <w:vMerge w:val="restart"/>
          </w:tcPr>
          <w:p>
            <w:pPr>
              <w:jc w:val="right"/>
              <w:ind w:right="177"/>
              <w:spacing w:after="0"/>
              <w:rPr>
                <w:sz w:val="20"/>
                <w:szCs w:val="20"/>
                <w:color w:val="auto"/>
              </w:rPr>
            </w:pPr>
            <w:r>
              <w:rPr>
                <w:rFonts w:ascii="Arial" w:cs="Arial" w:eastAsia="Arial" w:hAnsi="Arial"/>
                <w:sz w:val="13"/>
                <w:szCs w:val="13"/>
                <w:color w:val="FFFFFF"/>
              </w:rPr>
              <w:t>—</w:t>
            </w:r>
          </w:p>
        </w:tc>
        <w:tc>
          <w:tcPr>
            <w:tcW w:w="1280" w:type="dxa"/>
            <w:vAlign w:val="bottom"/>
            <w:vMerge w:val="restart"/>
          </w:tcPr>
          <w:p>
            <w:pPr>
              <w:jc w:val="right"/>
              <w:ind w:right="197"/>
              <w:spacing w:after="0"/>
              <w:rPr>
                <w:sz w:val="20"/>
                <w:szCs w:val="20"/>
                <w:color w:val="auto"/>
              </w:rPr>
            </w:pPr>
            <w:r>
              <w:rPr>
                <w:rFonts w:ascii="Arial" w:cs="Arial" w:eastAsia="Arial" w:hAnsi="Arial"/>
                <w:sz w:val="13"/>
                <w:szCs w:val="13"/>
                <w:color w:val="FFFFFF"/>
              </w:rPr>
              <w:t>38,622</w:t>
            </w:r>
          </w:p>
        </w:tc>
        <w:tc>
          <w:tcPr>
            <w:tcW w:w="1080" w:type="dxa"/>
            <w:vAlign w:val="bottom"/>
            <w:vMerge w:val="restart"/>
          </w:tcPr>
          <w:p>
            <w:pPr>
              <w:jc w:val="right"/>
              <w:spacing w:after="0"/>
              <w:rPr>
                <w:sz w:val="20"/>
                <w:szCs w:val="20"/>
                <w:color w:val="auto"/>
              </w:rPr>
            </w:pPr>
            <w:r>
              <w:rPr>
                <w:rFonts w:ascii="Arial" w:cs="Arial" w:eastAsia="Arial" w:hAnsi="Arial"/>
                <w:sz w:val="13"/>
                <w:szCs w:val="13"/>
                <w:color w:val="FFFFFF"/>
              </w:rPr>
              <w:t>2,240,296</w:t>
            </w:r>
          </w:p>
        </w:tc>
        <w:tc>
          <w:tcPr>
            <w:tcW w:w="0" w:type="dxa"/>
            <w:vAlign w:val="bottom"/>
          </w:tcPr>
          <w:p>
            <w:pPr>
              <w:spacing w:after="0"/>
              <w:rPr>
                <w:sz w:val="1"/>
                <w:szCs w:val="1"/>
                <w:color w:val="auto"/>
              </w:rPr>
            </w:pPr>
          </w:p>
        </w:tc>
      </w:tr>
      <w:tr>
        <w:trPr>
          <w:trHeight w:val="81"/>
        </w:trPr>
        <w:tc>
          <w:tcPr>
            <w:tcW w:w="208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98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920" w:type="dxa"/>
            <w:vAlign w:val="bottom"/>
            <w:vMerge w:val="continue"/>
          </w:tcPr>
          <w:p>
            <w:pPr>
              <w:spacing w:after="0"/>
              <w:rPr>
                <w:sz w:val="7"/>
                <w:szCs w:val="7"/>
                <w:color w:val="auto"/>
              </w:rPr>
            </w:pPr>
          </w:p>
        </w:tc>
        <w:tc>
          <w:tcPr>
            <w:tcW w:w="960" w:type="dxa"/>
            <w:vAlign w:val="bottom"/>
            <w:vMerge w:val="continue"/>
          </w:tcPr>
          <w:p>
            <w:pPr>
              <w:spacing w:after="0"/>
              <w:rPr>
                <w:sz w:val="7"/>
                <w:szCs w:val="7"/>
                <w:color w:val="auto"/>
              </w:rPr>
            </w:pPr>
          </w:p>
        </w:tc>
        <w:tc>
          <w:tcPr>
            <w:tcW w:w="1300" w:type="dxa"/>
            <w:vAlign w:val="bottom"/>
            <w:vMerge w:val="continue"/>
          </w:tcPr>
          <w:p>
            <w:pPr>
              <w:spacing w:after="0"/>
              <w:rPr>
                <w:sz w:val="7"/>
                <w:szCs w:val="7"/>
                <w:color w:val="auto"/>
              </w:rPr>
            </w:pPr>
          </w:p>
        </w:tc>
        <w:tc>
          <w:tcPr>
            <w:tcW w:w="1280" w:type="dxa"/>
            <w:vAlign w:val="bottom"/>
            <w:vMerge w:val="continue"/>
          </w:tcPr>
          <w:p>
            <w:pPr>
              <w:spacing w:after="0"/>
              <w:rPr>
                <w:sz w:val="7"/>
                <w:szCs w:val="7"/>
                <w:color w:val="auto"/>
              </w:rPr>
            </w:pPr>
          </w:p>
        </w:tc>
        <w:tc>
          <w:tcPr>
            <w:tcW w:w="1280" w:type="dxa"/>
            <w:vAlign w:val="bottom"/>
            <w:vMerge w:val="continue"/>
          </w:tcPr>
          <w:p>
            <w:pPr>
              <w:spacing w:after="0"/>
              <w:rPr>
                <w:sz w:val="7"/>
                <w:szCs w:val="7"/>
                <w:color w:val="auto"/>
              </w:rPr>
            </w:pPr>
          </w:p>
        </w:tc>
        <w:tc>
          <w:tcPr>
            <w:tcW w:w="1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
        </w:trPr>
        <w:tc>
          <w:tcPr>
            <w:tcW w:w="2080" w:type="dxa"/>
            <w:vAlign w:val="bottom"/>
            <w:tcBorders>
              <w:bottom w:val="single" w:sz="8" w:color="BCBEC0"/>
            </w:tcBorders>
          </w:tcPr>
          <w:p>
            <w:pPr>
              <w:spacing w:after="0"/>
              <w:rPr>
                <w:sz w:val="2"/>
                <w:szCs w:val="2"/>
                <w:color w:val="auto"/>
              </w:rPr>
            </w:pPr>
          </w:p>
        </w:tc>
        <w:tc>
          <w:tcPr>
            <w:tcW w:w="660" w:type="dxa"/>
            <w:vAlign w:val="bottom"/>
            <w:tcBorders>
              <w:bottom w:val="single" w:sz="8" w:color="BCBEC0"/>
            </w:tcBorders>
          </w:tcPr>
          <w:p>
            <w:pPr>
              <w:spacing w:after="0"/>
              <w:rPr>
                <w:sz w:val="2"/>
                <w:szCs w:val="2"/>
                <w:color w:val="auto"/>
              </w:rPr>
            </w:pPr>
          </w:p>
        </w:tc>
        <w:tc>
          <w:tcPr>
            <w:tcW w:w="980" w:type="dxa"/>
            <w:vAlign w:val="bottom"/>
            <w:tcBorders>
              <w:bottom w:val="single" w:sz="8" w:color="BCBEC0"/>
            </w:tcBorders>
          </w:tcPr>
          <w:p>
            <w:pPr>
              <w:spacing w:after="0"/>
              <w:rPr>
                <w:sz w:val="2"/>
                <w:szCs w:val="2"/>
                <w:color w:val="auto"/>
              </w:rPr>
            </w:pPr>
          </w:p>
        </w:tc>
        <w:tc>
          <w:tcPr>
            <w:tcW w:w="700" w:type="dxa"/>
            <w:vAlign w:val="bottom"/>
            <w:tcBorders>
              <w:bottom w:val="single" w:sz="8" w:color="BCBEC0"/>
            </w:tcBorders>
          </w:tcPr>
          <w:p>
            <w:pPr>
              <w:spacing w:after="0"/>
              <w:rPr>
                <w:sz w:val="2"/>
                <w:szCs w:val="2"/>
                <w:color w:val="auto"/>
              </w:rPr>
            </w:pPr>
          </w:p>
        </w:tc>
        <w:tc>
          <w:tcPr>
            <w:tcW w:w="920" w:type="dxa"/>
            <w:vAlign w:val="bottom"/>
            <w:tcBorders>
              <w:bottom w:val="single" w:sz="8" w:color="BCBEC0"/>
            </w:tcBorders>
          </w:tcPr>
          <w:p>
            <w:pPr>
              <w:spacing w:after="0"/>
              <w:rPr>
                <w:sz w:val="2"/>
                <w:szCs w:val="2"/>
                <w:color w:val="auto"/>
              </w:rPr>
            </w:pPr>
          </w:p>
        </w:tc>
        <w:tc>
          <w:tcPr>
            <w:tcW w:w="960" w:type="dxa"/>
            <w:vAlign w:val="bottom"/>
            <w:tcBorders>
              <w:bottom w:val="single" w:sz="8" w:color="BCBEC0"/>
            </w:tcBorders>
          </w:tcPr>
          <w:p>
            <w:pPr>
              <w:spacing w:after="0"/>
              <w:rPr>
                <w:sz w:val="2"/>
                <w:szCs w:val="2"/>
                <w:color w:val="auto"/>
              </w:rPr>
            </w:pPr>
          </w:p>
        </w:tc>
        <w:tc>
          <w:tcPr>
            <w:tcW w:w="1300" w:type="dxa"/>
            <w:vAlign w:val="bottom"/>
            <w:tcBorders>
              <w:bottom w:val="single" w:sz="8" w:color="BCBEC0"/>
            </w:tcBorders>
          </w:tcPr>
          <w:p>
            <w:pPr>
              <w:spacing w:after="0"/>
              <w:rPr>
                <w:sz w:val="2"/>
                <w:szCs w:val="2"/>
                <w:color w:val="auto"/>
              </w:rPr>
            </w:pPr>
          </w:p>
        </w:tc>
        <w:tc>
          <w:tcPr>
            <w:tcW w:w="1280" w:type="dxa"/>
            <w:vAlign w:val="bottom"/>
            <w:tcBorders>
              <w:bottom w:val="single" w:sz="8" w:color="BCBEC0"/>
            </w:tcBorders>
          </w:tcPr>
          <w:p>
            <w:pPr>
              <w:spacing w:after="0"/>
              <w:rPr>
                <w:sz w:val="2"/>
                <w:szCs w:val="2"/>
                <w:color w:val="auto"/>
              </w:rPr>
            </w:pPr>
          </w:p>
        </w:tc>
        <w:tc>
          <w:tcPr>
            <w:tcW w:w="1280" w:type="dxa"/>
            <w:vAlign w:val="bottom"/>
            <w:tcBorders>
              <w:bottom w:val="single" w:sz="8" w:color="BCBEC0"/>
            </w:tcBorders>
          </w:tcPr>
          <w:p>
            <w:pPr>
              <w:spacing w:after="0"/>
              <w:rPr>
                <w:sz w:val="2"/>
                <w:szCs w:val="2"/>
                <w:color w:val="auto"/>
              </w:rPr>
            </w:pPr>
          </w:p>
        </w:tc>
        <w:tc>
          <w:tcPr>
            <w:tcW w:w="1080" w:type="dxa"/>
            <w:vAlign w:val="bottom"/>
            <w:tcBorders>
              <w:bottom w:val="single" w:sz="8" w:color="BCBEC0"/>
            </w:tcBorders>
          </w:tcPr>
          <w:p>
            <w:pPr>
              <w:spacing w:after="0"/>
              <w:rPr>
                <w:sz w:val="2"/>
                <w:szCs w:val="2"/>
                <w:color w:val="auto"/>
              </w:rPr>
            </w:pPr>
          </w:p>
        </w:tc>
        <w:tc>
          <w:tcPr>
            <w:tcW w:w="0" w:type="dxa"/>
            <w:vAlign w:val="bottom"/>
          </w:tcPr>
          <w:p>
            <w:pPr>
              <w:spacing w:after="0"/>
              <w:rPr>
                <w:sz w:val="1"/>
                <w:szCs w:val="1"/>
                <w:color w:val="auto"/>
              </w:rPr>
            </w:pPr>
          </w:p>
        </w:tc>
      </w:tr>
      <w:tr>
        <w:trPr>
          <w:trHeight w:val="174"/>
        </w:trPr>
        <w:tc>
          <w:tcPr>
            <w:tcW w:w="2080" w:type="dxa"/>
            <w:vAlign w:val="bottom"/>
          </w:tcPr>
          <w:p>
            <w:pPr>
              <w:ind w:left="20"/>
              <w:spacing w:after="0"/>
              <w:rPr>
                <w:sz w:val="20"/>
                <w:szCs w:val="20"/>
                <w:color w:val="auto"/>
              </w:rPr>
            </w:pPr>
            <w:r>
              <w:rPr>
                <w:rFonts w:ascii="Arial" w:cs="Arial" w:eastAsia="Arial" w:hAnsi="Arial"/>
                <w:sz w:val="13"/>
                <w:szCs w:val="13"/>
                <w:b w:val="1"/>
                <w:bCs w:val="1"/>
                <w:color w:val="0C3471"/>
              </w:rPr>
              <w:t>Adrian C. Chiu</w:t>
            </w:r>
          </w:p>
        </w:tc>
        <w:tc>
          <w:tcPr>
            <w:tcW w:w="660" w:type="dxa"/>
            <w:vAlign w:val="bottom"/>
          </w:tcPr>
          <w:p>
            <w:pPr>
              <w:jc w:val="center"/>
              <w:spacing w:after="0"/>
              <w:rPr>
                <w:sz w:val="20"/>
                <w:szCs w:val="20"/>
                <w:color w:val="auto"/>
              </w:rPr>
            </w:pPr>
            <w:r>
              <w:rPr>
                <w:rFonts w:ascii="Arial" w:cs="Arial" w:eastAsia="Arial" w:hAnsi="Arial"/>
                <w:sz w:val="13"/>
                <w:szCs w:val="13"/>
                <w:color w:val="auto"/>
                <w:w w:val="96"/>
              </w:rPr>
              <w:t>2025</w:t>
            </w:r>
          </w:p>
        </w:tc>
        <w:tc>
          <w:tcPr>
            <w:tcW w:w="980" w:type="dxa"/>
            <w:vAlign w:val="bottom"/>
          </w:tcPr>
          <w:p>
            <w:pPr>
              <w:jc w:val="right"/>
              <w:ind w:right="137"/>
              <w:spacing w:after="0"/>
              <w:rPr>
                <w:sz w:val="20"/>
                <w:szCs w:val="20"/>
                <w:color w:val="auto"/>
              </w:rPr>
            </w:pPr>
            <w:r>
              <w:rPr>
                <w:rFonts w:ascii="Arial" w:cs="Arial" w:eastAsia="Arial" w:hAnsi="Arial"/>
                <w:sz w:val="13"/>
                <w:szCs w:val="13"/>
                <w:color w:val="auto"/>
              </w:rPr>
              <w:t>600,023</w:t>
            </w:r>
          </w:p>
        </w:tc>
        <w:tc>
          <w:tcPr>
            <w:tcW w:w="700" w:type="dxa"/>
            <w:vAlign w:val="bottom"/>
          </w:tcPr>
          <w:p>
            <w:pPr>
              <w:ind w:left="380"/>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137"/>
              <w:spacing w:after="0"/>
              <w:rPr>
                <w:sz w:val="20"/>
                <w:szCs w:val="20"/>
                <w:color w:val="auto"/>
              </w:rPr>
            </w:pPr>
            <w:r>
              <w:rPr>
                <w:rFonts w:ascii="Arial" w:cs="Arial" w:eastAsia="Arial" w:hAnsi="Arial"/>
                <w:sz w:val="13"/>
                <w:szCs w:val="13"/>
                <w:color w:val="auto"/>
              </w:rPr>
              <w:t>1,012,534</w:t>
            </w:r>
          </w:p>
        </w:tc>
        <w:tc>
          <w:tcPr>
            <w:tcW w:w="960" w:type="dxa"/>
            <w:vAlign w:val="bottom"/>
          </w:tcPr>
          <w:p>
            <w:pPr>
              <w:jc w:val="right"/>
              <w:ind w:right="177"/>
              <w:spacing w:after="0"/>
              <w:rPr>
                <w:sz w:val="20"/>
                <w:szCs w:val="20"/>
                <w:color w:val="auto"/>
              </w:rPr>
            </w:pPr>
            <w:r>
              <w:rPr>
                <w:rFonts w:ascii="Arial" w:cs="Arial" w:eastAsia="Arial" w:hAnsi="Arial"/>
                <w:sz w:val="13"/>
                <w:szCs w:val="13"/>
                <w:color w:val="auto"/>
              </w:rPr>
              <w:t>337,492</w:t>
            </w:r>
          </w:p>
        </w:tc>
        <w:tc>
          <w:tcPr>
            <w:tcW w:w="1300" w:type="dxa"/>
            <w:vAlign w:val="bottom"/>
          </w:tcPr>
          <w:p>
            <w:pPr>
              <w:jc w:val="right"/>
              <w:ind w:right="198"/>
              <w:spacing w:after="0"/>
              <w:rPr>
                <w:sz w:val="20"/>
                <w:szCs w:val="20"/>
                <w:color w:val="auto"/>
              </w:rPr>
            </w:pPr>
            <w:r>
              <w:rPr>
                <w:rFonts w:ascii="Arial" w:cs="Arial" w:eastAsia="Arial" w:hAnsi="Arial"/>
                <w:sz w:val="13"/>
                <w:szCs w:val="13"/>
                <w:color w:val="auto"/>
              </w:rPr>
              <w:t>443,040</w:t>
            </w:r>
          </w:p>
        </w:tc>
        <w:tc>
          <w:tcPr>
            <w:tcW w:w="1280" w:type="dxa"/>
            <w:vAlign w:val="bottom"/>
          </w:tcPr>
          <w:p>
            <w:pPr>
              <w:jc w:val="right"/>
              <w:ind w:right="177"/>
              <w:spacing w:after="0"/>
              <w:rPr>
                <w:sz w:val="20"/>
                <w:szCs w:val="20"/>
                <w:color w:val="auto"/>
              </w:rPr>
            </w:pPr>
            <w:r>
              <w:rPr>
                <w:rFonts w:ascii="Arial" w:cs="Arial" w:eastAsia="Arial" w:hAnsi="Arial"/>
                <w:sz w:val="13"/>
                <w:szCs w:val="13"/>
                <w:color w:val="auto"/>
              </w:rPr>
              <w:t>—</w:t>
            </w:r>
          </w:p>
        </w:tc>
        <w:tc>
          <w:tcPr>
            <w:tcW w:w="1280" w:type="dxa"/>
            <w:vAlign w:val="bottom"/>
          </w:tcPr>
          <w:p>
            <w:pPr>
              <w:jc w:val="right"/>
              <w:ind w:right="197"/>
              <w:spacing w:after="0"/>
              <w:rPr>
                <w:sz w:val="20"/>
                <w:szCs w:val="20"/>
                <w:color w:val="auto"/>
              </w:rPr>
            </w:pPr>
            <w:r>
              <w:rPr>
                <w:rFonts w:ascii="Arial" w:cs="Arial" w:eastAsia="Arial" w:hAnsi="Arial"/>
                <w:sz w:val="13"/>
                <w:szCs w:val="13"/>
                <w:color w:val="auto"/>
              </w:rPr>
              <w:t>37,541</w:t>
            </w:r>
          </w:p>
        </w:tc>
        <w:tc>
          <w:tcPr>
            <w:tcW w:w="1080" w:type="dxa"/>
            <w:vAlign w:val="bottom"/>
          </w:tcPr>
          <w:p>
            <w:pPr>
              <w:jc w:val="right"/>
              <w:spacing w:after="0"/>
              <w:rPr>
                <w:sz w:val="20"/>
                <w:szCs w:val="20"/>
                <w:color w:val="auto"/>
              </w:rPr>
            </w:pPr>
            <w:r>
              <w:rPr>
                <w:rFonts w:ascii="Arial" w:cs="Arial" w:eastAsia="Arial" w:hAnsi="Arial"/>
                <w:sz w:val="13"/>
                <w:szCs w:val="13"/>
                <w:color w:val="auto"/>
              </w:rPr>
              <w:t>2,430,630</w:t>
            </w:r>
          </w:p>
        </w:tc>
        <w:tc>
          <w:tcPr>
            <w:tcW w:w="0" w:type="dxa"/>
            <w:vAlign w:val="bottom"/>
          </w:tcPr>
          <w:p>
            <w:pPr>
              <w:spacing w:after="0"/>
              <w:rPr>
                <w:sz w:val="1"/>
                <w:szCs w:val="1"/>
                <w:color w:val="auto"/>
              </w:rPr>
            </w:pPr>
          </w:p>
        </w:tc>
      </w:tr>
      <w:tr>
        <w:trPr>
          <w:trHeight w:val="22"/>
        </w:trPr>
        <w:tc>
          <w:tcPr>
            <w:tcW w:w="2080" w:type="dxa"/>
            <w:vAlign w:val="bottom"/>
            <w:vMerge w:val="restart"/>
          </w:tcPr>
          <w:p>
            <w:pPr>
              <w:ind w:left="20"/>
              <w:spacing w:after="0"/>
              <w:rPr>
                <w:sz w:val="20"/>
                <w:szCs w:val="20"/>
                <w:color w:val="auto"/>
              </w:rPr>
            </w:pPr>
            <w:r>
              <w:rPr>
                <w:rFonts w:ascii="Arial" w:cs="Arial" w:eastAsia="Arial" w:hAnsi="Arial"/>
                <w:sz w:val="13"/>
                <w:szCs w:val="13"/>
                <w:color w:val="auto"/>
              </w:rPr>
              <w:t>Executive Vice President and</w:t>
            </w:r>
          </w:p>
        </w:tc>
        <w:tc>
          <w:tcPr>
            <w:tcW w:w="660" w:type="dxa"/>
            <w:vAlign w:val="bottom"/>
            <w:tcBorders>
              <w:bottom w:val="single" w:sz="8" w:color="BCBEC0"/>
            </w:tcBorders>
          </w:tcPr>
          <w:p>
            <w:pPr>
              <w:spacing w:after="0" w:line="20" w:lineRule="exact"/>
              <w:rPr>
                <w:sz w:val="1"/>
                <w:szCs w:val="1"/>
                <w:color w:val="auto"/>
              </w:rPr>
            </w:pPr>
          </w:p>
        </w:tc>
        <w:tc>
          <w:tcPr>
            <w:tcW w:w="980" w:type="dxa"/>
            <w:vAlign w:val="bottom"/>
            <w:tcBorders>
              <w:bottom w:val="single" w:sz="8" w:color="BCBEC0"/>
            </w:tcBorders>
          </w:tcPr>
          <w:p>
            <w:pPr>
              <w:spacing w:after="0" w:line="20" w:lineRule="exact"/>
              <w:rPr>
                <w:sz w:val="1"/>
                <w:szCs w:val="1"/>
                <w:color w:val="auto"/>
              </w:rPr>
            </w:pPr>
          </w:p>
        </w:tc>
        <w:tc>
          <w:tcPr>
            <w:tcW w:w="700" w:type="dxa"/>
            <w:vAlign w:val="bottom"/>
            <w:tcBorders>
              <w:bottom w:val="single" w:sz="8" w:color="BCBEC0"/>
            </w:tcBorders>
          </w:tcPr>
          <w:p>
            <w:pPr>
              <w:spacing w:after="0" w:line="20" w:lineRule="exact"/>
              <w:rPr>
                <w:sz w:val="1"/>
                <w:szCs w:val="1"/>
                <w:color w:val="auto"/>
              </w:rPr>
            </w:pPr>
          </w:p>
        </w:tc>
        <w:tc>
          <w:tcPr>
            <w:tcW w:w="920" w:type="dxa"/>
            <w:vAlign w:val="bottom"/>
            <w:tcBorders>
              <w:bottom w:val="single" w:sz="8" w:color="BCBEC0"/>
            </w:tcBorders>
          </w:tcPr>
          <w:p>
            <w:pPr>
              <w:spacing w:after="0" w:line="20" w:lineRule="exact"/>
              <w:rPr>
                <w:sz w:val="1"/>
                <w:szCs w:val="1"/>
                <w:color w:val="auto"/>
              </w:rPr>
            </w:pPr>
          </w:p>
        </w:tc>
        <w:tc>
          <w:tcPr>
            <w:tcW w:w="960" w:type="dxa"/>
            <w:vAlign w:val="bottom"/>
            <w:tcBorders>
              <w:bottom w:val="single" w:sz="8" w:color="BCBEC0"/>
            </w:tcBorders>
          </w:tcPr>
          <w:p>
            <w:pPr>
              <w:spacing w:after="0" w:line="20" w:lineRule="exact"/>
              <w:rPr>
                <w:sz w:val="1"/>
                <w:szCs w:val="1"/>
                <w:color w:val="auto"/>
              </w:rPr>
            </w:pPr>
          </w:p>
        </w:tc>
        <w:tc>
          <w:tcPr>
            <w:tcW w:w="1300" w:type="dxa"/>
            <w:vAlign w:val="bottom"/>
            <w:tcBorders>
              <w:bottom w:val="single" w:sz="8" w:color="BCBEC0"/>
            </w:tcBorders>
          </w:tcPr>
          <w:p>
            <w:pPr>
              <w:spacing w:after="0" w:line="20" w:lineRule="exact"/>
              <w:rPr>
                <w:sz w:val="1"/>
                <w:szCs w:val="1"/>
                <w:color w:val="auto"/>
              </w:rPr>
            </w:pPr>
          </w:p>
        </w:tc>
        <w:tc>
          <w:tcPr>
            <w:tcW w:w="1280" w:type="dxa"/>
            <w:vAlign w:val="bottom"/>
            <w:tcBorders>
              <w:bottom w:val="single" w:sz="8" w:color="BCBEC0"/>
            </w:tcBorders>
          </w:tcPr>
          <w:p>
            <w:pPr>
              <w:spacing w:after="0" w:line="20" w:lineRule="exact"/>
              <w:rPr>
                <w:sz w:val="1"/>
                <w:szCs w:val="1"/>
                <w:color w:val="auto"/>
              </w:rPr>
            </w:pPr>
          </w:p>
        </w:tc>
        <w:tc>
          <w:tcPr>
            <w:tcW w:w="1280" w:type="dxa"/>
            <w:vAlign w:val="bottom"/>
            <w:tcBorders>
              <w:bottom w:val="single" w:sz="8" w:color="BCBEC0"/>
            </w:tcBorders>
          </w:tcPr>
          <w:p>
            <w:pPr>
              <w:spacing w:after="0" w:line="20" w:lineRule="exact"/>
              <w:rPr>
                <w:sz w:val="1"/>
                <w:szCs w:val="1"/>
                <w:color w:val="auto"/>
              </w:rPr>
            </w:pPr>
          </w:p>
        </w:tc>
        <w:tc>
          <w:tcPr>
            <w:tcW w:w="1080" w:type="dxa"/>
            <w:vAlign w:val="bottom"/>
            <w:tcBorders>
              <w:bottom w:val="single" w:sz="8" w:color="BCBEC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8"/>
        </w:trPr>
        <w:tc>
          <w:tcPr>
            <w:tcW w:w="2080" w:type="dxa"/>
            <w:vAlign w:val="bottom"/>
            <w:vMerge w:val="continue"/>
          </w:tcPr>
          <w:p>
            <w:pPr>
              <w:spacing w:after="0"/>
              <w:rPr>
                <w:sz w:val="11"/>
                <w:szCs w:val="11"/>
                <w:color w:val="auto"/>
              </w:rPr>
            </w:pPr>
          </w:p>
        </w:tc>
        <w:tc>
          <w:tcPr>
            <w:tcW w:w="660" w:type="dxa"/>
            <w:vAlign w:val="bottom"/>
          </w:tcPr>
          <w:p>
            <w:pPr>
              <w:jc w:val="center"/>
              <w:spacing w:after="0" w:line="138" w:lineRule="exact"/>
              <w:rPr>
                <w:sz w:val="20"/>
                <w:szCs w:val="20"/>
                <w:color w:val="auto"/>
              </w:rPr>
            </w:pPr>
            <w:r>
              <w:rPr>
                <w:rFonts w:ascii="Arial" w:cs="Arial" w:eastAsia="Arial" w:hAnsi="Arial"/>
                <w:sz w:val="13"/>
                <w:szCs w:val="13"/>
                <w:color w:val="auto"/>
                <w:w w:val="96"/>
              </w:rPr>
              <w:t>2024</w:t>
            </w:r>
          </w:p>
        </w:tc>
        <w:tc>
          <w:tcPr>
            <w:tcW w:w="980" w:type="dxa"/>
            <w:vAlign w:val="bottom"/>
          </w:tcPr>
          <w:p>
            <w:pPr>
              <w:jc w:val="right"/>
              <w:ind w:right="137"/>
              <w:spacing w:after="0" w:line="138" w:lineRule="exact"/>
              <w:rPr>
                <w:sz w:val="20"/>
                <w:szCs w:val="20"/>
                <w:color w:val="auto"/>
              </w:rPr>
            </w:pPr>
            <w:r>
              <w:rPr>
                <w:rFonts w:ascii="Arial" w:cs="Arial" w:eastAsia="Arial" w:hAnsi="Arial"/>
                <w:sz w:val="13"/>
                <w:szCs w:val="13"/>
                <w:color w:val="auto"/>
              </w:rPr>
              <w:t>550,021</w:t>
            </w:r>
          </w:p>
        </w:tc>
        <w:tc>
          <w:tcPr>
            <w:tcW w:w="700" w:type="dxa"/>
            <w:vAlign w:val="bottom"/>
          </w:tcPr>
          <w:p>
            <w:pPr>
              <w:ind w:left="380"/>
              <w:spacing w:after="0" w:line="138" w:lineRule="exact"/>
              <w:rPr>
                <w:sz w:val="20"/>
                <w:szCs w:val="20"/>
                <w:color w:val="auto"/>
              </w:rPr>
            </w:pPr>
            <w:r>
              <w:rPr>
                <w:rFonts w:ascii="Arial" w:cs="Arial" w:eastAsia="Arial" w:hAnsi="Arial"/>
                <w:sz w:val="13"/>
                <w:szCs w:val="13"/>
                <w:color w:val="auto"/>
              </w:rPr>
              <w:t>—</w:t>
            </w:r>
          </w:p>
        </w:tc>
        <w:tc>
          <w:tcPr>
            <w:tcW w:w="920" w:type="dxa"/>
            <w:vAlign w:val="bottom"/>
          </w:tcPr>
          <w:p>
            <w:pPr>
              <w:jc w:val="right"/>
              <w:ind w:right="137"/>
              <w:spacing w:after="0" w:line="138" w:lineRule="exact"/>
              <w:rPr>
                <w:sz w:val="20"/>
                <w:szCs w:val="20"/>
                <w:color w:val="auto"/>
              </w:rPr>
            </w:pPr>
            <w:r>
              <w:rPr>
                <w:rFonts w:ascii="Arial" w:cs="Arial" w:eastAsia="Arial" w:hAnsi="Arial"/>
                <w:sz w:val="13"/>
                <w:szCs w:val="13"/>
                <w:color w:val="auto"/>
              </w:rPr>
              <w:t>899,975</w:t>
            </w:r>
          </w:p>
        </w:tc>
        <w:tc>
          <w:tcPr>
            <w:tcW w:w="960" w:type="dxa"/>
            <w:vAlign w:val="bottom"/>
          </w:tcPr>
          <w:p>
            <w:pPr>
              <w:jc w:val="right"/>
              <w:ind w:right="177"/>
              <w:spacing w:after="0" w:line="138" w:lineRule="exact"/>
              <w:rPr>
                <w:sz w:val="20"/>
                <w:szCs w:val="20"/>
                <w:color w:val="auto"/>
              </w:rPr>
            </w:pPr>
            <w:r>
              <w:rPr>
                <w:rFonts w:ascii="Arial" w:cs="Arial" w:eastAsia="Arial" w:hAnsi="Arial"/>
                <w:sz w:val="13"/>
                <w:szCs w:val="13"/>
                <w:color w:val="auto"/>
              </w:rPr>
              <w:t>299,996</w:t>
            </w:r>
          </w:p>
        </w:tc>
        <w:tc>
          <w:tcPr>
            <w:tcW w:w="1300" w:type="dxa"/>
            <w:vAlign w:val="bottom"/>
          </w:tcPr>
          <w:p>
            <w:pPr>
              <w:jc w:val="right"/>
              <w:ind w:right="198"/>
              <w:spacing w:after="0" w:line="138" w:lineRule="exact"/>
              <w:rPr>
                <w:sz w:val="20"/>
                <w:szCs w:val="20"/>
                <w:color w:val="auto"/>
              </w:rPr>
            </w:pPr>
            <w:r>
              <w:rPr>
                <w:rFonts w:ascii="Arial" w:cs="Arial" w:eastAsia="Arial" w:hAnsi="Arial"/>
                <w:sz w:val="13"/>
                <w:szCs w:val="13"/>
                <w:color w:val="auto"/>
              </w:rPr>
              <w:t>511,984</w:t>
            </w:r>
          </w:p>
        </w:tc>
        <w:tc>
          <w:tcPr>
            <w:tcW w:w="1280" w:type="dxa"/>
            <w:vAlign w:val="bottom"/>
          </w:tcPr>
          <w:p>
            <w:pPr>
              <w:jc w:val="right"/>
              <w:ind w:right="177"/>
              <w:spacing w:after="0" w:line="138" w:lineRule="exact"/>
              <w:rPr>
                <w:sz w:val="20"/>
                <w:szCs w:val="20"/>
                <w:color w:val="auto"/>
              </w:rPr>
            </w:pPr>
            <w:r>
              <w:rPr>
                <w:rFonts w:ascii="Arial" w:cs="Arial" w:eastAsia="Arial" w:hAnsi="Arial"/>
                <w:sz w:val="13"/>
                <w:szCs w:val="13"/>
                <w:color w:val="auto"/>
              </w:rPr>
              <w:t>—</w:t>
            </w:r>
          </w:p>
        </w:tc>
        <w:tc>
          <w:tcPr>
            <w:tcW w:w="1280" w:type="dxa"/>
            <w:vAlign w:val="bottom"/>
          </w:tcPr>
          <w:p>
            <w:pPr>
              <w:jc w:val="right"/>
              <w:ind w:right="197"/>
              <w:spacing w:after="0" w:line="138" w:lineRule="exact"/>
              <w:rPr>
                <w:sz w:val="20"/>
                <w:szCs w:val="20"/>
                <w:color w:val="auto"/>
              </w:rPr>
            </w:pPr>
            <w:r>
              <w:rPr>
                <w:rFonts w:ascii="Arial" w:cs="Arial" w:eastAsia="Arial" w:hAnsi="Arial"/>
                <w:sz w:val="13"/>
                <w:szCs w:val="13"/>
                <w:color w:val="auto"/>
              </w:rPr>
              <w:t>58,583</w:t>
            </w:r>
          </w:p>
        </w:tc>
        <w:tc>
          <w:tcPr>
            <w:tcW w:w="1080" w:type="dxa"/>
            <w:vAlign w:val="bottom"/>
          </w:tcPr>
          <w:p>
            <w:pPr>
              <w:jc w:val="right"/>
              <w:spacing w:after="0" w:line="138" w:lineRule="exact"/>
              <w:rPr>
                <w:sz w:val="20"/>
                <w:szCs w:val="20"/>
                <w:color w:val="auto"/>
              </w:rPr>
            </w:pPr>
            <w:r>
              <w:rPr>
                <w:rFonts w:ascii="Arial" w:cs="Arial" w:eastAsia="Arial" w:hAnsi="Arial"/>
                <w:sz w:val="13"/>
                <w:szCs w:val="13"/>
                <w:color w:val="auto"/>
              </w:rPr>
              <w:t>2,320,559</w:t>
            </w:r>
          </w:p>
        </w:tc>
        <w:tc>
          <w:tcPr>
            <w:tcW w:w="0" w:type="dxa"/>
            <w:vAlign w:val="bottom"/>
          </w:tcPr>
          <w:p>
            <w:pPr>
              <w:spacing w:after="0"/>
              <w:rPr>
                <w:sz w:val="1"/>
                <w:szCs w:val="1"/>
                <w:color w:val="auto"/>
              </w:rPr>
            </w:pPr>
          </w:p>
        </w:tc>
      </w:tr>
      <w:tr>
        <w:trPr>
          <w:trHeight w:val="58"/>
        </w:trPr>
        <w:tc>
          <w:tcPr>
            <w:tcW w:w="2080" w:type="dxa"/>
            <w:vAlign w:val="bottom"/>
            <w:vMerge w:val="restart"/>
          </w:tcPr>
          <w:p>
            <w:pPr>
              <w:ind w:left="20"/>
              <w:spacing w:after="0"/>
              <w:rPr>
                <w:sz w:val="20"/>
                <w:szCs w:val="20"/>
                <w:color w:val="auto"/>
              </w:rPr>
            </w:pPr>
            <w:r>
              <w:rPr>
                <w:rFonts w:ascii="Arial" w:cs="Arial" w:eastAsia="Arial" w:hAnsi="Arial"/>
                <w:sz w:val="13"/>
                <w:szCs w:val="13"/>
                <w:color w:val="auto"/>
              </w:rPr>
              <w:t>President, Water Solutions</w:t>
            </w:r>
          </w:p>
        </w:tc>
        <w:tc>
          <w:tcPr>
            <w:tcW w:w="660" w:type="dxa"/>
            <w:vAlign w:val="bottom"/>
            <w:tcBorders>
              <w:bottom w:val="single" w:sz="8" w:color="BCBEC0"/>
            </w:tcBorders>
          </w:tcPr>
          <w:p>
            <w:pPr>
              <w:spacing w:after="0"/>
              <w:rPr>
                <w:sz w:val="5"/>
                <w:szCs w:val="5"/>
                <w:color w:val="auto"/>
              </w:rPr>
            </w:pPr>
          </w:p>
        </w:tc>
        <w:tc>
          <w:tcPr>
            <w:tcW w:w="980" w:type="dxa"/>
            <w:vAlign w:val="bottom"/>
            <w:tcBorders>
              <w:bottom w:val="single" w:sz="8" w:color="BCBEC0"/>
            </w:tcBorders>
          </w:tcPr>
          <w:p>
            <w:pPr>
              <w:spacing w:after="0"/>
              <w:rPr>
                <w:sz w:val="5"/>
                <w:szCs w:val="5"/>
                <w:color w:val="auto"/>
              </w:rPr>
            </w:pPr>
          </w:p>
        </w:tc>
        <w:tc>
          <w:tcPr>
            <w:tcW w:w="700" w:type="dxa"/>
            <w:vAlign w:val="bottom"/>
            <w:tcBorders>
              <w:bottom w:val="single" w:sz="8" w:color="BCBEC0"/>
            </w:tcBorders>
          </w:tcPr>
          <w:p>
            <w:pPr>
              <w:spacing w:after="0"/>
              <w:rPr>
                <w:sz w:val="5"/>
                <w:szCs w:val="5"/>
                <w:color w:val="auto"/>
              </w:rPr>
            </w:pPr>
          </w:p>
        </w:tc>
        <w:tc>
          <w:tcPr>
            <w:tcW w:w="920" w:type="dxa"/>
            <w:vAlign w:val="bottom"/>
            <w:tcBorders>
              <w:bottom w:val="single" w:sz="8" w:color="BCBEC0"/>
            </w:tcBorders>
          </w:tcPr>
          <w:p>
            <w:pPr>
              <w:spacing w:after="0"/>
              <w:rPr>
                <w:sz w:val="5"/>
                <w:szCs w:val="5"/>
                <w:color w:val="auto"/>
              </w:rPr>
            </w:pPr>
          </w:p>
        </w:tc>
        <w:tc>
          <w:tcPr>
            <w:tcW w:w="960" w:type="dxa"/>
            <w:vAlign w:val="bottom"/>
            <w:tcBorders>
              <w:bottom w:val="single" w:sz="8" w:color="BCBEC0"/>
            </w:tcBorders>
          </w:tcPr>
          <w:p>
            <w:pPr>
              <w:spacing w:after="0"/>
              <w:rPr>
                <w:sz w:val="5"/>
                <w:szCs w:val="5"/>
                <w:color w:val="auto"/>
              </w:rPr>
            </w:pPr>
          </w:p>
        </w:tc>
        <w:tc>
          <w:tcPr>
            <w:tcW w:w="1300" w:type="dxa"/>
            <w:vAlign w:val="bottom"/>
            <w:tcBorders>
              <w:bottom w:val="single" w:sz="8" w:color="BCBEC0"/>
            </w:tcBorders>
          </w:tcPr>
          <w:p>
            <w:pPr>
              <w:spacing w:after="0"/>
              <w:rPr>
                <w:sz w:val="5"/>
                <w:szCs w:val="5"/>
                <w:color w:val="auto"/>
              </w:rPr>
            </w:pPr>
          </w:p>
        </w:tc>
        <w:tc>
          <w:tcPr>
            <w:tcW w:w="1280" w:type="dxa"/>
            <w:vAlign w:val="bottom"/>
            <w:tcBorders>
              <w:bottom w:val="single" w:sz="8" w:color="BCBEC0"/>
            </w:tcBorders>
          </w:tcPr>
          <w:p>
            <w:pPr>
              <w:spacing w:after="0"/>
              <w:rPr>
                <w:sz w:val="5"/>
                <w:szCs w:val="5"/>
                <w:color w:val="auto"/>
              </w:rPr>
            </w:pPr>
          </w:p>
        </w:tc>
        <w:tc>
          <w:tcPr>
            <w:tcW w:w="1280" w:type="dxa"/>
            <w:vAlign w:val="bottom"/>
            <w:tcBorders>
              <w:bottom w:val="single" w:sz="8" w:color="BCBEC0"/>
            </w:tcBorders>
          </w:tcPr>
          <w:p>
            <w:pPr>
              <w:spacing w:after="0"/>
              <w:rPr>
                <w:sz w:val="5"/>
                <w:szCs w:val="5"/>
                <w:color w:val="auto"/>
              </w:rPr>
            </w:pPr>
          </w:p>
        </w:tc>
        <w:tc>
          <w:tcPr>
            <w:tcW w:w="1080" w:type="dxa"/>
            <w:vAlign w:val="bottom"/>
            <w:tcBorders>
              <w:bottom w:val="single" w:sz="8" w:color="BCBEC0"/>
            </w:tcBorders>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2080" w:type="dxa"/>
            <w:vAlign w:val="bottom"/>
            <w:vMerge w:val="continue"/>
          </w:tcPr>
          <w:p>
            <w:pPr>
              <w:spacing w:after="0"/>
              <w:rPr>
                <w:sz w:val="7"/>
                <w:szCs w:val="7"/>
                <w:color w:val="auto"/>
              </w:rPr>
            </w:pPr>
          </w:p>
        </w:tc>
        <w:tc>
          <w:tcPr>
            <w:tcW w:w="660" w:type="dxa"/>
            <w:vAlign w:val="bottom"/>
            <w:vMerge w:val="restart"/>
          </w:tcPr>
          <w:p>
            <w:pPr>
              <w:jc w:val="center"/>
              <w:spacing w:after="0"/>
              <w:rPr>
                <w:sz w:val="20"/>
                <w:szCs w:val="20"/>
                <w:color w:val="auto"/>
              </w:rPr>
            </w:pPr>
            <w:r>
              <w:rPr>
                <w:rFonts w:ascii="Arial" w:cs="Arial" w:eastAsia="Arial" w:hAnsi="Arial"/>
                <w:sz w:val="13"/>
                <w:szCs w:val="13"/>
                <w:color w:val="auto"/>
                <w:w w:val="96"/>
              </w:rPr>
              <w:t>2023</w:t>
            </w:r>
          </w:p>
        </w:tc>
        <w:tc>
          <w:tcPr>
            <w:tcW w:w="980" w:type="dxa"/>
            <w:vAlign w:val="bottom"/>
            <w:vMerge w:val="restart"/>
          </w:tcPr>
          <w:p>
            <w:pPr>
              <w:jc w:val="right"/>
              <w:ind w:right="137"/>
              <w:spacing w:after="0"/>
              <w:rPr>
                <w:sz w:val="20"/>
                <w:szCs w:val="20"/>
                <w:color w:val="auto"/>
              </w:rPr>
            </w:pPr>
            <w:r>
              <w:rPr>
                <w:rFonts w:ascii="Arial" w:cs="Arial" w:eastAsia="Arial" w:hAnsi="Arial"/>
                <w:sz w:val="13"/>
                <w:szCs w:val="13"/>
                <w:color w:val="auto"/>
              </w:rPr>
              <w:t>525,020</w:t>
            </w:r>
          </w:p>
        </w:tc>
        <w:tc>
          <w:tcPr>
            <w:tcW w:w="700" w:type="dxa"/>
            <w:vAlign w:val="bottom"/>
            <w:vMerge w:val="restart"/>
          </w:tcPr>
          <w:p>
            <w:pPr>
              <w:ind w:left="380"/>
              <w:spacing w:after="0"/>
              <w:rPr>
                <w:sz w:val="20"/>
                <w:szCs w:val="20"/>
                <w:color w:val="auto"/>
              </w:rPr>
            </w:pPr>
            <w:r>
              <w:rPr>
                <w:rFonts w:ascii="Arial" w:cs="Arial" w:eastAsia="Arial" w:hAnsi="Arial"/>
                <w:sz w:val="13"/>
                <w:szCs w:val="13"/>
                <w:color w:val="auto"/>
              </w:rPr>
              <w:t>—</w:t>
            </w:r>
          </w:p>
        </w:tc>
        <w:tc>
          <w:tcPr>
            <w:tcW w:w="920" w:type="dxa"/>
            <w:vAlign w:val="bottom"/>
            <w:vMerge w:val="restart"/>
          </w:tcPr>
          <w:p>
            <w:pPr>
              <w:jc w:val="right"/>
              <w:ind w:right="137"/>
              <w:spacing w:after="0"/>
              <w:rPr>
                <w:sz w:val="20"/>
                <w:szCs w:val="20"/>
                <w:color w:val="auto"/>
              </w:rPr>
            </w:pPr>
            <w:r>
              <w:rPr>
                <w:rFonts w:ascii="Arial" w:cs="Arial" w:eastAsia="Arial" w:hAnsi="Arial"/>
                <w:sz w:val="13"/>
                <w:szCs w:val="13"/>
                <w:color w:val="auto"/>
              </w:rPr>
              <w:t>824,991</w:t>
            </w:r>
          </w:p>
        </w:tc>
        <w:tc>
          <w:tcPr>
            <w:tcW w:w="960" w:type="dxa"/>
            <w:vAlign w:val="bottom"/>
            <w:vMerge w:val="restart"/>
          </w:tcPr>
          <w:p>
            <w:pPr>
              <w:jc w:val="right"/>
              <w:ind w:right="177"/>
              <w:spacing w:after="0"/>
              <w:rPr>
                <w:sz w:val="20"/>
                <w:szCs w:val="20"/>
                <w:color w:val="auto"/>
              </w:rPr>
            </w:pPr>
            <w:r>
              <w:rPr>
                <w:rFonts w:ascii="Arial" w:cs="Arial" w:eastAsia="Arial" w:hAnsi="Arial"/>
                <w:sz w:val="13"/>
                <w:szCs w:val="13"/>
                <w:color w:val="auto"/>
              </w:rPr>
              <w:t>274,991</w:t>
            </w:r>
          </w:p>
        </w:tc>
        <w:tc>
          <w:tcPr>
            <w:tcW w:w="1300" w:type="dxa"/>
            <w:vAlign w:val="bottom"/>
            <w:vMerge w:val="restart"/>
          </w:tcPr>
          <w:p>
            <w:pPr>
              <w:jc w:val="right"/>
              <w:ind w:right="198"/>
              <w:spacing w:after="0"/>
              <w:rPr>
                <w:sz w:val="20"/>
                <w:szCs w:val="20"/>
                <w:color w:val="auto"/>
              </w:rPr>
            </w:pPr>
            <w:r>
              <w:rPr>
                <w:rFonts w:ascii="Arial" w:cs="Arial" w:eastAsia="Arial" w:hAnsi="Arial"/>
                <w:sz w:val="13"/>
                <w:szCs w:val="13"/>
                <w:color w:val="auto"/>
              </w:rPr>
              <w:t>680,904</w:t>
            </w:r>
          </w:p>
        </w:tc>
        <w:tc>
          <w:tcPr>
            <w:tcW w:w="1280" w:type="dxa"/>
            <w:vAlign w:val="bottom"/>
            <w:vMerge w:val="restart"/>
          </w:tcPr>
          <w:p>
            <w:pPr>
              <w:jc w:val="right"/>
              <w:ind w:right="177"/>
              <w:spacing w:after="0"/>
              <w:rPr>
                <w:sz w:val="20"/>
                <w:szCs w:val="20"/>
                <w:color w:val="auto"/>
              </w:rPr>
            </w:pPr>
            <w:r>
              <w:rPr>
                <w:rFonts w:ascii="Arial" w:cs="Arial" w:eastAsia="Arial" w:hAnsi="Arial"/>
                <w:sz w:val="13"/>
                <w:szCs w:val="13"/>
                <w:color w:val="auto"/>
              </w:rPr>
              <w:t>—</w:t>
            </w:r>
          </w:p>
        </w:tc>
        <w:tc>
          <w:tcPr>
            <w:tcW w:w="1280" w:type="dxa"/>
            <w:vAlign w:val="bottom"/>
            <w:vMerge w:val="restart"/>
          </w:tcPr>
          <w:p>
            <w:pPr>
              <w:jc w:val="right"/>
              <w:ind w:right="197"/>
              <w:spacing w:after="0"/>
              <w:rPr>
                <w:sz w:val="20"/>
                <w:szCs w:val="20"/>
                <w:color w:val="auto"/>
              </w:rPr>
            </w:pPr>
            <w:r>
              <w:rPr>
                <w:rFonts w:ascii="Arial" w:cs="Arial" w:eastAsia="Arial" w:hAnsi="Arial"/>
                <w:sz w:val="13"/>
                <w:szCs w:val="13"/>
                <w:color w:val="auto"/>
              </w:rPr>
              <w:t>38,610</w:t>
            </w:r>
          </w:p>
        </w:tc>
        <w:tc>
          <w:tcPr>
            <w:tcW w:w="1080" w:type="dxa"/>
            <w:vAlign w:val="bottom"/>
            <w:vMerge w:val="restart"/>
          </w:tcPr>
          <w:p>
            <w:pPr>
              <w:jc w:val="right"/>
              <w:spacing w:after="0"/>
              <w:rPr>
                <w:sz w:val="20"/>
                <w:szCs w:val="20"/>
                <w:color w:val="auto"/>
              </w:rPr>
            </w:pPr>
            <w:r>
              <w:rPr>
                <w:rFonts w:ascii="Arial" w:cs="Arial" w:eastAsia="Arial" w:hAnsi="Arial"/>
                <w:sz w:val="13"/>
                <w:szCs w:val="13"/>
                <w:color w:val="auto"/>
              </w:rPr>
              <w:t>2,344,516</w:t>
            </w:r>
          </w:p>
        </w:tc>
        <w:tc>
          <w:tcPr>
            <w:tcW w:w="0" w:type="dxa"/>
            <w:vAlign w:val="bottom"/>
          </w:tcPr>
          <w:p>
            <w:pPr>
              <w:spacing w:after="0"/>
              <w:rPr>
                <w:sz w:val="1"/>
                <w:szCs w:val="1"/>
                <w:color w:val="auto"/>
              </w:rPr>
            </w:pPr>
          </w:p>
        </w:tc>
      </w:tr>
      <w:tr>
        <w:trPr>
          <w:trHeight w:val="81"/>
        </w:trPr>
        <w:tc>
          <w:tcPr>
            <w:tcW w:w="208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98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920" w:type="dxa"/>
            <w:vAlign w:val="bottom"/>
            <w:vMerge w:val="continue"/>
          </w:tcPr>
          <w:p>
            <w:pPr>
              <w:spacing w:after="0"/>
              <w:rPr>
                <w:sz w:val="7"/>
                <w:szCs w:val="7"/>
                <w:color w:val="auto"/>
              </w:rPr>
            </w:pPr>
          </w:p>
        </w:tc>
        <w:tc>
          <w:tcPr>
            <w:tcW w:w="960" w:type="dxa"/>
            <w:vAlign w:val="bottom"/>
            <w:vMerge w:val="continue"/>
          </w:tcPr>
          <w:p>
            <w:pPr>
              <w:spacing w:after="0"/>
              <w:rPr>
                <w:sz w:val="7"/>
                <w:szCs w:val="7"/>
                <w:color w:val="auto"/>
              </w:rPr>
            </w:pPr>
          </w:p>
        </w:tc>
        <w:tc>
          <w:tcPr>
            <w:tcW w:w="1300" w:type="dxa"/>
            <w:vAlign w:val="bottom"/>
            <w:vMerge w:val="continue"/>
          </w:tcPr>
          <w:p>
            <w:pPr>
              <w:spacing w:after="0"/>
              <w:rPr>
                <w:sz w:val="7"/>
                <w:szCs w:val="7"/>
                <w:color w:val="auto"/>
              </w:rPr>
            </w:pPr>
          </w:p>
        </w:tc>
        <w:tc>
          <w:tcPr>
            <w:tcW w:w="1280" w:type="dxa"/>
            <w:vAlign w:val="bottom"/>
            <w:vMerge w:val="continue"/>
          </w:tcPr>
          <w:p>
            <w:pPr>
              <w:spacing w:after="0"/>
              <w:rPr>
                <w:sz w:val="7"/>
                <w:szCs w:val="7"/>
                <w:color w:val="auto"/>
              </w:rPr>
            </w:pPr>
          </w:p>
        </w:tc>
        <w:tc>
          <w:tcPr>
            <w:tcW w:w="1280" w:type="dxa"/>
            <w:vAlign w:val="bottom"/>
            <w:vMerge w:val="continue"/>
          </w:tcPr>
          <w:p>
            <w:pPr>
              <w:spacing w:after="0"/>
              <w:rPr>
                <w:sz w:val="7"/>
                <w:szCs w:val="7"/>
                <w:color w:val="auto"/>
              </w:rPr>
            </w:pPr>
          </w:p>
        </w:tc>
        <w:tc>
          <w:tcPr>
            <w:tcW w:w="1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2"/>
        </w:trPr>
        <w:tc>
          <w:tcPr>
            <w:tcW w:w="2080" w:type="dxa"/>
            <w:vAlign w:val="bottom"/>
            <w:tcBorders>
              <w:bottom w:val="single" w:sz="8" w:color="0C3471"/>
            </w:tcBorders>
          </w:tcPr>
          <w:p>
            <w:pPr>
              <w:spacing w:after="0"/>
              <w:rPr>
                <w:sz w:val="10"/>
                <w:szCs w:val="10"/>
                <w:color w:val="auto"/>
              </w:rPr>
            </w:pPr>
          </w:p>
        </w:tc>
        <w:tc>
          <w:tcPr>
            <w:tcW w:w="660" w:type="dxa"/>
            <w:vAlign w:val="bottom"/>
            <w:tcBorders>
              <w:bottom w:val="single" w:sz="8" w:color="0C3471"/>
            </w:tcBorders>
          </w:tcPr>
          <w:p>
            <w:pPr>
              <w:spacing w:after="0"/>
              <w:rPr>
                <w:sz w:val="10"/>
                <w:szCs w:val="10"/>
                <w:color w:val="auto"/>
              </w:rPr>
            </w:pPr>
          </w:p>
        </w:tc>
        <w:tc>
          <w:tcPr>
            <w:tcW w:w="980" w:type="dxa"/>
            <w:vAlign w:val="bottom"/>
            <w:tcBorders>
              <w:bottom w:val="single" w:sz="8" w:color="0C3471"/>
            </w:tcBorders>
          </w:tcPr>
          <w:p>
            <w:pPr>
              <w:spacing w:after="0"/>
              <w:rPr>
                <w:sz w:val="10"/>
                <w:szCs w:val="10"/>
                <w:color w:val="auto"/>
              </w:rPr>
            </w:pPr>
          </w:p>
        </w:tc>
        <w:tc>
          <w:tcPr>
            <w:tcW w:w="700" w:type="dxa"/>
            <w:vAlign w:val="bottom"/>
            <w:tcBorders>
              <w:bottom w:val="single" w:sz="8" w:color="0C3471"/>
            </w:tcBorders>
          </w:tcPr>
          <w:p>
            <w:pPr>
              <w:spacing w:after="0"/>
              <w:rPr>
                <w:sz w:val="10"/>
                <w:szCs w:val="10"/>
                <w:color w:val="auto"/>
              </w:rPr>
            </w:pPr>
          </w:p>
        </w:tc>
        <w:tc>
          <w:tcPr>
            <w:tcW w:w="920" w:type="dxa"/>
            <w:vAlign w:val="bottom"/>
            <w:tcBorders>
              <w:bottom w:val="single" w:sz="8" w:color="0C3471"/>
            </w:tcBorders>
          </w:tcPr>
          <w:p>
            <w:pPr>
              <w:spacing w:after="0"/>
              <w:rPr>
                <w:sz w:val="10"/>
                <w:szCs w:val="10"/>
                <w:color w:val="auto"/>
              </w:rPr>
            </w:pPr>
          </w:p>
        </w:tc>
        <w:tc>
          <w:tcPr>
            <w:tcW w:w="960" w:type="dxa"/>
            <w:vAlign w:val="bottom"/>
            <w:tcBorders>
              <w:bottom w:val="single" w:sz="8" w:color="0C3471"/>
            </w:tcBorders>
          </w:tcPr>
          <w:p>
            <w:pPr>
              <w:spacing w:after="0"/>
              <w:rPr>
                <w:sz w:val="10"/>
                <w:szCs w:val="10"/>
                <w:color w:val="auto"/>
              </w:rPr>
            </w:pPr>
          </w:p>
        </w:tc>
        <w:tc>
          <w:tcPr>
            <w:tcW w:w="1300" w:type="dxa"/>
            <w:vAlign w:val="bottom"/>
            <w:tcBorders>
              <w:bottom w:val="single" w:sz="8" w:color="0C3471"/>
            </w:tcBorders>
          </w:tcPr>
          <w:p>
            <w:pPr>
              <w:spacing w:after="0"/>
              <w:rPr>
                <w:sz w:val="10"/>
                <w:szCs w:val="10"/>
                <w:color w:val="auto"/>
              </w:rPr>
            </w:pPr>
          </w:p>
        </w:tc>
        <w:tc>
          <w:tcPr>
            <w:tcW w:w="1280" w:type="dxa"/>
            <w:vAlign w:val="bottom"/>
            <w:tcBorders>
              <w:bottom w:val="single" w:sz="8" w:color="0C3471"/>
            </w:tcBorders>
          </w:tcPr>
          <w:p>
            <w:pPr>
              <w:spacing w:after="0"/>
              <w:rPr>
                <w:sz w:val="10"/>
                <w:szCs w:val="10"/>
                <w:color w:val="auto"/>
              </w:rPr>
            </w:pPr>
          </w:p>
        </w:tc>
        <w:tc>
          <w:tcPr>
            <w:tcW w:w="1280" w:type="dxa"/>
            <w:vAlign w:val="bottom"/>
            <w:tcBorders>
              <w:bottom w:val="single" w:sz="8" w:color="0C3471"/>
            </w:tcBorders>
          </w:tcPr>
          <w:p>
            <w:pPr>
              <w:spacing w:after="0"/>
              <w:rPr>
                <w:sz w:val="10"/>
                <w:szCs w:val="10"/>
                <w:color w:val="auto"/>
              </w:rPr>
            </w:pPr>
          </w:p>
        </w:tc>
        <w:tc>
          <w:tcPr>
            <w:tcW w:w="1080" w:type="dxa"/>
            <w:vAlign w:val="bottom"/>
            <w:tcBorders>
              <w:bottom w:val="single" w:sz="8" w:color="0C3471"/>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166" w:lineRule="exact"/>
        <w:rPr>
          <w:sz w:val="20"/>
          <w:szCs w:val="20"/>
          <w:color w:val="auto"/>
        </w:rPr>
      </w:pPr>
    </w:p>
    <w:p>
      <w:pPr>
        <w:ind w:left="240" w:hanging="232"/>
        <w:spacing w:after="0"/>
        <w:tabs>
          <w:tab w:leader="none" w:pos="240" w:val="left"/>
        </w:tabs>
        <w:numPr>
          <w:ilvl w:val="0"/>
          <w:numId w:val="100"/>
        </w:numPr>
        <w:rPr>
          <w:rFonts w:ascii="Arial" w:cs="Arial" w:eastAsia="Arial" w:hAnsi="Arial"/>
          <w:sz w:val="9"/>
          <w:szCs w:val="9"/>
          <w:color w:val="auto"/>
        </w:rPr>
      </w:pPr>
      <w:r>
        <w:rPr>
          <w:rFonts w:ascii="Arial" w:cs="Arial" w:eastAsia="Arial" w:hAnsi="Arial"/>
          <w:sz w:val="14"/>
          <w:szCs w:val="14"/>
          <w:color w:val="auto"/>
        </w:rPr>
        <w:t>Amounts shown in the “Salary” and “Non-Equity Incentive Plan Compensation” columns are not reduced by any deferrals under our deferred compensation plans.</w:t>
      </w:r>
    </w:p>
    <w:p>
      <w:pPr>
        <w:spacing w:after="0" w:line="95" w:lineRule="exact"/>
        <w:rPr>
          <w:rFonts w:ascii="Arial" w:cs="Arial" w:eastAsia="Arial" w:hAnsi="Arial"/>
          <w:sz w:val="9"/>
          <w:szCs w:val="9"/>
          <w:color w:val="auto"/>
        </w:rPr>
      </w:pPr>
    </w:p>
    <w:p>
      <w:pPr>
        <w:ind w:left="200" w:right="40" w:hanging="192"/>
        <w:spacing w:after="0" w:line="287" w:lineRule="auto"/>
        <w:tabs>
          <w:tab w:leader="none" w:pos="214" w:val="left"/>
        </w:tabs>
        <w:numPr>
          <w:ilvl w:val="0"/>
          <w:numId w:val="100"/>
        </w:numPr>
        <w:rPr>
          <w:rFonts w:ascii="Arial" w:cs="Arial" w:eastAsia="Arial" w:hAnsi="Arial"/>
          <w:sz w:val="9"/>
          <w:szCs w:val="9"/>
          <w:color w:val="auto"/>
        </w:rPr>
      </w:pPr>
      <w:r>
        <w:rPr>
          <w:rFonts w:ascii="Arial" w:cs="Arial" w:eastAsia="Arial" w:hAnsi="Arial"/>
          <w:sz w:val="14"/>
          <w:szCs w:val="14"/>
          <w:color w:val="auto"/>
        </w:rPr>
        <w:t>The amounts in column (e) represent the aggregate grant date fair value, computed in accordance with ASC 718, of restricted stock units and performance share units granted during each year. The values attributable to the 2025 grants of restricted stock units were as follows: Mr. Stauch — $0.; Mr. Fishman — $462,543; Mr. Pedretti —  $374,994; Mr. Wiggins — $337,545; and Mr. Chiu — $337,545. The values attributable to the 2025 grants of performance share units were based on the probable outcome of the performance conditions at the time of grant, and were as follows: Mr. Stauch — $5,100,019; Mr. Fishman — $924,985; Mr. Pedretti — $749,988; Mr. Wiggins — $674,989; and Mr. Chiu — $674,989. The maximum values of the 2025 grants of performance share units at the time of grant assuming that the highest level of performance conditions is attained, are as follows: Mr. Stauch — $10,200,038; Mr. Fishman — $1,849,970; Mr. Pedretti — $1,499,976; Mr. Wiggins — $1,349,978; and Mr. Chiu — $1,349,978. Additional assumptions used in the calculation of the amounts in column (e) are included in note 13 to our audited financial statements for the year ended December 31, 2025 included in our Annual Report on Form 10-K filed with the SEC on February 24, 2026.</w:t>
      </w:r>
    </w:p>
    <w:p>
      <w:pPr>
        <w:spacing w:after="0" w:line="39" w:lineRule="exact"/>
        <w:rPr>
          <w:rFonts w:ascii="Arial" w:cs="Arial" w:eastAsia="Arial" w:hAnsi="Arial"/>
          <w:sz w:val="9"/>
          <w:szCs w:val="9"/>
          <w:color w:val="auto"/>
        </w:rPr>
      </w:pPr>
    </w:p>
    <w:p>
      <w:pPr>
        <w:ind w:left="200" w:right="100" w:hanging="192"/>
        <w:spacing w:after="0" w:line="249" w:lineRule="auto"/>
        <w:tabs>
          <w:tab w:leader="none" w:pos="214" w:val="left"/>
        </w:tabs>
        <w:numPr>
          <w:ilvl w:val="0"/>
          <w:numId w:val="100"/>
        </w:numPr>
        <w:rPr>
          <w:rFonts w:ascii="Arial" w:cs="Arial" w:eastAsia="Arial" w:hAnsi="Arial"/>
          <w:sz w:val="19"/>
          <w:szCs w:val="19"/>
          <w:color w:val="auto"/>
          <w:vertAlign w:val="superscript"/>
        </w:rPr>
      </w:pPr>
      <w:r>
        <w:rPr>
          <w:rFonts w:ascii="Arial" w:cs="Arial" w:eastAsia="Arial" w:hAnsi="Arial"/>
          <w:sz w:val="14"/>
          <w:szCs w:val="14"/>
          <w:color w:val="auto"/>
        </w:rPr>
        <w:t>The amounts in column (f) represent the aggregate grant date fair value, computed in accordance with ASC 718, of stock options granted during each year. Assumptions used in the calculation of these amounts are included in note 13 to our audited financial statements for the year ended December 31, 2025 included in our Annual Report on Form 10-K filed with the SEC on February 24, 2026.</w:t>
      </w:r>
    </w:p>
    <w:p>
      <w:pPr>
        <w:spacing w:after="0" w:line="45" w:lineRule="exact"/>
        <w:rPr>
          <w:rFonts w:ascii="Arial" w:cs="Arial" w:eastAsia="Arial" w:hAnsi="Arial"/>
          <w:sz w:val="19"/>
          <w:szCs w:val="19"/>
          <w:color w:val="auto"/>
          <w:vertAlign w:val="superscript"/>
        </w:rPr>
      </w:pPr>
    </w:p>
    <w:p>
      <w:pPr>
        <w:ind w:left="200" w:hanging="192"/>
        <w:spacing w:after="0"/>
        <w:tabs>
          <w:tab w:leader="none" w:pos="200" w:val="left"/>
        </w:tabs>
        <w:numPr>
          <w:ilvl w:val="0"/>
          <w:numId w:val="100"/>
        </w:numPr>
        <w:rPr>
          <w:rFonts w:ascii="Arial" w:cs="Arial" w:eastAsia="Arial" w:hAnsi="Arial"/>
          <w:sz w:val="19"/>
          <w:szCs w:val="19"/>
          <w:color w:val="auto"/>
          <w:vertAlign w:val="superscript"/>
        </w:rPr>
      </w:pPr>
      <w:r>
        <w:rPr>
          <w:rFonts w:ascii="Arial" w:cs="Arial" w:eastAsia="Arial" w:hAnsi="Arial"/>
          <w:sz w:val="14"/>
          <w:szCs w:val="14"/>
          <w:color w:val="auto"/>
        </w:rPr>
        <w:t>The amounts in column (g) reflect cash awards to the named individuals pursuant to awards under the MIP as determined by the Compensation Committee.</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600" w:hanging="574"/>
        <w:spacing w:after="0"/>
        <w:tabs>
          <w:tab w:leader="none" w:pos="600" w:val="left"/>
        </w:tabs>
        <w:numPr>
          <w:ilvl w:val="0"/>
          <w:numId w:val="101"/>
        </w:numPr>
        <w:rPr>
          <w:rFonts w:ascii="Arial" w:cs="Arial" w:eastAsia="Arial" w:hAnsi="Arial"/>
          <w:sz w:val="16"/>
          <w:szCs w:val="16"/>
          <w:b w:val="1"/>
          <w:bCs w:val="1"/>
          <w:color w:val="auto"/>
        </w:rPr>
      </w:pPr>
      <w:r>
        <w:rPr>
          <w:rFonts w:ascii="Arial" w:cs="Arial" w:eastAsia="Arial" w:hAnsi="Arial"/>
          <w:sz w:val="16"/>
          <w:szCs w:val="16"/>
          <w:color w:val="auto"/>
        </w:rPr>
        <w:t xml:space="preserve">Pentair </w:t>
      </w:r>
      <w:r>
        <w:rPr>
          <w:rFonts w:ascii="Arial" w:cs="Arial" w:eastAsia="Arial" w:hAnsi="Arial"/>
          <w:sz w:val="16"/>
          <w:szCs w:val="16"/>
          <w:b w:val="1"/>
          <w:bCs w:val="1"/>
          <w:color w:val="0C3471"/>
        </w:rPr>
        <w:t>|</w:t>
      </w:r>
      <w:r>
        <w:rPr>
          <w:rFonts w:ascii="Arial" w:cs="Arial" w:eastAsia="Arial" w:hAnsi="Arial"/>
          <w:sz w:val="16"/>
          <w:szCs w:val="16"/>
          <w:color w:val="auto"/>
        </w:rPr>
        <w:t xml:space="preserve"> </w:t>
      </w:r>
      <w:r>
        <w:rPr>
          <w:rFonts w:ascii="Arial" w:cs="Arial" w:eastAsia="Arial" w:hAnsi="Arial"/>
          <w:sz w:val="16"/>
          <w:szCs w:val="16"/>
          <w:b w:val="1"/>
          <w:bCs w:val="1"/>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213995</wp:posOffset>
            </wp:positionV>
            <wp:extent cx="7157720" cy="425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8" w:name="page59"/>
    <w:bookmarkEnd w:id="58"/>
    <w:p>
      <w:pPr>
        <w:jc w:val="right"/>
        <w:ind w:right="2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5274310</wp:posOffset>
            </wp:positionH>
            <wp:positionV relativeFrom="page">
              <wp:posOffset>106045</wp:posOffset>
            </wp:positionV>
            <wp:extent cx="102870" cy="11176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clrChange>
                        <a:clrFrom>
                          <a:srgbClr val="FFFFFF"/>
                        </a:clrFrom>
                        <a:clrTo>
                          <a:srgbClr val="FFFFFF">
                            <a:alpha val="0"/>
                          </a:srgbClr>
                        </a:clrTo>
                      </a:clrChange>
                      <a:extLst>
                        <a:ext uri="{28A0092B-C50C-407E-A947-70E740481C1C}"/>
                      </a:extLst>
                    </a:blip>
                    <a:srcRect/>
                    <a:stretch>
                      <a:fillRect/>
                    </a:stretch>
                  </pic:blipFill>
                  <pic:spPr bwMode="auto">
                    <a:xfrm>
                      <a:off x="0" y="0"/>
                      <a:ext cx="102870" cy="111760"/>
                    </a:xfrm>
                    <a:prstGeom prst="rect">
                      <a:avLst/>
                    </a:prstGeom>
                    <a:noFill/>
                  </pic:spPr>
                </pic:pic>
              </a:graphicData>
            </a:graphic>
          </wp:anchor>
        </w:drawing>
        <w:t>Executive Compensation Tables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200" w:right="20" w:hanging="192"/>
        <w:spacing w:after="0" w:line="239" w:lineRule="auto"/>
        <w:tabs>
          <w:tab w:leader="none" w:pos="214" w:val="left"/>
        </w:tabs>
        <w:numPr>
          <w:ilvl w:val="0"/>
          <w:numId w:val="102"/>
        </w:numPr>
        <w:rPr>
          <w:rFonts w:ascii="Arial" w:cs="Arial" w:eastAsia="Arial" w:hAnsi="Arial"/>
          <w:sz w:val="19"/>
          <w:szCs w:val="19"/>
          <w:color w:val="auto"/>
          <w:vertAlign w:val="superscript"/>
        </w:rPr>
      </w:pPr>
      <w:r>
        <w:rPr>
          <w:rFonts w:ascii="Arial" w:cs="Arial" w:eastAsia="Arial" w:hAnsi="Arial"/>
          <w:sz w:val="14"/>
          <w:szCs w:val="14"/>
          <w:color w:val="auto"/>
        </w:rPr>
        <w:t>The amounts in column (h) reflect the net increase, if any, in the actuarial present value of Mr. Stauch’s accumulated benefits under all of our pension plans determined using interest rate and mortality rate assumptions consistent with those used in our financial statements.</w:t>
      </w:r>
    </w:p>
    <w:p>
      <w:pPr>
        <w:spacing w:after="0" w:line="67" w:lineRule="exact"/>
        <w:rPr>
          <w:rFonts w:ascii="Arial" w:cs="Arial" w:eastAsia="Arial" w:hAnsi="Arial"/>
          <w:sz w:val="19"/>
          <w:szCs w:val="19"/>
          <w:color w:val="auto"/>
          <w:vertAlign w:val="superscript"/>
        </w:rPr>
      </w:pPr>
    </w:p>
    <w:p>
      <w:pPr>
        <w:ind w:left="200" w:right="100" w:hanging="192"/>
        <w:spacing w:after="0" w:line="264" w:lineRule="auto"/>
        <w:tabs>
          <w:tab w:leader="none" w:pos="214" w:val="left"/>
        </w:tabs>
        <w:numPr>
          <w:ilvl w:val="0"/>
          <w:numId w:val="102"/>
        </w:numPr>
        <w:rPr>
          <w:rFonts w:ascii="Arial" w:cs="Arial" w:eastAsia="Arial" w:hAnsi="Arial"/>
          <w:sz w:val="19"/>
          <w:szCs w:val="19"/>
          <w:color w:val="auto"/>
          <w:vertAlign w:val="superscript"/>
        </w:rPr>
      </w:pPr>
      <w:r>
        <w:rPr>
          <w:rFonts w:ascii="Arial" w:cs="Arial" w:eastAsia="Arial" w:hAnsi="Arial"/>
          <w:sz w:val="14"/>
          <w:szCs w:val="14"/>
          <w:color w:val="auto"/>
        </w:rPr>
        <w:t>The table below shows the components of column (i) for 2025, which include perquisites and other personal benefits, and the Company contributions under the Sidekick Plan, the Pentair, Inc. Retirement Savings and Stock Incentive Plan (the “RSIP”) and the Employee Stock Purchase and Bonus Plan. The Named Executive Officers also receive perquisites in the form of occasional personal use of event tickets when such tickets are not being used for business purposes and a limited financial counseling benefit, for which, in both cases, we have no aggregate incremental cost. Mr. Fishman and Mr. Chiu received corporate golf club membership benefits, for which we have no aggregate incremental cost, for business development purposes.</w:t>
      </w:r>
    </w:p>
    <w:p>
      <w:pPr>
        <w:spacing w:after="0" w:line="136" w:lineRule="exact"/>
        <w:rPr>
          <w:sz w:val="20"/>
          <w:szCs w:val="20"/>
          <w:color w:val="auto"/>
        </w:rPr>
      </w:pPr>
    </w:p>
    <w:tbl>
      <w:tblPr>
        <w:tblLayout w:type="fixed"/>
        <w:tblInd w:w="200" w:type="dxa"/>
        <w:tblCellMar>
          <w:top w:w="0" w:type="dxa"/>
          <w:left w:w="0" w:type="dxa"/>
          <w:bottom w:w="0" w:type="dxa"/>
          <w:right w:w="0" w:type="dxa"/>
        </w:tblCellMar>
      </w:tblPr>
      <w:tr>
        <w:trPr>
          <w:trHeight w:val="172"/>
        </w:trPr>
        <w:tc>
          <w:tcPr>
            <w:tcW w:w="4420" w:type="dxa"/>
            <w:vAlign w:val="bottom"/>
          </w:tcPr>
          <w:p>
            <w:pPr>
              <w:spacing w:after="0"/>
              <w:rPr>
                <w:sz w:val="14"/>
                <w:szCs w:val="14"/>
                <w:color w:val="auto"/>
              </w:rPr>
            </w:pPr>
          </w:p>
        </w:tc>
        <w:tc>
          <w:tcPr>
            <w:tcW w:w="1840" w:type="dxa"/>
            <w:vAlign w:val="bottom"/>
          </w:tcPr>
          <w:p>
            <w:pPr>
              <w:jc w:val="right"/>
              <w:ind w:right="233"/>
              <w:spacing w:after="0"/>
              <w:rPr>
                <w:sz w:val="20"/>
                <w:szCs w:val="20"/>
                <w:color w:val="auto"/>
              </w:rPr>
            </w:pPr>
            <w:r>
              <w:rPr>
                <w:rFonts w:ascii="Arial" w:cs="Arial" w:eastAsia="Arial" w:hAnsi="Arial"/>
                <w:sz w:val="13"/>
                <w:szCs w:val="13"/>
                <w:b w:val="1"/>
                <w:bCs w:val="1"/>
                <w:color w:val="0C3471"/>
              </w:rPr>
              <w:t>(A)</w:t>
            </w:r>
          </w:p>
        </w:tc>
        <w:tc>
          <w:tcPr>
            <w:tcW w:w="1780" w:type="dxa"/>
            <w:vAlign w:val="bottom"/>
          </w:tcPr>
          <w:p>
            <w:pPr>
              <w:jc w:val="right"/>
              <w:ind w:right="193"/>
              <w:spacing w:after="0"/>
              <w:rPr>
                <w:sz w:val="20"/>
                <w:szCs w:val="20"/>
                <w:color w:val="auto"/>
              </w:rPr>
            </w:pPr>
            <w:r>
              <w:rPr>
                <w:rFonts w:ascii="Arial" w:cs="Arial" w:eastAsia="Arial" w:hAnsi="Arial"/>
                <w:sz w:val="13"/>
                <w:szCs w:val="13"/>
                <w:b w:val="1"/>
                <w:bCs w:val="1"/>
                <w:color w:val="0C3471"/>
              </w:rPr>
              <w:t>(B)</w:t>
            </w:r>
          </w:p>
        </w:tc>
        <w:tc>
          <w:tcPr>
            <w:tcW w:w="1620" w:type="dxa"/>
            <w:vAlign w:val="bottom"/>
          </w:tcPr>
          <w:p>
            <w:pPr>
              <w:jc w:val="right"/>
              <w:ind w:right="173"/>
              <w:spacing w:after="0"/>
              <w:rPr>
                <w:sz w:val="20"/>
                <w:szCs w:val="20"/>
                <w:color w:val="auto"/>
              </w:rPr>
            </w:pPr>
            <w:r>
              <w:rPr>
                <w:rFonts w:ascii="Arial" w:cs="Arial" w:eastAsia="Arial" w:hAnsi="Arial"/>
                <w:sz w:val="13"/>
                <w:szCs w:val="13"/>
                <w:b w:val="1"/>
                <w:bCs w:val="1"/>
                <w:color w:val="0C3471"/>
              </w:rPr>
              <w:t>(C)</w:t>
            </w:r>
          </w:p>
        </w:tc>
        <w:tc>
          <w:tcPr>
            <w:tcW w:w="1100" w:type="dxa"/>
            <w:vAlign w:val="bottom"/>
          </w:tcPr>
          <w:p>
            <w:pPr>
              <w:jc w:val="right"/>
              <w:spacing w:after="0"/>
              <w:rPr>
                <w:sz w:val="20"/>
                <w:szCs w:val="20"/>
                <w:color w:val="auto"/>
              </w:rPr>
            </w:pPr>
            <w:r>
              <w:rPr>
                <w:rFonts w:ascii="Arial" w:cs="Arial" w:eastAsia="Arial" w:hAnsi="Arial"/>
                <w:sz w:val="13"/>
                <w:szCs w:val="13"/>
                <w:b w:val="1"/>
                <w:bCs w:val="1"/>
                <w:color w:val="0C3471"/>
              </w:rPr>
              <w:t>(D)</w:t>
            </w:r>
          </w:p>
        </w:tc>
        <w:tc>
          <w:tcPr>
            <w:tcW w:w="0" w:type="dxa"/>
            <w:vAlign w:val="bottom"/>
          </w:tcPr>
          <w:p>
            <w:pPr>
              <w:spacing w:after="0"/>
              <w:rPr>
                <w:sz w:val="1"/>
                <w:szCs w:val="1"/>
                <w:color w:val="auto"/>
              </w:rPr>
            </w:pPr>
          </w:p>
        </w:tc>
      </w:tr>
      <w:tr>
        <w:trPr>
          <w:trHeight w:val="22"/>
        </w:trPr>
        <w:tc>
          <w:tcPr>
            <w:tcW w:w="4420" w:type="dxa"/>
            <w:vAlign w:val="bottom"/>
            <w:tcBorders>
              <w:bottom w:val="single" w:sz="8" w:color="FEFEFE"/>
            </w:tcBorders>
          </w:tcPr>
          <w:p>
            <w:pPr>
              <w:spacing w:after="0" w:line="20" w:lineRule="exact"/>
              <w:rPr>
                <w:sz w:val="1"/>
                <w:szCs w:val="1"/>
                <w:color w:val="auto"/>
              </w:rPr>
            </w:pPr>
          </w:p>
        </w:tc>
        <w:tc>
          <w:tcPr>
            <w:tcW w:w="1840" w:type="dxa"/>
            <w:vAlign w:val="bottom"/>
            <w:tcBorders>
              <w:bottom w:val="single" w:sz="8" w:color="BCBEC0"/>
            </w:tcBorders>
          </w:tcPr>
          <w:p>
            <w:pPr>
              <w:spacing w:after="0" w:line="20" w:lineRule="exact"/>
              <w:rPr>
                <w:sz w:val="1"/>
                <w:szCs w:val="1"/>
                <w:color w:val="auto"/>
              </w:rPr>
            </w:pPr>
          </w:p>
        </w:tc>
        <w:tc>
          <w:tcPr>
            <w:tcW w:w="1780" w:type="dxa"/>
            <w:vAlign w:val="bottom"/>
            <w:tcBorders>
              <w:bottom w:val="single" w:sz="8" w:color="BCBEC0"/>
            </w:tcBorders>
          </w:tcPr>
          <w:p>
            <w:pPr>
              <w:spacing w:after="0" w:line="20" w:lineRule="exact"/>
              <w:rPr>
                <w:sz w:val="1"/>
                <w:szCs w:val="1"/>
                <w:color w:val="auto"/>
              </w:rPr>
            </w:pPr>
          </w:p>
        </w:tc>
        <w:tc>
          <w:tcPr>
            <w:tcW w:w="1620" w:type="dxa"/>
            <w:vAlign w:val="bottom"/>
            <w:tcBorders>
              <w:bottom w:val="single" w:sz="8" w:color="BCBEC0"/>
            </w:tcBorders>
          </w:tcPr>
          <w:p>
            <w:pPr>
              <w:spacing w:after="0" w:line="20" w:lineRule="exact"/>
              <w:rPr>
                <w:sz w:val="1"/>
                <w:szCs w:val="1"/>
                <w:color w:val="auto"/>
              </w:rPr>
            </w:pPr>
          </w:p>
        </w:tc>
        <w:tc>
          <w:tcPr>
            <w:tcW w:w="1100" w:type="dxa"/>
            <w:vAlign w:val="bottom"/>
            <w:tcBorders>
              <w:bottom w:val="single" w:sz="8" w:color="BCBEC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5"/>
        </w:trPr>
        <w:tc>
          <w:tcPr>
            <w:tcW w:w="4420" w:type="dxa"/>
            <w:vAlign w:val="bottom"/>
          </w:tcPr>
          <w:p>
            <w:pPr>
              <w:spacing w:after="0"/>
              <w:rPr>
                <w:sz w:val="14"/>
                <w:szCs w:val="14"/>
                <w:color w:val="auto"/>
              </w:rPr>
            </w:pPr>
          </w:p>
        </w:tc>
        <w:tc>
          <w:tcPr>
            <w:tcW w:w="1840" w:type="dxa"/>
            <w:vAlign w:val="bottom"/>
          </w:tcPr>
          <w:p>
            <w:pPr>
              <w:jc w:val="right"/>
              <w:ind w:right="233"/>
              <w:spacing w:after="0"/>
              <w:rPr>
                <w:sz w:val="20"/>
                <w:szCs w:val="20"/>
                <w:color w:val="auto"/>
              </w:rPr>
            </w:pPr>
            <w:r>
              <w:rPr>
                <w:rFonts w:ascii="Arial" w:cs="Arial" w:eastAsia="Arial" w:hAnsi="Arial"/>
                <w:sz w:val="13"/>
                <w:szCs w:val="13"/>
                <w:b w:val="1"/>
                <w:bCs w:val="1"/>
                <w:color w:val="auto"/>
              </w:rPr>
              <w:t>Other Perquisites</w:t>
            </w:r>
          </w:p>
        </w:tc>
        <w:tc>
          <w:tcPr>
            <w:tcW w:w="1780" w:type="dxa"/>
            <w:vAlign w:val="bottom"/>
          </w:tcPr>
          <w:p>
            <w:pPr>
              <w:jc w:val="right"/>
              <w:ind w:right="193"/>
              <w:spacing w:after="0"/>
              <w:rPr>
                <w:sz w:val="20"/>
                <w:szCs w:val="20"/>
                <w:color w:val="auto"/>
              </w:rPr>
            </w:pPr>
            <w:r>
              <w:rPr>
                <w:rFonts w:ascii="Arial" w:cs="Arial" w:eastAsia="Arial" w:hAnsi="Arial"/>
                <w:sz w:val="13"/>
                <w:szCs w:val="13"/>
                <w:b w:val="1"/>
                <w:bCs w:val="1"/>
                <w:color w:val="auto"/>
              </w:rPr>
              <w:t>Contributions under</w:t>
            </w:r>
          </w:p>
        </w:tc>
        <w:tc>
          <w:tcPr>
            <w:tcW w:w="1620" w:type="dxa"/>
            <w:vAlign w:val="bottom"/>
          </w:tcPr>
          <w:p>
            <w:pPr>
              <w:jc w:val="right"/>
              <w:ind w:right="173"/>
              <w:spacing w:after="0"/>
              <w:rPr>
                <w:sz w:val="20"/>
                <w:szCs w:val="20"/>
                <w:color w:val="auto"/>
              </w:rPr>
            </w:pPr>
            <w:r>
              <w:rPr>
                <w:rFonts w:ascii="Arial" w:cs="Arial" w:eastAsia="Arial" w:hAnsi="Arial"/>
                <w:sz w:val="13"/>
                <w:szCs w:val="13"/>
                <w:b w:val="1"/>
                <w:bCs w:val="1"/>
                <w:color w:val="auto"/>
              </w:rPr>
              <w:t>Matches under the</w:t>
            </w:r>
          </w:p>
        </w:tc>
        <w:tc>
          <w:tcPr>
            <w:tcW w:w="110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Total All Other</w:t>
            </w:r>
          </w:p>
        </w:tc>
        <w:tc>
          <w:tcPr>
            <w:tcW w:w="0" w:type="dxa"/>
            <w:vAlign w:val="bottom"/>
          </w:tcPr>
          <w:p>
            <w:pPr>
              <w:spacing w:after="0"/>
              <w:rPr>
                <w:sz w:val="1"/>
                <w:szCs w:val="1"/>
                <w:color w:val="auto"/>
              </w:rPr>
            </w:pPr>
          </w:p>
        </w:tc>
      </w:tr>
      <w:tr>
        <w:trPr>
          <w:trHeight w:val="149"/>
        </w:trPr>
        <w:tc>
          <w:tcPr>
            <w:tcW w:w="4420" w:type="dxa"/>
            <w:vAlign w:val="bottom"/>
          </w:tcPr>
          <w:p>
            <w:pPr>
              <w:spacing w:after="0"/>
              <w:rPr>
                <w:sz w:val="12"/>
                <w:szCs w:val="12"/>
                <w:color w:val="auto"/>
              </w:rPr>
            </w:pPr>
          </w:p>
        </w:tc>
        <w:tc>
          <w:tcPr>
            <w:tcW w:w="1840" w:type="dxa"/>
            <w:vAlign w:val="bottom"/>
          </w:tcPr>
          <w:p>
            <w:pPr>
              <w:jc w:val="right"/>
              <w:ind w:right="233"/>
              <w:spacing w:after="0"/>
              <w:rPr>
                <w:sz w:val="20"/>
                <w:szCs w:val="20"/>
                <w:color w:val="auto"/>
              </w:rPr>
            </w:pPr>
            <w:r>
              <w:rPr>
                <w:rFonts w:ascii="Arial" w:cs="Arial" w:eastAsia="Arial" w:hAnsi="Arial"/>
                <w:sz w:val="13"/>
                <w:szCs w:val="13"/>
                <w:b w:val="1"/>
                <w:bCs w:val="1"/>
                <w:color w:val="auto"/>
              </w:rPr>
              <w:t>and Personal</w:t>
            </w:r>
          </w:p>
        </w:tc>
        <w:tc>
          <w:tcPr>
            <w:tcW w:w="1780" w:type="dxa"/>
            <w:vAlign w:val="bottom"/>
          </w:tcPr>
          <w:p>
            <w:pPr>
              <w:jc w:val="right"/>
              <w:ind w:right="193"/>
              <w:spacing w:after="0"/>
              <w:rPr>
                <w:sz w:val="20"/>
                <w:szCs w:val="20"/>
                <w:color w:val="auto"/>
              </w:rPr>
            </w:pPr>
            <w:r>
              <w:rPr>
                <w:rFonts w:ascii="Arial" w:cs="Arial" w:eastAsia="Arial" w:hAnsi="Arial"/>
                <w:sz w:val="13"/>
                <w:szCs w:val="13"/>
                <w:b w:val="1"/>
                <w:bCs w:val="1"/>
                <w:color w:val="auto"/>
              </w:rPr>
              <w:t>Defined Contribution</w:t>
            </w:r>
          </w:p>
        </w:tc>
        <w:tc>
          <w:tcPr>
            <w:tcW w:w="1620" w:type="dxa"/>
            <w:vAlign w:val="bottom"/>
          </w:tcPr>
          <w:p>
            <w:pPr>
              <w:jc w:val="right"/>
              <w:ind w:right="173"/>
              <w:spacing w:after="0"/>
              <w:rPr>
                <w:sz w:val="20"/>
                <w:szCs w:val="20"/>
                <w:color w:val="auto"/>
              </w:rPr>
            </w:pPr>
            <w:r>
              <w:rPr>
                <w:rFonts w:ascii="Arial" w:cs="Arial" w:eastAsia="Arial" w:hAnsi="Arial"/>
                <w:sz w:val="13"/>
                <w:szCs w:val="13"/>
                <w:b w:val="1"/>
                <w:bCs w:val="1"/>
                <w:color w:val="auto"/>
              </w:rPr>
              <w:t>Employee Stock</w:t>
            </w: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20" w:type="dxa"/>
            <w:vAlign w:val="bottom"/>
          </w:tcPr>
          <w:p>
            <w:pPr>
              <w:spacing w:after="0"/>
              <w:rPr>
                <w:sz w:val="12"/>
                <w:szCs w:val="12"/>
                <w:color w:val="auto"/>
              </w:rPr>
            </w:pPr>
          </w:p>
        </w:tc>
        <w:tc>
          <w:tcPr>
            <w:tcW w:w="1840" w:type="dxa"/>
            <w:vAlign w:val="bottom"/>
          </w:tcPr>
          <w:p>
            <w:pPr>
              <w:jc w:val="right"/>
              <w:ind w:right="233"/>
              <w:spacing w:after="0"/>
              <w:rPr>
                <w:sz w:val="20"/>
                <w:szCs w:val="20"/>
                <w:color w:val="auto"/>
              </w:rPr>
            </w:pPr>
            <w:r>
              <w:rPr>
                <w:rFonts w:ascii="Arial" w:cs="Arial" w:eastAsia="Arial" w:hAnsi="Arial"/>
                <w:sz w:val="13"/>
                <w:szCs w:val="13"/>
                <w:b w:val="1"/>
                <w:bCs w:val="1"/>
                <w:color w:val="auto"/>
              </w:rPr>
              <w:t>Benefits</w:t>
            </w:r>
          </w:p>
        </w:tc>
        <w:tc>
          <w:tcPr>
            <w:tcW w:w="1780" w:type="dxa"/>
            <w:vAlign w:val="bottom"/>
          </w:tcPr>
          <w:p>
            <w:pPr>
              <w:jc w:val="right"/>
              <w:ind w:right="193"/>
              <w:spacing w:after="0"/>
              <w:rPr>
                <w:sz w:val="20"/>
                <w:szCs w:val="20"/>
                <w:color w:val="auto"/>
              </w:rPr>
            </w:pPr>
            <w:r>
              <w:rPr>
                <w:rFonts w:ascii="Arial" w:cs="Arial" w:eastAsia="Arial" w:hAnsi="Arial"/>
                <w:sz w:val="13"/>
                <w:szCs w:val="13"/>
                <w:b w:val="1"/>
                <w:bCs w:val="1"/>
                <w:color w:val="auto"/>
              </w:rPr>
              <w:t>Plans</w:t>
            </w:r>
          </w:p>
        </w:tc>
        <w:tc>
          <w:tcPr>
            <w:tcW w:w="1620" w:type="dxa"/>
            <w:vAlign w:val="bottom"/>
          </w:tcPr>
          <w:p>
            <w:pPr>
              <w:jc w:val="right"/>
              <w:ind w:right="173"/>
              <w:spacing w:after="0"/>
              <w:rPr>
                <w:sz w:val="20"/>
                <w:szCs w:val="20"/>
                <w:color w:val="auto"/>
              </w:rPr>
            </w:pPr>
            <w:r>
              <w:rPr>
                <w:rFonts w:ascii="Arial" w:cs="Arial" w:eastAsia="Arial" w:hAnsi="Arial"/>
                <w:sz w:val="13"/>
                <w:szCs w:val="13"/>
                <w:b w:val="1"/>
                <w:bCs w:val="1"/>
                <w:color w:val="auto"/>
              </w:rPr>
              <w:t>Purchase Plan</w:t>
            </w:r>
          </w:p>
        </w:tc>
        <w:tc>
          <w:tcPr>
            <w:tcW w:w="1100" w:type="dxa"/>
            <w:vAlign w:val="bottom"/>
          </w:tcPr>
          <w:p>
            <w:pPr>
              <w:jc w:val="right"/>
              <w:spacing w:after="0"/>
              <w:rPr>
                <w:sz w:val="20"/>
                <w:szCs w:val="20"/>
                <w:color w:val="auto"/>
              </w:rPr>
            </w:pPr>
            <w:r>
              <w:rPr>
                <w:rFonts w:ascii="Arial" w:cs="Arial" w:eastAsia="Arial" w:hAnsi="Arial"/>
                <w:sz w:val="13"/>
                <w:szCs w:val="13"/>
                <w:b w:val="1"/>
                <w:bCs w:val="1"/>
                <w:color w:val="auto"/>
              </w:rPr>
              <w:t>Compensation</w:t>
            </w:r>
          </w:p>
        </w:tc>
        <w:tc>
          <w:tcPr>
            <w:tcW w:w="0" w:type="dxa"/>
            <w:vAlign w:val="bottom"/>
          </w:tcPr>
          <w:p>
            <w:pPr>
              <w:spacing w:after="0"/>
              <w:rPr>
                <w:sz w:val="1"/>
                <w:szCs w:val="1"/>
                <w:color w:val="auto"/>
              </w:rPr>
            </w:pPr>
          </w:p>
        </w:tc>
      </w:tr>
      <w:tr>
        <w:trPr>
          <w:trHeight w:val="193"/>
        </w:trPr>
        <w:tc>
          <w:tcPr>
            <w:tcW w:w="4420" w:type="dxa"/>
            <w:vAlign w:val="bottom"/>
            <w:tcBorders>
              <w:bottom w:val="single" w:sz="8" w:color="0C3471"/>
            </w:tcBorders>
          </w:tcPr>
          <w:p>
            <w:pPr>
              <w:ind w:left="20"/>
              <w:spacing w:after="0"/>
              <w:rPr>
                <w:sz w:val="20"/>
                <w:szCs w:val="20"/>
                <w:color w:val="auto"/>
              </w:rPr>
            </w:pPr>
            <w:r>
              <w:rPr>
                <w:rFonts w:ascii="Arial" w:cs="Arial" w:eastAsia="Arial" w:hAnsi="Arial"/>
                <w:sz w:val="13"/>
                <w:szCs w:val="13"/>
                <w:b w:val="1"/>
                <w:bCs w:val="1"/>
                <w:color w:val="auto"/>
              </w:rPr>
              <w:t>Name</w:t>
            </w:r>
          </w:p>
        </w:tc>
        <w:tc>
          <w:tcPr>
            <w:tcW w:w="1840" w:type="dxa"/>
            <w:vAlign w:val="bottom"/>
            <w:tcBorders>
              <w:bottom w:val="single" w:sz="8" w:color="0C3471"/>
            </w:tcBorders>
          </w:tcPr>
          <w:p>
            <w:pPr>
              <w:jc w:val="right"/>
              <w:ind w:right="233"/>
              <w:spacing w:after="0"/>
              <w:rPr>
                <w:sz w:val="20"/>
                <w:szCs w:val="20"/>
                <w:color w:val="auto"/>
              </w:rPr>
            </w:pPr>
            <w:r>
              <w:rPr>
                <w:rFonts w:ascii="Arial" w:cs="Arial" w:eastAsia="Arial" w:hAnsi="Arial"/>
                <w:sz w:val="13"/>
                <w:szCs w:val="13"/>
                <w:b w:val="1"/>
                <w:bCs w:val="1"/>
                <w:color w:val="auto"/>
              </w:rPr>
              <w:t>($)</w:t>
            </w:r>
            <w:r>
              <w:rPr>
                <w:rFonts w:ascii="Arial" w:cs="Arial" w:eastAsia="Arial" w:hAnsi="Arial"/>
                <w:sz w:val="16"/>
                <w:szCs w:val="16"/>
                <w:b w:val="1"/>
                <w:bCs w:val="1"/>
                <w:color w:val="auto"/>
                <w:vertAlign w:val="superscript"/>
              </w:rPr>
              <w:t>(a)</w:t>
            </w:r>
          </w:p>
        </w:tc>
        <w:tc>
          <w:tcPr>
            <w:tcW w:w="1780" w:type="dxa"/>
            <w:vAlign w:val="bottom"/>
            <w:tcBorders>
              <w:bottom w:val="single" w:sz="8" w:color="0C3471"/>
            </w:tcBorders>
          </w:tcPr>
          <w:p>
            <w:pPr>
              <w:jc w:val="right"/>
              <w:ind w:right="193"/>
              <w:spacing w:after="0"/>
              <w:rPr>
                <w:sz w:val="20"/>
                <w:szCs w:val="20"/>
                <w:color w:val="auto"/>
              </w:rPr>
            </w:pPr>
            <w:r>
              <w:rPr>
                <w:rFonts w:ascii="Arial" w:cs="Arial" w:eastAsia="Arial" w:hAnsi="Arial"/>
                <w:sz w:val="13"/>
                <w:szCs w:val="13"/>
                <w:b w:val="1"/>
                <w:bCs w:val="1"/>
                <w:color w:val="auto"/>
              </w:rPr>
              <w:t>($)</w:t>
            </w:r>
            <w:r>
              <w:rPr>
                <w:rFonts w:ascii="Arial" w:cs="Arial" w:eastAsia="Arial" w:hAnsi="Arial"/>
                <w:sz w:val="16"/>
                <w:szCs w:val="16"/>
                <w:b w:val="1"/>
                <w:bCs w:val="1"/>
                <w:color w:val="auto"/>
                <w:vertAlign w:val="superscript"/>
              </w:rPr>
              <w:t>(b)</w:t>
            </w:r>
          </w:p>
        </w:tc>
        <w:tc>
          <w:tcPr>
            <w:tcW w:w="1620" w:type="dxa"/>
            <w:vAlign w:val="bottom"/>
            <w:tcBorders>
              <w:bottom w:val="single" w:sz="8" w:color="0C3471"/>
            </w:tcBorders>
          </w:tcPr>
          <w:p>
            <w:pPr>
              <w:jc w:val="right"/>
              <w:ind w:right="173"/>
              <w:spacing w:after="0"/>
              <w:rPr>
                <w:sz w:val="20"/>
                <w:szCs w:val="20"/>
                <w:color w:val="auto"/>
              </w:rPr>
            </w:pPr>
            <w:r>
              <w:rPr>
                <w:rFonts w:ascii="Arial" w:cs="Arial" w:eastAsia="Arial" w:hAnsi="Arial"/>
                <w:sz w:val="13"/>
                <w:szCs w:val="13"/>
                <w:b w:val="1"/>
                <w:bCs w:val="1"/>
                <w:color w:val="auto"/>
              </w:rPr>
              <w:t>($)</w:t>
            </w:r>
          </w:p>
        </w:tc>
        <w:tc>
          <w:tcPr>
            <w:tcW w:w="1100" w:type="dxa"/>
            <w:vAlign w:val="bottom"/>
            <w:tcBorders>
              <w:bottom w:val="single" w:sz="8" w:color="0C3471"/>
            </w:tcBorders>
          </w:tcPr>
          <w:p>
            <w:pPr>
              <w:jc w:val="right"/>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217"/>
        </w:trPr>
        <w:tc>
          <w:tcPr>
            <w:tcW w:w="4420" w:type="dxa"/>
            <w:vAlign w:val="bottom"/>
            <w:tcBorders>
              <w:bottom w:val="single" w:sz="8" w:color="BCBEC0"/>
            </w:tcBorders>
          </w:tcPr>
          <w:p>
            <w:pPr>
              <w:ind w:left="20"/>
              <w:spacing w:after="0"/>
              <w:rPr>
                <w:sz w:val="20"/>
                <w:szCs w:val="20"/>
                <w:color w:val="auto"/>
              </w:rPr>
            </w:pPr>
            <w:r>
              <w:rPr>
                <w:rFonts w:ascii="Arial" w:cs="Arial" w:eastAsia="Arial" w:hAnsi="Arial"/>
                <w:sz w:val="14"/>
                <w:szCs w:val="14"/>
                <w:b w:val="1"/>
                <w:bCs w:val="1"/>
                <w:color w:val="0C3471"/>
              </w:rPr>
              <w:t>John L. Stauch</w:t>
            </w:r>
          </w:p>
        </w:tc>
        <w:tc>
          <w:tcPr>
            <w:tcW w:w="1840" w:type="dxa"/>
            <w:vAlign w:val="bottom"/>
            <w:tcBorders>
              <w:bottom w:val="single" w:sz="8" w:color="BCBEC0"/>
            </w:tcBorders>
          </w:tcPr>
          <w:p>
            <w:pPr>
              <w:jc w:val="right"/>
              <w:ind w:right="273"/>
              <w:spacing w:after="0"/>
              <w:rPr>
                <w:sz w:val="20"/>
                <w:szCs w:val="20"/>
                <w:color w:val="auto"/>
              </w:rPr>
            </w:pPr>
            <w:r>
              <w:rPr>
                <w:rFonts w:ascii="Arial" w:cs="Arial" w:eastAsia="Arial" w:hAnsi="Arial"/>
                <w:sz w:val="14"/>
                <w:szCs w:val="14"/>
                <w:color w:val="auto"/>
              </w:rPr>
              <w:t>50,000</w:t>
            </w:r>
          </w:p>
        </w:tc>
        <w:tc>
          <w:tcPr>
            <w:tcW w:w="1780" w:type="dxa"/>
            <w:vAlign w:val="bottom"/>
            <w:tcBorders>
              <w:bottom w:val="single" w:sz="8" w:color="BCBEC0"/>
            </w:tcBorders>
          </w:tcPr>
          <w:p>
            <w:pPr>
              <w:jc w:val="right"/>
              <w:ind w:right="233"/>
              <w:spacing w:after="0"/>
              <w:rPr>
                <w:sz w:val="20"/>
                <w:szCs w:val="20"/>
                <w:color w:val="auto"/>
              </w:rPr>
            </w:pPr>
            <w:r>
              <w:rPr>
                <w:rFonts w:ascii="Arial" w:cs="Arial" w:eastAsia="Arial" w:hAnsi="Arial"/>
                <w:sz w:val="14"/>
                <w:szCs w:val="14"/>
                <w:color w:val="auto"/>
              </w:rPr>
              <w:t>35,250</w:t>
            </w:r>
          </w:p>
        </w:tc>
        <w:tc>
          <w:tcPr>
            <w:tcW w:w="1620" w:type="dxa"/>
            <w:vAlign w:val="bottom"/>
            <w:tcBorders>
              <w:bottom w:val="single" w:sz="8" w:color="BCBEC0"/>
            </w:tcBorders>
          </w:tcPr>
          <w:p>
            <w:pPr>
              <w:jc w:val="right"/>
              <w:ind w:right="213"/>
              <w:spacing w:after="0"/>
              <w:rPr>
                <w:sz w:val="20"/>
                <w:szCs w:val="20"/>
                <w:color w:val="auto"/>
              </w:rPr>
            </w:pPr>
            <w:r>
              <w:rPr>
                <w:rFonts w:ascii="Arial" w:cs="Arial" w:eastAsia="Arial" w:hAnsi="Arial"/>
                <w:sz w:val="14"/>
                <w:szCs w:val="14"/>
                <w:color w:val="auto"/>
              </w:rPr>
              <w:t>2,013</w:t>
            </w:r>
          </w:p>
        </w:tc>
        <w:tc>
          <w:tcPr>
            <w:tcW w:w="1100" w:type="dxa"/>
            <w:vAlign w:val="bottom"/>
            <w:tcBorders>
              <w:bottom w:val="single" w:sz="8" w:color="BCBEC0"/>
            </w:tcBorders>
          </w:tcPr>
          <w:p>
            <w:pPr>
              <w:jc w:val="right"/>
              <w:spacing w:after="0"/>
              <w:rPr>
                <w:sz w:val="20"/>
                <w:szCs w:val="20"/>
                <w:color w:val="auto"/>
              </w:rPr>
            </w:pPr>
            <w:r>
              <w:rPr>
                <w:rFonts w:ascii="Arial" w:cs="Arial" w:eastAsia="Arial" w:hAnsi="Arial"/>
                <w:sz w:val="14"/>
                <w:szCs w:val="14"/>
                <w:color w:val="auto"/>
              </w:rPr>
              <w:t>87,263</w:t>
            </w:r>
          </w:p>
        </w:tc>
        <w:tc>
          <w:tcPr>
            <w:tcW w:w="0" w:type="dxa"/>
            <w:vAlign w:val="bottom"/>
          </w:tcPr>
          <w:p>
            <w:pPr>
              <w:spacing w:after="0"/>
              <w:rPr>
                <w:sz w:val="1"/>
                <w:szCs w:val="1"/>
                <w:color w:val="auto"/>
              </w:rPr>
            </w:pPr>
          </w:p>
        </w:tc>
      </w:tr>
      <w:tr>
        <w:trPr>
          <w:trHeight w:val="223"/>
        </w:trPr>
        <w:tc>
          <w:tcPr>
            <w:tcW w:w="4420" w:type="dxa"/>
            <w:vAlign w:val="bottom"/>
            <w:tcBorders>
              <w:bottom w:val="single" w:sz="8" w:color="BCBEC0"/>
            </w:tcBorders>
          </w:tcPr>
          <w:p>
            <w:pPr>
              <w:ind w:left="20"/>
              <w:spacing w:after="0"/>
              <w:rPr>
                <w:sz w:val="20"/>
                <w:szCs w:val="20"/>
                <w:color w:val="auto"/>
              </w:rPr>
            </w:pPr>
            <w:r>
              <w:rPr>
                <w:rFonts w:ascii="Arial" w:cs="Arial" w:eastAsia="Arial" w:hAnsi="Arial"/>
                <w:sz w:val="14"/>
                <w:szCs w:val="14"/>
                <w:b w:val="1"/>
                <w:bCs w:val="1"/>
                <w:color w:val="0C3471"/>
              </w:rPr>
              <w:t>Robert P. Fishman</w:t>
            </w:r>
          </w:p>
        </w:tc>
        <w:tc>
          <w:tcPr>
            <w:tcW w:w="1840" w:type="dxa"/>
            <w:vAlign w:val="bottom"/>
            <w:tcBorders>
              <w:bottom w:val="single" w:sz="8" w:color="BCBEC0"/>
            </w:tcBorders>
          </w:tcPr>
          <w:p>
            <w:pPr>
              <w:jc w:val="right"/>
              <w:ind w:right="273"/>
              <w:spacing w:after="0"/>
              <w:rPr>
                <w:sz w:val="20"/>
                <w:szCs w:val="20"/>
                <w:color w:val="auto"/>
              </w:rPr>
            </w:pPr>
            <w:r>
              <w:rPr>
                <w:rFonts w:ascii="Arial" w:cs="Arial" w:eastAsia="Arial" w:hAnsi="Arial"/>
                <w:sz w:val="14"/>
                <w:szCs w:val="14"/>
                <w:color w:val="auto"/>
              </w:rPr>
              <w:t>12,917</w:t>
            </w:r>
          </w:p>
        </w:tc>
        <w:tc>
          <w:tcPr>
            <w:tcW w:w="1780" w:type="dxa"/>
            <w:vAlign w:val="bottom"/>
            <w:tcBorders>
              <w:bottom w:val="single" w:sz="8" w:color="BCBEC0"/>
            </w:tcBorders>
          </w:tcPr>
          <w:p>
            <w:pPr>
              <w:jc w:val="right"/>
              <w:ind w:right="233"/>
              <w:spacing w:after="0"/>
              <w:rPr>
                <w:sz w:val="20"/>
                <w:szCs w:val="20"/>
                <w:color w:val="auto"/>
              </w:rPr>
            </w:pPr>
            <w:r>
              <w:rPr>
                <w:rFonts w:ascii="Arial" w:cs="Arial" w:eastAsia="Arial" w:hAnsi="Arial"/>
                <w:sz w:val="14"/>
                <w:szCs w:val="14"/>
                <w:color w:val="auto"/>
              </w:rPr>
              <w:t>35,324</w:t>
            </w:r>
          </w:p>
        </w:tc>
        <w:tc>
          <w:tcPr>
            <w:tcW w:w="1620" w:type="dxa"/>
            <w:vAlign w:val="bottom"/>
            <w:tcBorders>
              <w:bottom w:val="single" w:sz="8" w:color="BCBEC0"/>
            </w:tcBorders>
          </w:tcPr>
          <w:p>
            <w:pPr>
              <w:jc w:val="right"/>
              <w:ind w:right="213"/>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BCBEC0"/>
            </w:tcBorders>
          </w:tcPr>
          <w:p>
            <w:pPr>
              <w:jc w:val="right"/>
              <w:spacing w:after="0"/>
              <w:rPr>
                <w:sz w:val="20"/>
                <w:szCs w:val="20"/>
                <w:color w:val="auto"/>
              </w:rPr>
            </w:pPr>
            <w:r>
              <w:rPr>
                <w:rFonts w:ascii="Arial" w:cs="Arial" w:eastAsia="Arial" w:hAnsi="Arial"/>
                <w:sz w:val="14"/>
                <w:szCs w:val="14"/>
                <w:color w:val="auto"/>
              </w:rPr>
              <w:t>48,241</w:t>
            </w:r>
          </w:p>
        </w:tc>
        <w:tc>
          <w:tcPr>
            <w:tcW w:w="0" w:type="dxa"/>
            <w:vAlign w:val="bottom"/>
          </w:tcPr>
          <w:p>
            <w:pPr>
              <w:spacing w:after="0"/>
              <w:rPr>
                <w:sz w:val="1"/>
                <w:szCs w:val="1"/>
                <w:color w:val="auto"/>
              </w:rPr>
            </w:pPr>
          </w:p>
        </w:tc>
      </w:tr>
      <w:tr>
        <w:trPr>
          <w:trHeight w:val="223"/>
        </w:trPr>
        <w:tc>
          <w:tcPr>
            <w:tcW w:w="4420" w:type="dxa"/>
            <w:vAlign w:val="bottom"/>
            <w:tcBorders>
              <w:bottom w:val="single" w:sz="8" w:color="BCBEC0"/>
            </w:tcBorders>
          </w:tcPr>
          <w:p>
            <w:pPr>
              <w:ind w:left="20"/>
              <w:spacing w:after="0"/>
              <w:rPr>
                <w:sz w:val="20"/>
                <w:szCs w:val="20"/>
                <w:color w:val="auto"/>
              </w:rPr>
            </w:pPr>
            <w:r>
              <w:rPr>
                <w:rFonts w:ascii="Arial" w:cs="Arial" w:eastAsia="Arial" w:hAnsi="Arial"/>
                <w:sz w:val="14"/>
                <w:szCs w:val="14"/>
                <w:b w:val="1"/>
                <w:bCs w:val="1"/>
                <w:color w:val="0C3471"/>
              </w:rPr>
              <w:t>Jerome O. Pedretti</w:t>
            </w:r>
          </w:p>
        </w:tc>
        <w:tc>
          <w:tcPr>
            <w:tcW w:w="1840" w:type="dxa"/>
            <w:vAlign w:val="bottom"/>
            <w:tcBorders>
              <w:bottom w:val="single" w:sz="8" w:color="BCBEC0"/>
            </w:tcBorders>
          </w:tcPr>
          <w:p>
            <w:pPr>
              <w:jc w:val="right"/>
              <w:ind w:right="273"/>
              <w:spacing w:after="0"/>
              <w:rPr>
                <w:sz w:val="20"/>
                <w:szCs w:val="20"/>
                <w:color w:val="auto"/>
              </w:rPr>
            </w:pPr>
            <w:r>
              <w:rPr>
                <w:rFonts w:ascii="Arial" w:cs="Arial" w:eastAsia="Arial" w:hAnsi="Arial"/>
                <w:sz w:val="14"/>
                <w:szCs w:val="14"/>
                <w:color w:val="auto"/>
              </w:rPr>
              <w:t>2,600</w:t>
            </w:r>
          </w:p>
        </w:tc>
        <w:tc>
          <w:tcPr>
            <w:tcW w:w="1780" w:type="dxa"/>
            <w:vAlign w:val="bottom"/>
            <w:tcBorders>
              <w:bottom w:val="single" w:sz="8" w:color="BCBEC0"/>
            </w:tcBorders>
          </w:tcPr>
          <w:p>
            <w:pPr>
              <w:jc w:val="right"/>
              <w:ind w:right="233"/>
              <w:spacing w:after="0"/>
              <w:rPr>
                <w:sz w:val="20"/>
                <w:szCs w:val="20"/>
                <w:color w:val="auto"/>
              </w:rPr>
            </w:pPr>
            <w:r>
              <w:rPr>
                <w:rFonts w:ascii="Arial" w:cs="Arial" w:eastAsia="Arial" w:hAnsi="Arial"/>
                <w:sz w:val="14"/>
                <w:szCs w:val="14"/>
                <w:color w:val="auto"/>
              </w:rPr>
              <w:t>35,250</w:t>
            </w:r>
          </w:p>
        </w:tc>
        <w:tc>
          <w:tcPr>
            <w:tcW w:w="1620" w:type="dxa"/>
            <w:vAlign w:val="bottom"/>
            <w:tcBorders>
              <w:bottom w:val="single" w:sz="8" w:color="BCBEC0"/>
            </w:tcBorders>
          </w:tcPr>
          <w:p>
            <w:pPr>
              <w:jc w:val="right"/>
              <w:ind w:right="213"/>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BCBEC0"/>
            </w:tcBorders>
          </w:tcPr>
          <w:p>
            <w:pPr>
              <w:jc w:val="right"/>
              <w:spacing w:after="0"/>
              <w:rPr>
                <w:sz w:val="20"/>
                <w:szCs w:val="20"/>
                <w:color w:val="auto"/>
              </w:rPr>
            </w:pPr>
            <w:r>
              <w:rPr>
                <w:rFonts w:ascii="Arial" w:cs="Arial" w:eastAsia="Arial" w:hAnsi="Arial"/>
                <w:sz w:val="14"/>
                <w:szCs w:val="14"/>
                <w:color w:val="auto"/>
              </w:rPr>
              <w:t>37,850</w:t>
            </w:r>
          </w:p>
        </w:tc>
        <w:tc>
          <w:tcPr>
            <w:tcW w:w="0" w:type="dxa"/>
            <w:vAlign w:val="bottom"/>
          </w:tcPr>
          <w:p>
            <w:pPr>
              <w:spacing w:after="0"/>
              <w:rPr>
                <w:sz w:val="1"/>
                <w:szCs w:val="1"/>
                <w:color w:val="auto"/>
              </w:rPr>
            </w:pPr>
          </w:p>
        </w:tc>
      </w:tr>
      <w:tr>
        <w:trPr>
          <w:trHeight w:val="223"/>
        </w:trPr>
        <w:tc>
          <w:tcPr>
            <w:tcW w:w="4420" w:type="dxa"/>
            <w:vAlign w:val="bottom"/>
            <w:tcBorders>
              <w:bottom w:val="single" w:sz="8" w:color="BCBEC0"/>
            </w:tcBorders>
          </w:tcPr>
          <w:p>
            <w:pPr>
              <w:ind w:left="20"/>
              <w:spacing w:after="0"/>
              <w:rPr>
                <w:sz w:val="20"/>
                <w:szCs w:val="20"/>
                <w:color w:val="auto"/>
              </w:rPr>
            </w:pPr>
            <w:r>
              <w:rPr>
                <w:rFonts w:ascii="Arial" w:cs="Arial" w:eastAsia="Arial" w:hAnsi="Arial"/>
                <w:sz w:val="14"/>
                <w:szCs w:val="14"/>
                <w:b w:val="1"/>
                <w:bCs w:val="1"/>
                <w:color w:val="0C3471"/>
              </w:rPr>
              <w:t>De'Mon L. Wiggins</w:t>
            </w:r>
          </w:p>
        </w:tc>
        <w:tc>
          <w:tcPr>
            <w:tcW w:w="1840" w:type="dxa"/>
            <w:vAlign w:val="bottom"/>
            <w:tcBorders>
              <w:bottom w:val="single" w:sz="8" w:color="BCBEC0"/>
            </w:tcBorders>
          </w:tcPr>
          <w:p>
            <w:pPr>
              <w:jc w:val="right"/>
              <w:ind w:right="273"/>
              <w:spacing w:after="0"/>
              <w:rPr>
                <w:sz w:val="20"/>
                <w:szCs w:val="20"/>
                <w:color w:val="auto"/>
              </w:rPr>
            </w:pPr>
            <w:r>
              <w:rPr>
                <w:rFonts w:ascii="Arial" w:cs="Arial" w:eastAsia="Arial" w:hAnsi="Arial"/>
                <w:sz w:val="14"/>
                <w:szCs w:val="14"/>
                <w:color w:val="auto"/>
              </w:rPr>
              <w:t>—</w:t>
            </w:r>
          </w:p>
        </w:tc>
        <w:tc>
          <w:tcPr>
            <w:tcW w:w="1780" w:type="dxa"/>
            <w:vAlign w:val="bottom"/>
            <w:tcBorders>
              <w:bottom w:val="single" w:sz="8" w:color="BCBEC0"/>
            </w:tcBorders>
          </w:tcPr>
          <w:p>
            <w:pPr>
              <w:jc w:val="right"/>
              <w:ind w:right="233"/>
              <w:spacing w:after="0"/>
              <w:rPr>
                <w:sz w:val="20"/>
                <w:szCs w:val="20"/>
                <w:color w:val="auto"/>
              </w:rPr>
            </w:pPr>
            <w:r>
              <w:rPr>
                <w:rFonts w:ascii="Arial" w:cs="Arial" w:eastAsia="Arial" w:hAnsi="Arial"/>
                <w:sz w:val="14"/>
                <w:szCs w:val="14"/>
                <w:color w:val="auto"/>
              </w:rPr>
              <w:t>35,250</w:t>
            </w:r>
          </w:p>
        </w:tc>
        <w:tc>
          <w:tcPr>
            <w:tcW w:w="1620" w:type="dxa"/>
            <w:vAlign w:val="bottom"/>
            <w:tcBorders>
              <w:bottom w:val="single" w:sz="8" w:color="BCBEC0"/>
            </w:tcBorders>
          </w:tcPr>
          <w:p>
            <w:pPr>
              <w:jc w:val="right"/>
              <w:ind w:right="213"/>
              <w:spacing w:after="0"/>
              <w:rPr>
                <w:sz w:val="20"/>
                <w:szCs w:val="20"/>
                <w:color w:val="auto"/>
              </w:rPr>
            </w:pPr>
            <w:r>
              <w:rPr>
                <w:rFonts w:ascii="Arial" w:cs="Arial" w:eastAsia="Arial" w:hAnsi="Arial"/>
                <w:sz w:val="14"/>
                <w:szCs w:val="14"/>
                <w:color w:val="auto"/>
              </w:rPr>
              <w:t>2,046</w:t>
            </w:r>
          </w:p>
        </w:tc>
        <w:tc>
          <w:tcPr>
            <w:tcW w:w="1100" w:type="dxa"/>
            <w:vAlign w:val="bottom"/>
            <w:tcBorders>
              <w:bottom w:val="single" w:sz="8" w:color="BCBEC0"/>
            </w:tcBorders>
          </w:tcPr>
          <w:p>
            <w:pPr>
              <w:jc w:val="right"/>
              <w:spacing w:after="0"/>
              <w:rPr>
                <w:sz w:val="20"/>
                <w:szCs w:val="20"/>
                <w:color w:val="auto"/>
              </w:rPr>
            </w:pPr>
            <w:r>
              <w:rPr>
                <w:rFonts w:ascii="Arial" w:cs="Arial" w:eastAsia="Arial" w:hAnsi="Arial"/>
                <w:sz w:val="14"/>
                <w:szCs w:val="14"/>
                <w:color w:val="auto"/>
              </w:rPr>
              <w:t>37,296</w:t>
            </w:r>
          </w:p>
        </w:tc>
        <w:tc>
          <w:tcPr>
            <w:tcW w:w="0" w:type="dxa"/>
            <w:vAlign w:val="bottom"/>
          </w:tcPr>
          <w:p>
            <w:pPr>
              <w:spacing w:after="0"/>
              <w:rPr>
                <w:sz w:val="1"/>
                <w:szCs w:val="1"/>
                <w:color w:val="auto"/>
              </w:rPr>
            </w:pPr>
          </w:p>
        </w:tc>
      </w:tr>
      <w:tr>
        <w:trPr>
          <w:trHeight w:val="223"/>
        </w:trPr>
        <w:tc>
          <w:tcPr>
            <w:tcW w:w="4420" w:type="dxa"/>
            <w:vAlign w:val="bottom"/>
            <w:tcBorders>
              <w:bottom w:val="single" w:sz="8" w:color="0C3471"/>
            </w:tcBorders>
          </w:tcPr>
          <w:p>
            <w:pPr>
              <w:ind w:left="20"/>
              <w:spacing w:after="0"/>
              <w:rPr>
                <w:sz w:val="20"/>
                <w:szCs w:val="20"/>
                <w:color w:val="auto"/>
              </w:rPr>
            </w:pPr>
            <w:r>
              <w:rPr>
                <w:rFonts w:ascii="Arial" w:cs="Arial" w:eastAsia="Arial" w:hAnsi="Arial"/>
                <w:sz w:val="14"/>
                <w:szCs w:val="14"/>
                <w:b w:val="1"/>
                <w:bCs w:val="1"/>
                <w:color w:val="0C3471"/>
              </w:rPr>
              <w:t>Adrian C. Chiu</w:t>
            </w:r>
          </w:p>
        </w:tc>
        <w:tc>
          <w:tcPr>
            <w:tcW w:w="1840" w:type="dxa"/>
            <w:vAlign w:val="bottom"/>
            <w:tcBorders>
              <w:bottom w:val="single" w:sz="8" w:color="0C3471"/>
            </w:tcBorders>
          </w:tcPr>
          <w:p>
            <w:pPr>
              <w:jc w:val="right"/>
              <w:ind w:right="273"/>
              <w:spacing w:after="0"/>
              <w:rPr>
                <w:sz w:val="20"/>
                <w:szCs w:val="20"/>
                <w:color w:val="auto"/>
              </w:rPr>
            </w:pPr>
            <w:r>
              <w:rPr>
                <w:rFonts w:ascii="Arial" w:cs="Arial" w:eastAsia="Arial" w:hAnsi="Arial"/>
                <w:sz w:val="14"/>
                <w:szCs w:val="14"/>
                <w:color w:val="auto"/>
              </w:rPr>
              <w:t>—</w:t>
            </w:r>
          </w:p>
        </w:tc>
        <w:tc>
          <w:tcPr>
            <w:tcW w:w="1780" w:type="dxa"/>
            <w:vAlign w:val="bottom"/>
            <w:tcBorders>
              <w:bottom w:val="single" w:sz="8" w:color="0C3471"/>
            </w:tcBorders>
          </w:tcPr>
          <w:p>
            <w:pPr>
              <w:jc w:val="right"/>
              <w:ind w:right="233"/>
              <w:spacing w:after="0"/>
              <w:rPr>
                <w:sz w:val="20"/>
                <w:szCs w:val="20"/>
                <w:color w:val="auto"/>
              </w:rPr>
            </w:pPr>
            <w:r>
              <w:rPr>
                <w:rFonts w:ascii="Arial" w:cs="Arial" w:eastAsia="Arial" w:hAnsi="Arial"/>
                <w:sz w:val="14"/>
                <w:szCs w:val="14"/>
                <w:color w:val="auto"/>
              </w:rPr>
              <w:t>35,250</w:t>
            </w:r>
          </w:p>
        </w:tc>
        <w:tc>
          <w:tcPr>
            <w:tcW w:w="1620" w:type="dxa"/>
            <w:vAlign w:val="bottom"/>
            <w:tcBorders>
              <w:bottom w:val="single" w:sz="8" w:color="0C3471"/>
            </w:tcBorders>
          </w:tcPr>
          <w:p>
            <w:pPr>
              <w:jc w:val="right"/>
              <w:ind w:right="213"/>
              <w:spacing w:after="0"/>
              <w:rPr>
                <w:sz w:val="20"/>
                <w:szCs w:val="20"/>
                <w:color w:val="auto"/>
              </w:rPr>
            </w:pPr>
            <w:r>
              <w:rPr>
                <w:rFonts w:ascii="Arial" w:cs="Arial" w:eastAsia="Arial" w:hAnsi="Arial"/>
                <w:sz w:val="14"/>
                <w:szCs w:val="14"/>
                <w:color w:val="auto"/>
              </w:rPr>
              <w:t>2,291</w:t>
            </w:r>
          </w:p>
        </w:tc>
        <w:tc>
          <w:tcPr>
            <w:tcW w:w="1100" w:type="dxa"/>
            <w:vAlign w:val="bottom"/>
            <w:tcBorders>
              <w:bottom w:val="single" w:sz="8" w:color="0C3471"/>
            </w:tcBorders>
          </w:tcPr>
          <w:p>
            <w:pPr>
              <w:jc w:val="right"/>
              <w:spacing w:after="0"/>
              <w:rPr>
                <w:sz w:val="20"/>
                <w:szCs w:val="20"/>
                <w:color w:val="auto"/>
              </w:rPr>
            </w:pPr>
            <w:r>
              <w:rPr>
                <w:rFonts w:ascii="Arial" w:cs="Arial" w:eastAsia="Arial" w:hAnsi="Arial"/>
                <w:sz w:val="14"/>
                <w:szCs w:val="14"/>
                <w:color w:val="auto"/>
              </w:rPr>
              <w:t>37,541</w:t>
            </w: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400" w:right="40" w:hanging="198"/>
        <w:spacing w:after="0" w:line="264" w:lineRule="auto"/>
        <w:tabs>
          <w:tab w:leader="none" w:pos="414" w:val="left"/>
        </w:tabs>
        <w:numPr>
          <w:ilvl w:val="0"/>
          <w:numId w:val="103"/>
        </w:numPr>
        <w:rPr>
          <w:rFonts w:ascii="Arial" w:cs="Arial" w:eastAsia="Arial" w:hAnsi="Arial"/>
          <w:sz w:val="19"/>
          <w:szCs w:val="19"/>
          <w:color w:val="auto"/>
          <w:vertAlign w:val="superscript"/>
        </w:rPr>
      </w:pPr>
      <w:r>
        <w:rPr>
          <w:rFonts w:ascii="Arial" w:cs="Arial" w:eastAsia="Arial" w:hAnsi="Arial"/>
          <w:sz w:val="14"/>
          <w:szCs w:val="14"/>
          <w:color w:val="auto"/>
        </w:rPr>
        <w:t>The amount shown in column (A) includes annual executive physicals for Mr. Fishman in the amount of $12,126, and Mr. Pedretti in the amount of $2,600, a wellness program credit for Mr. Fishman and travel and expenses for Mr. Fishman’s spouse to attend a company event. The wellness program credit was provided pursuant to a broad-based policy that applies generally to U.S. employees. The amount shown in column (A) for Mr. Stauch in the amount of $50,000 reflects the aggregate incremental cost of Pentair products and services Mr. Stauch received pursuant to a benefit offered to all executives as a part of our Products and Services Program for Executives.</w:t>
      </w:r>
    </w:p>
    <w:p>
      <w:pPr>
        <w:spacing w:after="0" w:line="51" w:lineRule="exact"/>
        <w:rPr>
          <w:rFonts w:ascii="Arial" w:cs="Arial" w:eastAsia="Arial" w:hAnsi="Arial"/>
          <w:sz w:val="19"/>
          <w:szCs w:val="19"/>
          <w:color w:val="auto"/>
          <w:vertAlign w:val="superscript"/>
        </w:rPr>
      </w:pPr>
    </w:p>
    <w:p>
      <w:pPr>
        <w:ind w:left="400" w:right="160" w:hanging="198"/>
        <w:spacing w:after="0" w:line="239" w:lineRule="auto"/>
        <w:tabs>
          <w:tab w:leader="none" w:pos="414" w:val="left"/>
        </w:tabs>
        <w:numPr>
          <w:ilvl w:val="0"/>
          <w:numId w:val="103"/>
        </w:numPr>
        <w:rPr>
          <w:rFonts w:ascii="Arial" w:cs="Arial" w:eastAsia="Arial" w:hAnsi="Arial"/>
          <w:sz w:val="19"/>
          <w:szCs w:val="19"/>
          <w:color w:val="auto"/>
          <w:vertAlign w:val="superscript"/>
        </w:rPr>
      </w:pPr>
      <w:r>
        <w:rPr>
          <w:rFonts w:ascii="Arial" w:cs="Arial" w:eastAsia="Arial" w:hAnsi="Arial"/>
          <w:sz w:val="14"/>
          <w:szCs w:val="14"/>
          <w:color w:val="auto"/>
        </w:rPr>
        <w:t>The amount shown in column (B) for each individual reflects amounts contributed by us to the RSIP and the Sidekick Plan during 2025. In the case of the Sidekick Plan, the amounts contributed by us during 2025 relate to salary deferrals in 2024.</w:t>
      </w:r>
    </w:p>
    <w:p>
      <w:pPr>
        <w:spacing w:after="0" w:line="200" w:lineRule="exact"/>
        <w:rPr>
          <w:sz w:val="20"/>
          <w:szCs w:val="20"/>
          <w:color w:val="auto"/>
        </w:rPr>
      </w:pP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10780" w:type="dxa"/>
            <w:vAlign w:val="bottom"/>
          </w:tcPr>
          <w:p>
            <w:pPr>
              <w:ind w:left="8260"/>
              <w:spacing w:after="0"/>
              <w:rPr>
                <w:sz w:val="20"/>
                <w:szCs w:val="20"/>
                <w:color w:val="auto"/>
              </w:rPr>
            </w:pPr>
            <w:r>
              <w:rPr>
                <w:rFonts w:ascii="Arial" w:cs="Arial" w:eastAsia="Arial" w:hAnsi="Arial"/>
                <w:sz w:val="16"/>
                <w:szCs w:val="16"/>
                <w:b w:val="1"/>
                <w:bCs w:val="1"/>
                <w:color w:val="auto"/>
              </w:rPr>
              <w:t xml:space="preserve">2026 Proxy Statement </w:t>
            </w:r>
            <w:r>
              <w:rPr>
                <w:rFonts w:ascii="Arial" w:cs="Arial" w:eastAsia="Arial" w:hAnsi="Arial"/>
                <w:sz w:val="16"/>
                <w:szCs w:val="16"/>
                <w:b w:val="1"/>
                <w:bCs w:val="1"/>
                <w:color w:val="0C3471"/>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Pentair</w:t>
            </w:r>
          </w:p>
        </w:tc>
        <w:tc>
          <w:tcPr>
            <w:tcW w:w="460" w:type="dxa"/>
            <w:vAlign w:val="bottom"/>
          </w:tcPr>
          <w:p>
            <w:pPr>
              <w:jc w:val="right"/>
              <w:spacing w:after="0"/>
              <w:rPr>
                <w:sz w:val="20"/>
                <w:szCs w:val="20"/>
                <w:color w:val="auto"/>
              </w:rPr>
            </w:pPr>
            <w:r>
              <w:rPr>
                <w:rFonts w:ascii="Arial" w:cs="Arial" w:eastAsia="Arial" w:hAnsi="Arial"/>
                <w:sz w:val="16"/>
                <w:szCs w:val="16"/>
                <w:b w:val="1"/>
                <w:bCs w:val="1"/>
                <w:color w:val="auto"/>
              </w:rPr>
              <w:t>57</w:t>
            </w:r>
          </w:p>
        </w:tc>
      </w:tr>
      <w:tr>
        <w:trPr>
          <w:trHeight w:val="325"/>
        </w:trPr>
        <w:tc>
          <w:tcPr>
            <w:tcW w:w="107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59" w:name="page60"/>
    <w:bookmarkEnd w:id="59"/>
    <w:p>
      <w:pPr>
        <w:ind w:left="36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216535</wp:posOffset>
            </wp:positionH>
            <wp:positionV relativeFrom="page">
              <wp:posOffset>106045</wp:posOffset>
            </wp:positionV>
            <wp:extent cx="102870" cy="11176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clrChange>
                        <a:clrFrom>
                          <a:srgbClr val="FFFFFF"/>
                        </a:clrFrom>
                        <a:clrTo>
                          <a:srgbClr val="FFFFFF">
                            <a:alpha val="0"/>
                          </a:srgbClr>
                        </a:clrTo>
                      </a:clrChange>
                      <a:extLst>
                        <a:ext uri="{28A0092B-C50C-407E-A947-70E740481C1C}"/>
                      </a:extLst>
                    </a:blip>
                    <a:srcRect/>
                    <a:stretch>
                      <a:fillRect/>
                    </a:stretch>
                  </pic:blipFill>
                  <pic:spPr bwMode="auto">
                    <a:xfrm>
                      <a:off x="0" y="0"/>
                      <a:ext cx="102870" cy="111760"/>
                    </a:xfrm>
                    <a:prstGeom prst="rect">
                      <a:avLst/>
                    </a:prstGeom>
                    <a:noFill/>
                  </pic:spPr>
                </pic:pic>
              </a:graphicData>
            </a:graphic>
          </wp:anchor>
        </w:drawing>
        <w:t>Executive Compensation Tables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32"/>
          <w:szCs w:val="32"/>
          <w:color w:val="0C3471"/>
        </w:rPr>
        <w:t>Grants of Plan-Based Awards in 2025</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40" w:type="dxa"/>
            <w:vAlign w:val="bottom"/>
            <w:gridSpan w:val="3"/>
          </w:tcPr>
          <w:p>
            <w:pPr>
              <w:jc w:val="center"/>
              <w:spacing w:after="0"/>
              <w:rPr>
                <w:sz w:val="20"/>
                <w:szCs w:val="20"/>
                <w:color w:val="auto"/>
              </w:rPr>
            </w:pPr>
            <w:r>
              <w:rPr>
                <w:rFonts w:ascii="Arial" w:cs="Arial" w:eastAsia="Arial" w:hAnsi="Arial"/>
                <w:sz w:val="14"/>
                <w:szCs w:val="14"/>
                <w:b w:val="1"/>
                <w:bCs w:val="1"/>
                <w:color w:val="0C3471"/>
              </w:rPr>
              <w:t>Estimated Future Payouts Under</w:t>
            </w:r>
          </w:p>
        </w:tc>
        <w:tc>
          <w:tcPr>
            <w:tcW w:w="2400" w:type="dxa"/>
            <w:vAlign w:val="bottom"/>
            <w:gridSpan w:val="3"/>
            <w:vMerge w:val="restart"/>
          </w:tcPr>
          <w:p>
            <w:pPr>
              <w:jc w:val="right"/>
              <w:ind w:right="77"/>
              <w:spacing w:after="0"/>
              <w:rPr>
                <w:sz w:val="20"/>
                <w:szCs w:val="20"/>
                <w:color w:val="auto"/>
              </w:rPr>
            </w:pPr>
            <w:r>
              <w:rPr>
                <w:rFonts w:ascii="Arial" w:cs="Arial" w:eastAsia="Arial" w:hAnsi="Arial"/>
                <w:sz w:val="14"/>
                <w:szCs w:val="14"/>
                <w:b w:val="1"/>
                <w:bCs w:val="1"/>
                <w:color w:val="0C3471"/>
              </w:rPr>
              <w:t>Estimated Future Payouts Under</w:t>
            </w:r>
          </w:p>
        </w:tc>
        <w:tc>
          <w:tcPr>
            <w:tcW w:w="8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8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440" w:type="dxa"/>
            <w:vAlign w:val="bottom"/>
            <w:gridSpan w:val="3"/>
          </w:tcPr>
          <w:p>
            <w:pPr>
              <w:jc w:val="center"/>
              <w:spacing w:after="0" w:line="145" w:lineRule="exact"/>
              <w:rPr>
                <w:sz w:val="20"/>
                <w:szCs w:val="20"/>
                <w:color w:val="auto"/>
              </w:rPr>
            </w:pPr>
            <w:r>
              <w:rPr>
                <w:rFonts w:ascii="Arial" w:cs="Arial" w:eastAsia="Arial" w:hAnsi="Arial"/>
                <w:sz w:val="14"/>
                <w:szCs w:val="14"/>
                <w:b w:val="1"/>
                <w:bCs w:val="1"/>
                <w:color w:val="0C3471"/>
              </w:rPr>
              <w:t>Non-Equity Incentive Plan Awards</w:t>
            </w:r>
          </w:p>
        </w:tc>
        <w:tc>
          <w:tcPr>
            <w:tcW w:w="2400" w:type="dxa"/>
            <w:vAlign w:val="bottom"/>
            <w:gridSpan w:val="3"/>
            <w:vMerge w:val="continue"/>
          </w:tcPr>
          <w:p>
            <w:pPr>
              <w:spacing w:after="0"/>
              <w:rPr>
                <w:sz w:val="12"/>
                <w:szCs w:val="12"/>
                <w:color w:val="auto"/>
              </w:rPr>
            </w:pPr>
          </w:p>
        </w:tc>
        <w:tc>
          <w:tcPr>
            <w:tcW w:w="8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880" w:type="dxa"/>
            <w:vAlign w:val="bottom"/>
            <w:tcBorders>
              <w:bottom w:val="single" w:sz="8" w:color="BCBEC0"/>
            </w:tcBorders>
          </w:tcPr>
          <w:p>
            <w:pPr>
              <w:spacing w:after="0"/>
              <w:rPr>
                <w:sz w:val="15"/>
                <w:szCs w:val="15"/>
                <w:color w:val="auto"/>
              </w:rPr>
            </w:pPr>
          </w:p>
        </w:tc>
        <w:tc>
          <w:tcPr>
            <w:tcW w:w="1000" w:type="dxa"/>
            <w:vAlign w:val="bottom"/>
            <w:tcBorders>
              <w:bottom w:val="single" w:sz="8" w:color="BCBEC0"/>
            </w:tcBorders>
          </w:tcPr>
          <w:p>
            <w:pPr>
              <w:spacing w:after="0"/>
              <w:rPr>
                <w:sz w:val="15"/>
                <w:szCs w:val="15"/>
                <w:color w:val="auto"/>
              </w:rPr>
            </w:pPr>
          </w:p>
        </w:tc>
        <w:tc>
          <w:tcPr>
            <w:tcW w:w="1100" w:type="dxa"/>
            <w:vAlign w:val="bottom"/>
            <w:tcBorders>
              <w:bottom w:val="single" w:sz="8" w:color="BCBEC0"/>
            </w:tcBorders>
          </w:tcPr>
          <w:p>
            <w:pPr>
              <w:spacing w:after="0"/>
              <w:rPr>
                <w:sz w:val="15"/>
                <w:szCs w:val="15"/>
                <w:color w:val="auto"/>
              </w:rPr>
            </w:pPr>
          </w:p>
        </w:tc>
        <w:tc>
          <w:tcPr>
            <w:tcW w:w="900" w:type="dxa"/>
            <w:vAlign w:val="bottom"/>
            <w:tcBorders>
              <w:bottom w:val="single" w:sz="8" w:color="BCBEC0"/>
            </w:tcBorders>
          </w:tcPr>
          <w:p>
            <w:pPr>
              <w:spacing w:after="0"/>
              <w:rPr>
                <w:sz w:val="15"/>
                <w:szCs w:val="15"/>
                <w:color w:val="auto"/>
              </w:rPr>
            </w:pPr>
          </w:p>
        </w:tc>
        <w:tc>
          <w:tcPr>
            <w:tcW w:w="800" w:type="dxa"/>
            <w:vAlign w:val="bottom"/>
            <w:tcBorders>
              <w:bottom w:val="single" w:sz="8" w:color="BCBEC0"/>
            </w:tcBorders>
          </w:tcPr>
          <w:p>
            <w:pPr>
              <w:jc w:val="center"/>
              <w:ind w:right="137"/>
              <w:spacing w:after="0"/>
              <w:rPr>
                <w:sz w:val="20"/>
                <w:szCs w:val="20"/>
                <w:color w:val="auto"/>
              </w:rPr>
            </w:pPr>
            <w:r>
              <w:rPr>
                <w:rFonts w:ascii="Arial" w:cs="Arial" w:eastAsia="Arial" w:hAnsi="Arial"/>
                <w:sz w:val="9"/>
                <w:szCs w:val="9"/>
                <w:b w:val="1"/>
                <w:bCs w:val="1"/>
                <w:color w:val="0C3471"/>
              </w:rPr>
              <w:t>(1)</w:t>
            </w:r>
          </w:p>
        </w:tc>
        <w:tc>
          <w:tcPr>
            <w:tcW w:w="740" w:type="dxa"/>
            <w:vAlign w:val="bottom"/>
            <w:tcBorders>
              <w:bottom w:val="single" w:sz="8" w:color="BCBEC0"/>
            </w:tcBorders>
          </w:tcPr>
          <w:p>
            <w:pPr>
              <w:spacing w:after="0"/>
              <w:rPr>
                <w:sz w:val="15"/>
                <w:szCs w:val="15"/>
                <w:color w:val="auto"/>
              </w:rPr>
            </w:pPr>
          </w:p>
        </w:tc>
        <w:tc>
          <w:tcPr>
            <w:tcW w:w="2400" w:type="dxa"/>
            <w:vAlign w:val="bottom"/>
            <w:tcBorders>
              <w:bottom w:val="single" w:sz="8" w:color="BCBEC0"/>
            </w:tcBorders>
            <w:gridSpan w:val="3"/>
          </w:tcPr>
          <w:p>
            <w:pPr>
              <w:jc w:val="right"/>
              <w:ind w:right="117"/>
              <w:spacing w:after="0" w:line="176" w:lineRule="exact"/>
              <w:rPr>
                <w:sz w:val="20"/>
                <w:szCs w:val="20"/>
                <w:color w:val="auto"/>
              </w:rPr>
            </w:pPr>
            <w:r>
              <w:rPr>
                <w:rFonts w:ascii="Arial" w:cs="Arial" w:eastAsia="Arial" w:hAnsi="Arial"/>
                <w:sz w:val="14"/>
                <w:szCs w:val="14"/>
                <w:b w:val="1"/>
                <w:bCs w:val="1"/>
                <w:color w:val="0C3471"/>
              </w:rPr>
              <w:t xml:space="preserve">Equity Incentive Plan Awards </w:t>
            </w:r>
            <w:r>
              <w:rPr>
                <w:rFonts w:ascii="Arial" w:cs="Arial" w:eastAsia="Arial" w:hAnsi="Arial"/>
                <w:sz w:val="18"/>
                <w:szCs w:val="18"/>
                <w:b w:val="1"/>
                <w:bCs w:val="1"/>
                <w:color w:val="0C3471"/>
                <w:vertAlign w:val="superscript"/>
              </w:rPr>
              <w:t>(2)</w:t>
            </w:r>
          </w:p>
        </w:tc>
        <w:tc>
          <w:tcPr>
            <w:tcW w:w="880" w:type="dxa"/>
            <w:vAlign w:val="bottom"/>
            <w:tcBorders>
              <w:bottom w:val="single" w:sz="8" w:color="BCBEC0"/>
            </w:tcBorders>
          </w:tcPr>
          <w:p>
            <w:pPr>
              <w:spacing w:after="0"/>
              <w:rPr>
                <w:sz w:val="15"/>
                <w:szCs w:val="15"/>
                <w:color w:val="auto"/>
              </w:rPr>
            </w:pPr>
          </w:p>
        </w:tc>
        <w:tc>
          <w:tcPr>
            <w:tcW w:w="980" w:type="dxa"/>
            <w:vAlign w:val="bottom"/>
            <w:tcBorders>
              <w:bottom w:val="single" w:sz="8" w:color="BCBEC0"/>
            </w:tcBorders>
          </w:tcPr>
          <w:p>
            <w:pPr>
              <w:spacing w:after="0"/>
              <w:rPr>
                <w:sz w:val="15"/>
                <w:szCs w:val="15"/>
                <w:color w:val="auto"/>
              </w:rPr>
            </w:pPr>
          </w:p>
        </w:tc>
        <w:tc>
          <w:tcPr>
            <w:tcW w:w="800" w:type="dxa"/>
            <w:vAlign w:val="bottom"/>
            <w:tcBorders>
              <w:bottom w:val="single" w:sz="8" w:color="BCBEC0"/>
            </w:tcBorders>
          </w:tcPr>
          <w:p>
            <w:pPr>
              <w:spacing w:after="0"/>
              <w:rPr>
                <w:sz w:val="15"/>
                <w:szCs w:val="15"/>
                <w:color w:val="auto"/>
              </w:rPr>
            </w:pPr>
          </w:p>
        </w:tc>
        <w:tc>
          <w:tcPr>
            <w:tcW w:w="760" w:type="dxa"/>
            <w:vAlign w:val="bottom"/>
            <w:tcBorders>
              <w:bottom w:val="single" w:sz="8" w:color="BCBEC0"/>
            </w:tcBorders>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880" w:type="dxa"/>
            <w:vAlign w:val="bottom"/>
          </w:tcPr>
          <w:p>
            <w:pPr>
              <w:ind w:left="20"/>
              <w:spacing w:after="0"/>
              <w:rPr>
                <w:sz w:val="20"/>
                <w:szCs w:val="20"/>
                <w:color w:val="auto"/>
              </w:rPr>
            </w:pPr>
            <w:r>
              <w:rPr>
                <w:rFonts w:ascii="Arial" w:cs="Arial" w:eastAsia="Arial" w:hAnsi="Arial"/>
                <w:sz w:val="14"/>
                <w:szCs w:val="14"/>
                <w:b w:val="1"/>
                <w:bCs w:val="1"/>
                <w:color w:val="0C3471"/>
              </w:rPr>
              <w:t>(a)</w:t>
            </w:r>
          </w:p>
        </w:tc>
        <w:tc>
          <w:tcPr>
            <w:tcW w:w="1000" w:type="dxa"/>
            <w:vAlign w:val="bottom"/>
          </w:tcPr>
          <w:p>
            <w:pPr>
              <w:jc w:val="right"/>
              <w:ind w:right="116"/>
              <w:spacing w:after="0"/>
              <w:rPr>
                <w:sz w:val="20"/>
                <w:szCs w:val="20"/>
                <w:color w:val="auto"/>
              </w:rPr>
            </w:pPr>
            <w:r>
              <w:rPr>
                <w:rFonts w:ascii="Arial" w:cs="Arial" w:eastAsia="Arial" w:hAnsi="Arial"/>
                <w:sz w:val="14"/>
                <w:szCs w:val="14"/>
                <w:b w:val="1"/>
                <w:bCs w:val="1"/>
                <w:color w:val="0C3471"/>
              </w:rPr>
              <w:t>(b)</w:t>
            </w:r>
          </w:p>
        </w:tc>
        <w:tc>
          <w:tcPr>
            <w:tcW w:w="1100" w:type="dxa"/>
            <w:vAlign w:val="bottom"/>
          </w:tcPr>
          <w:p>
            <w:pPr>
              <w:jc w:val="right"/>
              <w:spacing w:after="0"/>
              <w:rPr>
                <w:sz w:val="20"/>
                <w:szCs w:val="20"/>
                <w:color w:val="auto"/>
              </w:rPr>
            </w:pPr>
            <w:r>
              <w:rPr>
                <w:rFonts w:ascii="Arial" w:cs="Arial" w:eastAsia="Arial" w:hAnsi="Arial"/>
                <w:sz w:val="14"/>
                <w:szCs w:val="14"/>
                <w:b w:val="1"/>
                <w:bCs w:val="1"/>
                <w:color w:val="0C3471"/>
              </w:rPr>
              <w:t>(c)</w:t>
            </w:r>
          </w:p>
        </w:tc>
        <w:tc>
          <w:tcPr>
            <w:tcW w:w="900" w:type="dxa"/>
            <w:vAlign w:val="bottom"/>
          </w:tcPr>
          <w:p>
            <w:pPr>
              <w:jc w:val="right"/>
              <w:ind w:right="36"/>
              <w:spacing w:after="0"/>
              <w:rPr>
                <w:sz w:val="20"/>
                <w:szCs w:val="20"/>
                <w:color w:val="auto"/>
              </w:rPr>
            </w:pPr>
            <w:r>
              <w:rPr>
                <w:rFonts w:ascii="Arial" w:cs="Arial" w:eastAsia="Arial" w:hAnsi="Arial"/>
                <w:sz w:val="14"/>
                <w:szCs w:val="14"/>
                <w:b w:val="1"/>
                <w:bCs w:val="1"/>
                <w:color w:val="0C3471"/>
              </w:rPr>
              <w:t>(d)</w:t>
            </w:r>
          </w:p>
        </w:tc>
        <w:tc>
          <w:tcPr>
            <w:tcW w:w="800" w:type="dxa"/>
            <w:vAlign w:val="bottom"/>
          </w:tcPr>
          <w:p>
            <w:pPr>
              <w:jc w:val="right"/>
              <w:ind w:right="57"/>
              <w:spacing w:after="0"/>
              <w:rPr>
                <w:sz w:val="20"/>
                <w:szCs w:val="20"/>
                <w:color w:val="auto"/>
              </w:rPr>
            </w:pPr>
            <w:r>
              <w:rPr>
                <w:rFonts w:ascii="Arial" w:cs="Arial" w:eastAsia="Arial" w:hAnsi="Arial"/>
                <w:sz w:val="14"/>
                <w:szCs w:val="14"/>
                <w:b w:val="1"/>
                <w:bCs w:val="1"/>
                <w:color w:val="0C3471"/>
              </w:rPr>
              <w:t>(e)</w:t>
            </w:r>
          </w:p>
        </w:tc>
        <w:tc>
          <w:tcPr>
            <w:tcW w:w="740" w:type="dxa"/>
            <w:vAlign w:val="bottom"/>
          </w:tcPr>
          <w:p>
            <w:pPr>
              <w:jc w:val="right"/>
              <w:spacing w:after="0"/>
              <w:rPr>
                <w:sz w:val="20"/>
                <w:szCs w:val="20"/>
                <w:color w:val="auto"/>
              </w:rPr>
            </w:pPr>
            <w:r>
              <w:rPr>
                <w:rFonts w:ascii="Arial" w:cs="Arial" w:eastAsia="Arial" w:hAnsi="Arial"/>
                <w:sz w:val="14"/>
                <w:szCs w:val="14"/>
                <w:b w:val="1"/>
                <w:bCs w:val="1"/>
                <w:color w:val="0C3471"/>
              </w:rPr>
              <w:t>(f)</w:t>
            </w:r>
          </w:p>
        </w:tc>
        <w:tc>
          <w:tcPr>
            <w:tcW w:w="920" w:type="dxa"/>
            <w:vAlign w:val="bottom"/>
          </w:tcPr>
          <w:p>
            <w:pPr>
              <w:jc w:val="right"/>
              <w:ind w:right="36"/>
              <w:spacing w:after="0"/>
              <w:rPr>
                <w:sz w:val="20"/>
                <w:szCs w:val="20"/>
                <w:color w:val="auto"/>
              </w:rPr>
            </w:pPr>
            <w:r>
              <w:rPr>
                <w:rFonts w:ascii="Arial" w:cs="Arial" w:eastAsia="Arial" w:hAnsi="Arial"/>
                <w:sz w:val="14"/>
                <w:szCs w:val="14"/>
                <w:b w:val="1"/>
                <w:bCs w:val="1"/>
                <w:color w:val="0C3471"/>
              </w:rPr>
              <w:t>(g)</w:t>
            </w:r>
          </w:p>
        </w:tc>
        <w:tc>
          <w:tcPr>
            <w:tcW w:w="660" w:type="dxa"/>
            <w:vAlign w:val="bottom"/>
          </w:tcPr>
          <w:p>
            <w:pPr>
              <w:jc w:val="right"/>
              <w:ind w:right="57"/>
              <w:spacing w:after="0"/>
              <w:rPr>
                <w:sz w:val="20"/>
                <w:szCs w:val="20"/>
                <w:color w:val="auto"/>
              </w:rPr>
            </w:pPr>
            <w:r>
              <w:rPr>
                <w:rFonts w:ascii="Arial" w:cs="Arial" w:eastAsia="Arial" w:hAnsi="Arial"/>
                <w:sz w:val="14"/>
                <w:szCs w:val="14"/>
                <w:b w:val="1"/>
                <w:bCs w:val="1"/>
                <w:color w:val="0C3471"/>
              </w:rPr>
              <w:t>(h)</w:t>
            </w:r>
          </w:p>
        </w:tc>
        <w:tc>
          <w:tcPr>
            <w:tcW w:w="820" w:type="dxa"/>
            <w:vAlign w:val="bottom"/>
          </w:tcPr>
          <w:p>
            <w:pPr>
              <w:jc w:val="right"/>
              <w:ind w:right="57"/>
              <w:spacing w:after="0"/>
              <w:rPr>
                <w:sz w:val="20"/>
                <w:szCs w:val="20"/>
                <w:color w:val="auto"/>
              </w:rPr>
            </w:pPr>
            <w:r>
              <w:rPr>
                <w:rFonts w:ascii="Arial" w:cs="Arial" w:eastAsia="Arial" w:hAnsi="Arial"/>
                <w:sz w:val="14"/>
                <w:szCs w:val="14"/>
                <w:b w:val="1"/>
                <w:bCs w:val="1"/>
                <w:color w:val="0C3471"/>
              </w:rPr>
              <w:t>(i)</w:t>
            </w:r>
          </w:p>
        </w:tc>
        <w:tc>
          <w:tcPr>
            <w:tcW w:w="880" w:type="dxa"/>
            <w:vAlign w:val="bottom"/>
          </w:tcPr>
          <w:p>
            <w:pPr>
              <w:jc w:val="right"/>
              <w:ind w:right="117"/>
              <w:spacing w:after="0"/>
              <w:rPr>
                <w:sz w:val="20"/>
                <w:szCs w:val="20"/>
                <w:color w:val="auto"/>
              </w:rPr>
            </w:pPr>
            <w:r>
              <w:rPr>
                <w:rFonts w:ascii="Arial" w:cs="Arial" w:eastAsia="Arial" w:hAnsi="Arial"/>
                <w:sz w:val="14"/>
                <w:szCs w:val="14"/>
                <w:b w:val="1"/>
                <w:bCs w:val="1"/>
                <w:color w:val="0C3471"/>
              </w:rPr>
              <w:t>(j)</w:t>
            </w:r>
          </w:p>
        </w:tc>
        <w:tc>
          <w:tcPr>
            <w:tcW w:w="980" w:type="dxa"/>
            <w:vAlign w:val="bottom"/>
          </w:tcPr>
          <w:p>
            <w:pPr>
              <w:jc w:val="right"/>
              <w:ind w:right="77"/>
              <w:spacing w:after="0"/>
              <w:rPr>
                <w:sz w:val="20"/>
                <w:szCs w:val="20"/>
                <w:color w:val="auto"/>
              </w:rPr>
            </w:pPr>
            <w:r>
              <w:rPr>
                <w:rFonts w:ascii="Arial" w:cs="Arial" w:eastAsia="Arial" w:hAnsi="Arial"/>
                <w:sz w:val="14"/>
                <w:szCs w:val="14"/>
                <w:b w:val="1"/>
                <w:bCs w:val="1"/>
                <w:color w:val="0C3471"/>
              </w:rPr>
              <w:t>(k)</w:t>
            </w:r>
          </w:p>
        </w:tc>
        <w:tc>
          <w:tcPr>
            <w:tcW w:w="800" w:type="dxa"/>
            <w:vAlign w:val="bottom"/>
          </w:tcPr>
          <w:p>
            <w:pPr>
              <w:jc w:val="right"/>
              <w:ind w:right="77"/>
              <w:spacing w:after="0"/>
              <w:rPr>
                <w:sz w:val="20"/>
                <w:szCs w:val="20"/>
                <w:color w:val="auto"/>
              </w:rPr>
            </w:pPr>
            <w:r>
              <w:rPr>
                <w:rFonts w:ascii="Arial" w:cs="Arial" w:eastAsia="Arial" w:hAnsi="Arial"/>
                <w:sz w:val="14"/>
                <w:szCs w:val="14"/>
                <w:b w:val="1"/>
                <w:bCs w:val="1"/>
                <w:color w:val="0C3471"/>
              </w:rPr>
              <w:t>(l)</w:t>
            </w:r>
          </w:p>
        </w:tc>
        <w:tc>
          <w:tcPr>
            <w:tcW w:w="760" w:type="dxa"/>
            <w:vAlign w:val="bottom"/>
          </w:tcPr>
          <w:p>
            <w:pPr>
              <w:jc w:val="right"/>
              <w:spacing w:after="0"/>
              <w:rPr>
                <w:sz w:val="20"/>
                <w:szCs w:val="20"/>
                <w:color w:val="auto"/>
              </w:rPr>
            </w:pPr>
            <w:r>
              <w:rPr>
                <w:rFonts w:ascii="Arial" w:cs="Arial" w:eastAsia="Arial" w:hAnsi="Arial"/>
                <w:sz w:val="14"/>
                <w:szCs w:val="14"/>
                <w:b w:val="1"/>
                <w:bCs w:val="1"/>
                <w:color w:val="0C3471"/>
              </w:rPr>
              <w:t>(m)</w:t>
            </w:r>
          </w:p>
        </w:tc>
        <w:tc>
          <w:tcPr>
            <w:tcW w:w="0" w:type="dxa"/>
            <w:vAlign w:val="bottom"/>
          </w:tcPr>
          <w:p>
            <w:pPr>
              <w:spacing w:after="0"/>
              <w:rPr>
                <w:sz w:val="1"/>
                <w:szCs w:val="1"/>
                <w:color w:val="auto"/>
              </w:rPr>
            </w:pPr>
          </w:p>
        </w:tc>
      </w:tr>
      <w:tr>
        <w:trPr>
          <w:trHeight w:val="173"/>
        </w:trPr>
        <w:tc>
          <w:tcPr>
            <w:tcW w:w="8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80" w:type="dxa"/>
            <w:vAlign w:val="bottom"/>
          </w:tcPr>
          <w:p>
            <w:pPr>
              <w:jc w:val="right"/>
              <w:ind w:right="117"/>
              <w:spacing w:after="0"/>
              <w:rPr>
                <w:sz w:val="20"/>
                <w:szCs w:val="20"/>
                <w:color w:val="auto"/>
              </w:rPr>
            </w:pPr>
            <w:r>
              <w:rPr>
                <w:rFonts w:ascii="Arial" w:cs="Arial" w:eastAsia="Arial" w:hAnsi="Arial"/>
                <w:sz w:val="13"/>
                <w:szCs w:val="13"/>
                <w:b w:val="1"/>
                <w:bCs w:val="1"/>
                <w:color w:val="auto"/>
              </w:rPr>
              <w:t>All Other</w:t>
            </w:r>
          </w:p>
        </w:tc>
        <w:tc>
          <w:tcPr>
            <w:tcW w:w="980" w:type="dxa"/>
            <w:vAlign w:val="bottom"/>
          </w:tcPr>
          <w:p>
            <w:pPr>
              <w:jc w:val="right"/>
              <w:ind w:right="77"/>
              <w:spacing w:after="0"/>
              <w:rPr>
                <w:sz w:val="20"/>
                <w:szCs w:val="20"/>
                <w:color w:val="auto"/>
              </w:rPr>
            </w:pPr>
            <w:r>
              <w:rPr>
                <w:rFonts w:ascii="Arial" w:cs="Arial" w:eastAsia="Arial" w:hAnsi="Arial"/>
                <w:sz w:val="13"/>
                <w:szCs w:val="13"/>
                <w:b w:val="1"/>
                <w:bCs w:val="1"/>
                <w:color w:val="auto"/>
              </w:rPr>
              <w:t>All Other</w:t>
            </w:r>
          </w:p>
        </w:tc>
        <w:tc>
          <w:tcPr>
            <w:tcW w:w="8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b w:val="1"/>
                <w:bCs w:val="1"/>
                <w:color w:val="auto"/>
              </w:rPr>
              <w:t>Grant</w:t>
            </w: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80" w:type="dxa"/>
            <w:vAlign w:val="bottom"/>
          </w:tcPr>
          <w:p>
            <w:pPr>
              <w:jc w:val="right"/>
              <w:ind w:right="117"/>
              <w:spacing w:after="0"/>
              <w:rPr>
                <w:sz w:val="20"/>
                <w:szCs w:val="20"/>
                <w:color w:val="auto"/>
              </w:rPr>
            </w:pPr>
            <w:r>
              <w:rPr>
                <w:rFonts w:ascii="Arial" w:cs="Arial" w:eastAsia="Arial" w:hAnsi="Arial"/>
                <w:sz w:val="13"/>
                <w:szCs w:val="13"/>
                <w:b w:val="1"/>
                <w:bCs w:val="1"/>
                <w:color w:val="auto"/>
              </w:rPr>
              <w:t>Stock</w:t>
            </w:r>
          </w:p>
        </w:tc>
        <w:tc>
          <w:tcPr>
            <w:tcW w:w="980" w:type="dxa"/>
            <w:vAlign w:val="bottom"/>
          </w:tcPr>
          <w:p>
            <w:pPr>
              <w:jc w:val="right"/>
              <w:ind w:right="77"/>
              <w:spacing w:after="0"/>
              <w:rPr>
                <w:sz w:val="20"/>
                <w:szCs w:val="20"/>
                <w:color w:val="auto"/>
              </w:rPr>
            </w:pPr>
            <w:r>
              <w:rPr>
                <w:rFonts w:ascii="Arial" w:cs="Arial" w:eastAsia="Arial" w:hAnsi="Arial"/>
                <w:sz w:val="13"/>
                <w:szCs w:val="13"/>
                <w:b w:val="1"/>
                <w:bCs w:val="1"/>
                <w:color w:val="auto"/>
              </w:rPr>
              <w:t>Option</w:t>
            </w:r>
          </w:p>
        </w:tc>
        <w:tc>
          <w:tcPr>
            <w:tcW w:w="80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b w:val="1"/>
                <w:bCs w:val="1"/>
                <w:color w:val="auto"/>
              </w:rPr>
              <w:t>Date Fair</w:t>
            </w: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80" w:type="dxa"/>
            <w:vAlign w:val="bottom"/>
          </w:tcPr>
          <w:p>
            <w:pPr>
              <w:jc w:val="right"/>
              <w:ind w:right="117"/>
              <w:spacing w:after="0"/>
              <w:rPr>
                <w:sz w:val="20"/>
                <w:szCs w:val="20"/>
                <w:color w:val="auto"/>
              </w:rPr>
            </w:pPr>
            <w:r>
              <w:rPr>
                <w:rFonts w:ascii="Arial" w:cs="Arial" w:eastAsia="Arial" w:hAnsi="Arial"/>
                <w:sz w:val="13"/>
                <w:szCs w:val="13"/>
                <w:b w:val="1"/>
                <w:bCs w:val="1"/>
                <w:color w:val="auto"/>
              </w:rPr>
              <w:t>Awards:</w:t>
            </w:r>
          </w:p>
        </w:tc>
        <w:tc>
          <w:tcPr>
            <w:tcW w:w="980" w:type="dxa"/>
            <w:vAlign w:val="bottom"/>
          </w:tcPr>
          <w:p>
            <w:pPr>
              <w:jc w:val="right"/>
              <w:ind w:right="77"/>
              <w:spacing w:after="0"/>
              <w:rPr>
                <w:sz w:val="20"/>
                <w:szCs w:val="20"/>
                <w:color w:val="auto"/>
              </w:rPr>
            </w:pPr>
            <w:r>
              <w:rPr>
                <w:rFonts w:ascii="Arial" w:cs="Arial" w:eastAsia="Arial" w:hAnsi="Arial"/>
                <w:sz w:val="13"/>
                <w:szCs w:val="13"/>
                <w:b w:val="1"/>
                <w:bCs w:val="1"/>
                <w:color w:val="auto"/>
              </w:rPr>
              <w:t>Awards:</w:t>
            </w:r>
          </w:p>
        </w:tc>
        <w:tc>
          <w:tcPr>
            <w:tcW w:w="800" w:type="dxa"/>
            <w:vAlign w:val="bottom"/>
          </w:tcPr>
          <w:p>
            <w:pPr>
              <w:jc w:val="right"/>
              <w:ind w:right="77"/>
              <w:spacing w:after="0"/>
              <w:rPr>
                <w:sz w:val="20"/>
                <w:szCs w:val="20"/>
                <w:color w:val="auto"/>
              </w:rPr>
            </w:pPr>
            <w:r>
              <w:rPr>
                <w:rFonts w:ascii="Arial" w:cs="Arial" w:eastAsia="Arial" w:hAnsi="Arial"/>
                <w:sz w:val="13"/>
                <w:szCs w:val="13"/>
                <w:b w:val="1"/>
                <w:bCs w:val="1"/>
                <w:color w:val="auto"/>
              </w:rPr>
              <w:t>Exercise</w:t>
            </w:r>
          </w:p>
        </w:tc>
        <w:tc>
          <w:tcPr>
            <w:tcW w:w="760" w:type="dxa"/>
            <w:vAlign w:val="bottom"/>
          </w:tcPr>
          <w:p>
            <w:pPr>
              <w:jc w:val="right"/>
              <w:spacing w:after="0"/>
              <w:rPr>
                <w:sz w:val="20"/>
                <w:szCs w:val="20"/>
                <w:color w:val="auto"/>
              </w:rPr>
            </w:pPr>
            <w:r>
              <w:rPr>
                <w:rFonts w:ascii="Arial" w:cs="Arial" w:eastAsia="Arial" w:hAnsi="Arial"/>
                <w:sz w:val="13"/>
                <w:szCs w:val="13"/>
                <w:b w:val="1"/>
                <w:bCs w:val="1"/>
                <w:color w:val="auto"/>
              </w:rPr>
              <w:t>Value of</w:t>
            </w:r>
          </w:p>
        </w:tc>
        <w:tc>
          <w:tcPr>
            <w:tcW w:w="0" w:type="dxa"/>
            <w:vAlign w:val="bottom"/>
          </w:tcPr>
          <w:p>
            <w:pPr>
              <w:spacing w:after="0"/>
              <w:rPr>
                <w:sz w:val="1"/>
                <w:szCs w:val="1"/>
                <w:color w:val="auto"/>
              </w:rPr>
            </w:pPr>
          </w:p>
        </w:tc>
      </w:tr>
      <w:tr>
        <w:trPr>
          <w:trHeight w:val="162"/>
        </w:trPr>
        <w:tc>
          <w:tcPr>
            <w:tcW w:w="8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80" w:type="dxa"/>
            <w:vAlign w:val="bottom"/>
          </w:tcPr>
          <w:p>
            <w:pPr>
              <w:jc w:val="right"/>
              <w:ind w:right="117"/>
              <w:spacing w:after="0"/>
              <w:rPr>
                <w:sz w:val="20"/>
                <w:szCs w:val="20"/>
                <w:color w:val="auto"/>
              </w:rPr>
            </w:pPr>
            <w:r>
              <w:rPr>
                <w:rFonts w:ascii="Arial" w:cs="Arial" w:eastAsia="Arial" w:hAnsi="Arial"/>
                <w:sz w:val="13"/>
                <w:szCs w:val="13"/>
                <w:b w:val="1"/>
                <w:bCs w:val="1"/>
                <w:color w:val="auto"/>
              </w:rPr>
              <w:t>Number</w:t>
            </w:r>
          </w:p>
        </w:tc>
        <w:tc>
          <w:tcPr>
            <w:tcW w:w="980" w:type="dxa"/>
            <w:vAlign w:val="bottom"/>
          </w:tcPr>
          <w:p>
            <w:pPr>
              <w:jc w:val="right"/>
              <w:ind w:right="77"/>
              <w:spacing w:after="0"/>
              <w:rPr>
                <w:sz w:val="20"/>
                <w:szCs w:val="20"/>
                <w:color w:val="auto"/>
              </w:rPr>
            </w:pPr>
            <w:r>
              <w:rPr>
                <w:rFonts w:ascii="Arial" w:cs="Arial" w:eastAsia="Arial" w:hAnsi="Arial"/>
                <w:sz w:val="13"/>
                <w:szCs w:val="13"/>
                <w:b w:val="1"/>
                <w:bCs w:val="1"/>
                <w:color w:val="auto"/>
              </w:rPr>
              <w:t>Number of</w:t>
            </w:r>
          </w:p>
        </w:tc>
        <w:tc>
          <w:tcPr>
            <w:tcW w:w="800" w:type="dxa"/>
            <w:vAlign w:val="bottom"/>
          </w:tcPr>
          <w:p>
            <w:pPr>
              <w:jc w:val="right"/>
              <w:ind w:right="77"/>
              <w:spacing w:after="0"/>
              <w:rPr>
                <w:sz w:val="20"/>
                <w:szCs w:val="20"/>
                <w:color w:val="auto"/>
              </w:rPr>
            </w:pPr>
            <w:r>
              <w:rPr>
                <w:rFonts w:ascii="Arial" w:cs="Arial" w:eastAsia="Arial" w:hAnsi="Arial"/>
                <w:sz w:val="13"/>
                <w:szCs w:val="13"/>
                <w:b w:val="1"/>
                <w:bCs w:val="1"/>
                <w:color w:val="auto"/>
              </w:rPr>
              <w:t>or Base</w:t>
            </w:r>
          </w:p>
        </w:tc>
        <w:tc>
          <w:tcPr>
            <w:tcW w:w="760" w:type="dxa"/>
            <w:vAlign w:val="bottom"/>
          </w:tcPr>
          <w:p>
            <w:pPr>
              <w:jc w:val="right"/>
              <w:spacing w:after="0"/>
              <w:rPr>
                <w:sz w:val="20"/>
                <w:szCs w:val="20"/>
                <w:color w:val="auto"/>
              </w:rPr>
            </w:pPr>
            <w:r>
              <w:rPr>
                <w:rFonts w:ascii="Arial" w:cs="Arial" w:eastAsia="Arial" w:hAnsi="Arial"/>
                <w:sz w:val="13"/>
                <w:szCs w:val="13"/>
                <w:b w:val="1"/>
                <w:bCs w:val="1"/>
                <w:color w:val="auto"/>
              </w:rPr>
              <w:t>Stock</w:t>
            </w: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3"/>
                <w:szCs w:val="13"/>
                <w:b w:val="1"/>
                <w:bCs w:val="1"/>
                <w:color w:val="auto"/>
              </w:rPr>
              <w:t>Compensation</w:t>
            </w: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80" w:type="dxa"/>
            <w:vAlign w:val="bottom"/>
          </w:tcPr>
          <w:p>
            <w:pPr>
              <w:jc w:val="right"/>
              <w:ind w:right="117"/>
              <w:spacing w:after="0"/>
              <w:rPr>
                <w:sz w:val="20"/>
                <w:szCs w:val="20"/>
                <w:color w:val="auto"/>
              </w:rPr>
            </w:pPr>
            <w:r>
              <w:rPr>
                <w:rFonts w:ascii="Arial" w:cs="Arial" w:eastAsia="Arial" w:hAnsi="Arial"/>
                <w:sz w:val="13"/>
                <w:szCs w:val="13"/>
                <w:b w:val="1"/>
                <w:bCs w:val="1"/>
                <w:color w:val="auto"/>
              </w:rPr>
              <w:t>of Shares</w:t>
            </w:r>
          </w:p>
        </w:tc>
        <w:tc>
          <w:tcPr>
            <w:tcW w:w="980" w:type="dxa"/>
            <w:vAlign w:val="bottom"/>
          </w:tcPr>
          <w:p>
            <w:pPr>
              <w:jc w:val="right"/>
              <w:ind w:right="77"/>
              <w:spacing w:after="0"/>
              <w:rPr>
                <w:sz w:val="20"/>
                <w:szCs w:val="20"/>
                <w:color w:val="auto"/>
              </w:rPr>
            </w:pPr>
            <w:r>
              <w:rPr>
                <w:rFonts w:ascii="Arial" w:cs="Arial" w:eastAsia="Arial" w:hAnsi="Arial"/>
                <w:sz w:val="13"/>
                <w:szCs w:val="13"/>
                <w:b w:val="1"/>
                <w:bCs w:val="1"/>
                <w:color w:val="auto"/>
              </w:rPr>
              <w:t>Securities</w:t>
            </w:r>
          </w:p>
        </w:tc>
        <w:tc>
          <w:tcPr>
            <w:tcW w:w="800" w:type="dxa"/>
            <w:vAlign w:val="bottom"/>
          </w:tcPr>
          <w:p>
            <w:pPr>
              <w:jc w:val="right"/>
              <w:ind w:right="77"/>
              <w:spacing w:after="0"/>
              <w:rPr>
                <w:sz w:val="20"/>
                <w:szCs w:val="20"/>
                <w:color w:val="auto"/>
              </w:rPr>
            </w:pPr>
            <w:r>
              <w:rPr>
                <w:rFonts w:ascii="Arial" w:cs="Arial" w:eastAsia="Arial" w:hAnsi="Arial"/>
                <w:sz w:val="13"/>
                <w:szCs w:val="13"/>
                <w:b w:val="1"/>
                <w:bCs w:val="1"/>
                <w:color w:val="auto"/>
              </w:rPr>
              <w:t>Price of</w:t>
            </w:r>
          </w:p>
        </w:tc>
        <w:tc>
          <w:tcPr>
            <w:tcW w:w="760" w:type="dxa"/>
            <w:vAlign w:val="bottom"/>
          </w:tcPr>
          <w:p>
            <w:pPr>
              <w:jc w:val="right"/>
              <w:spacing w:after="0"/>
              <w:rPr>
                <w:sz w:val="20"/>
                <w:szCs w:val="20"/>
                <w:color w:val="auto"/>
              </w:rPr>
            </w:pPr>
            <w:r>
              <w:rPr>
                <w:rFonts w:ascii="Arial" w:cs="Arial" w:eastAsia="Arial" w:hAnsi="Arial"/>
                <w:sz w:val="13"/>
                <w:szCs w:val="13"/>
                <w:b w:val="1"/>
                <w:bCs w:val="1"/>
                <w:color w:val="auto"/>
              </w:rPr>
              <w:t>and</w:t>
            </w: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3"/>
                <w:szCs w:val="13"/>
                <w:b w:val="1"/>
                <w:bCs w:val="1"/>
                <w:color w:val="auto"/>
              </w:rPr>
              <w:t>Committee</w:t>
            </w: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80" w:type="dxa"/>
            <w:vAlign w:val="bottom"/>
          </w:tcPr>
          <w:p>
            <w:pPr>
              <w:jc w:val="right"/>
              <w:ind w:right="117"/>
              <w:spacing w:after="0"/>
              <w:rPr>
                <w:sz w:val="20"/>
                <w:szCs w:val="20"/>
                <w:color w:val="auto"/>
              </w:rPr>
            </w:pPr>
            <w:r>
              <w:rPr>
                <w:rFonts w:ascii="Arial" w:cs="Arial" w:eastAsia="Arial" w:hAnsi="Arial"/>
                <w:sz w:val="13"/>
                <w:szCs w:val="13"/>
                <w:b w:val="1"/>
                <w:bCs w:val="1"/>
                <w:color w:val="auto"/>
              </w:rPr>
              <w:t>of Stock</w:t>
            </w:r>
          </w:p>
        </w:tc>
        <w:tc>
          <w:tcPr>
            <w:tcW w:w="980" w:type="dxa"/>
            <w:vAlign w:val="bottom"/>
          </w:tcPr>
          <w:p>
            <w:pPr>
              <w:jc w:val="right"/>
              <w:ind w:right="77"/>
              <w:spacing w:after="0"/>
              <w:rPr>
                <w:sz w:val="20"/>
                <w:szCs w:val="20"/>
                <w:color w:val="auto"/>
              </w:rPr>
            </w:pPr>
            <w:r>
              <w:rPr>
                <w:rFonts w:ascii="Arial" w:cs="Arial" w:eastAsia="Arial" w:hAnsi="Arial"/>
                <w:sz w:val="13"/>
                <w:szCs w:val="13"/>
                <w:b w:val="1"/>
                <w:bCs w:val="1"/>
                <w:color w:val="auto"/>
              </w:rPr>
              <w:t>Underlying</w:t>
            </w:r>
          </w:p>
        </w:tc>
        <w:tc>
          <w:tcPr>
            <w:tcW w:w="800" w:type="dxa"/>
            <w:vAlign w:val="bottom"/>
          </w:tcPr>
          <w:p>
            <w:pPr>
              <w:jc w:val="right"/>
              <w:ind w:right="77"/>
              <w:spacing w:after="0"/>
              <w:rPr>
                <w:sz w:val="20"/>
                <w:szCs w:val="20"/>
                <w:color w:val="auto"/>
              </w:rPr>
            </w:pPr>
            <w:r>
              <w:rPr>
                <w:rFonts w:ascii="Arial" w:cs="Arial" w:eastAsia="Arial" w:hAnsi="Arial"/>
                <w:sz w:val="13"/>
                <w:szCs w:val="13"/>
                <w:b w:val="1"/>
                <w:bCs w:val="1"/>
                <w:color w:val="auto"/>
              </w:rPr>
              <w:t>Option</w:t>
            </w:r>
          </w:p>
        </w:tc>
        <w:tc>
          <w:tcPr>
            <w:tcW w:w="760" w:type="dxa"/>
            <w:vAlign w:val="bottom"/>
          </w:tcPr>
          <w:p>
            <w:pPr>
              <w:jc w:val="right"/>
              <w:spacing w:after="0"/>
              <w:rPr>
                <w:sz w:val="20"/>
                <w:szCs w:val="20"/>
                <w:color w:val="auto"/>
              </w:rPr>
            </w:pPr>
            <w:r>
              <w:rPr>
                <w:rFonts w:ascii="Arial" w:cs="Arial" w:eastAsia="Arial" w:hAnsi="Arial"/>
                <w:sz w:val="13"/>
                <w:szCs w:val="13"/>
                <w:b w:val="1"/>
                <w:bCs w:val="1"/>
                <w:color w:val="auto"/>
              </w:rPr>
              <w:t>Option</w:t>
            </w: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1000" w:type="dxa"/>
            <w:vAlign w:val="bottom"/>
          </w:tcPr>
          <w:p>
            <w:pPr>
              <w:jc w:val="right"/>
              <w:ind w:right="116"/>
              <w:spacing w:after="0"/>
              <w:rPr>
                <w:sz w:val="20"/>
                <w:szCs w:val="20"/>
                <w:color w:val="auto"/>
              </w:rPr>
            </w:pPr>
            <w:r>
              <w:rPr>
                <w:rFonts w:ascii="Arial" w:cs="Arial" w:eastAsia="Arial" w:hAnsi="Arial"/>
                <w:sz w:val="13"/>
                <w:szCs w:val="13"/>
                <w:b w:val="1"/>
                <w:bCs w:val="1"/>
                <w:color w:val="auto"/>
              </w:rPr>
              <w:t>Grant</w:t>
            </w:r>
          </w:p>
        </w:tc>
        <w:tc>
          <w:tcPr>
            <w:tcW w:w="1100" w:type="dxa"/>
            <w:vAlign w:val="bottom"/>
          </w:tcPr>
          <w:p>
            <w:pPr>
              <w:jc w:val="right"/>
              <w:spacing w:after="0"/>
              <w:rPr>
                <w:sz w:val="20"/>
                <w:szCs w:val="20"/>
                <w:color w:val="auto"/>
              </w:rPr>
            </w:pPr>
            <w:r>
              <w:rPr>
                <w:rFonts w:ascii="Arial" w:cs="Arial" w:eastAsia="Arial" w:hAnsi="Arial"/>
                <w:sz w:val="13"/>
                <w:szCs w:val="13"/>
                <w:b w:val="1"/>
                <w:bCs w:val="1"/>
                <w:color w:val="auto"/>
              </w:rPr>
              <w:t>Approval</w:t>
            </w:r>
          </w:p>
        </w:tc>
        <w:tc>
          <w:tcPr>
            <w:tcW w:w="900" w:type="dxa"/>
            <w:vAlign w:val="bottom"/>
          </w:tcPr>
          <w:p>
            <w:pPr>
              <w:jc w:val="right"/>
              <w:ind w:right="36"/>
              <w:spacing w:after="0"/>
              <w:rPr>
                <w:sz w:val="20"/>
                <w:szCs w:val="20"/>
                <w:color w:val="auto"/>
              </w:rPr>
            </w:pPr>
            <w:r>
              <w:rPr>
                <w:rFonts w:ascii="Arial" w:cs="Arial" w:eastAsia="Arial" w:hAnsi="Arial"/>
                <w:sz w:val="13"/>
                <w:szCs w:val="13"/>
                <w:b w:val="1"/>
                <w:bCs w:val="1"/>
                <w:color w:val="auto"/>
              </w:rPr>
              <w:t>Threshold</w:t>
            </w:r>
          </w:p>
        </w:tc>
        <w:tc>
          <w:tcPr>
            <w:tcW w:w="800" w:type="dxa"/>
            <w:vAlign w:val="bottom"/>
          </w:tcPr>
          <w:p>
            <w:pPr>
              <w:jc w:val="right"/>
              <w:ind w:right="57"/>
              <w:spacing w:after="0"/>
              <w:rPr>
                <w:sz w:val="20"/>
                <w:szCs w:val="20"/>
                <w:color w:val="auto"/>
              </w:rPr>
            </w:pPr>
            <w:r>
              <w:rPr>
                <w:rFonts w:ascii="Arial" w:cs="Arial" w:eastAsia="Arial" w:hAnsi="Arial"/>
                <w:sz w:val="13"/>
                <w:szCs w:val="13"/>
                <w:b w:val="1"/>
                <w:bCs w:val="1"/>
                <w:color w:val="auto"/>
              </w:rPr>
              <w:t>Target</w:t>
            </w:r>
          </w:p>
        </w:tc>
        <w:tc>
          <w:tcPr>
            <w:tcW w:w="740" w:type="dxa"/>
            <w:vAlign w:val="bottom"/>
          </w:tcPr>
          <w:p>
            <w:pPr>
              <w:jc w:val="right"/>
              <w:spacing w:after="0"/>
              <w:rPr>
                <w:sz w:val="20"/>
                <w:szCs w:val="20"/>
                <w:color w:val="auto"/>
              </w:rPr>
            </w:pPr>
            <w:r>
              <w:rPr>
                <w:rFonts w:ascii="Arial" w:cs="Arial" w:eastAsia="Arial" w:hAnsi="Arial"/>
                <w:sz w:val="13"/>
                <w:szCs w:val="13"/>
                <w:b w:val="1"/>
                <w:bCs w:val="1"/>
                <w:color w:val="auto"/>
              </w:rPr>
              <w:t>Maximum</w:t>
            </w:r>
          </w:p>
        </w:tc>
        <w:tc>
          <w:tcPr>
            <w:tcW w:w="920" w:type="dxa"/>
            <w:vAlign w:val="bottom"/>
          </w:tcPr>
          <w:p>
            <w:pPr>
              <w:jc w:val="right"/>
              <w:ind w:right="36"/>
              <w:spacing w:after="0"/>
              <w:rPr>
                <w:sz w:val="20"/>
                <w:szCs w:val="20"/>
                <w:color w:val="auto"/>
              </w:rPr>
            </w:pPr>
            <w:r>
              <w:rPr>
                <w:rFonts w:ascii="Arial" w:cs="Arial" w:eastAsia="Arial" w:hAnsi="Arial"/>
                <w:sz w:val="13"/>
                <w:szCs w:val="13"/>
                <w:b w:val="1"/>
                <w:bCs w:val="1"/>
                <w:color w:val="auto"/>
              </w:rPr>
              <w:t>Threshold</w:t>
            </w:r>
          </w:p>
        </w:tc>
        <w:tc>
          <w:tcPr>
            <w:tcW w:w="660" w:type="dxa"/>
            <w:vAlign w:val="bottom"/>
          </w:tcPr>
          <w:p>
            <w:pPr>
              <w:jc w:val="right"/>
              <w:ind w:right="57"/>
              <w:spacing w:after="0"/>
              <w:rPr>
                <w:sz w:val="20"/>
                <w:szCs w:val="20"/>
                <w:color w:val="auto"/>
              </w:rPr>
            </w:pPr>
            <w:r>
              <w:rPr>
                <w:rFonts w:ascii="Arial" w:cs="Arial" w:eastAsia="Arial" w:hAnsi="Arial"/>
                <w:sz w:val="13"/>
                <w:szCs w:val="13"/>
                <w:b w:val="1"/>
                <w:bCs w:val="1"/>
                <w:color w:val="auto"/>
              </w:rPr>
              <w:t>Target</w:t>
            </w:r>
          </w:p>
        </w:tc>
        <w:tc>
          <w:tcPr>
            <w:tcW w:w="820" w:type="dxa"/>
            <w:vAlign w:val="bottom"/>
          </w:tcPr>
          <w:p>
            <w:pPr>
              <w:jc w:val="right"/>
              <w:ind w:right="57"/>
              <w:spacing w:after="0"/>
              <w:rPr>
                <w:sz w:val="20"/>
                <w:szCs w:val="20"/>
                <w:color w:val="auto"/>
              </w:rPr>
            </w:pPr>
            <w:r>
              <w:rPr>
                <w:rFonts w:ascii="Arial" w:cs="Arial" w:eastAsia="Arial" w:hAnsi="Arial"/>
                <w:sz w:val="13"/>
                <w:szCs w:val="13"/>
                <w:b w:val="1"/>
                <w:bCs w:val="1"/>
                <w:color w:val="auto"/>
              </w:rPr>
              <w:t>Maximum</w:t>
            </w:r>
          </w:p>
        </w:tc>
        <w:tc>
          <w:tcPr>
            <w:tcW w:w="880" w:type="dxa"/>
            <w:vAlign w:val="bottom"/>
          </w:tcPr>
          <w:p>
            <w:pPr>
              <w:jc w:val="right"/>
              <w:ind w:right="117"/>
              <w:spacing w:after="0"/>
              <w:rPr>
                <w:sz w:val="20"/>
                <w:szCs w:val="20"/>
                <w:color w:val="auto"/>
              </w:rPr>
            </w:pPr>
            <w:r>
              <w:rPr>
                <w:rFonts w:ascii="Arial" w:cs="Arial" w:eastAsia="Arial" w:hAnsi="Arial"/>
                <w:sz w:val="13"/>
                <w:szCs w:val="13"/>
                <w:b w:val="1"/>
                <w:bCs w:val="1"/>
                <w:color w:val="auto"/>
              </w:rPr>
              <w:t>or Units</w:t>
            </w:r>
          </w:p>
        </w:tc>
        <w:tc>
          <w:tcPr>
            <w:tcW w:w="980" w:type="dxa"/>
            <w:vAlign w:val="bottom"/>
          </w:tcPr>
          <w:p>
            <w:pPr>
              <w:jc w:val="right"/>
              <w:ind w:right="77"/>
              <w:spacing w:after="0"/>
              <w:rPr>
                <w:sz w:val="20"/>
                <w:szCs w:val="20"/>
                <w:color w:val="auto"/>
              </w:rPr>
            </w:pPr>
            <w:r>
              <w:rPr>
                <w:rFonts w:ascii="Arial" w:cs="Arial" w:eastAsia="Arial" w:hAnsi="Arial"/>
                <w:sz w:val="13"/>
                <w:szCs w:val="13"/>
                <w:b w:val="1"/>
                <w:bCs w:val="1"/>
                <w:color w:val="auto"/>
              </w:rPr>
              <w:t>Options</w:t>
            </w:r>
          </w:p>
        </w:tc>
        <w:tc>
          <w:tcPr>
            <w:tcW w:w="800" w:type="dxa"/>
            <w:vAlign w:val="bottom"/>
          </w:tcPr>
          <w:p>
            <w:pPr>
              <w:jc w:val="right"/>
              <w:ind w:right="77"/>
              <w:spacing w:after="0"/>
              <w:rPr>
                <w:sz w:val="20"/>
                <w:szCs w:val="20"/>
                <w:color w:val="auto"/>
              </w:rPr>
            </w:pPr>
            <w:r>
              <w:rPr>
                <w:rFonts w:ascii="Arial" w:cs="Arial" w:eastAsia="Arial" w:hAnsi="Arial"/>
                <w:sz w:val="13"/>
                <w:szCs w:val="13"/>
                <w:b w:val="1"/>
                <w:bCs w:val="1"/>
                <w:color w:val="auto"/>
              </w:rPr>
              <w:t>Awards</w:t>
            </w:r>
          </w:p>
        </w:tc>
        <w:tc>
          <w:tcPr>
            <w:tcW w:w="760" w:type="dxa"/>
            <w:vAlign w:val="bottom"/>
          </w:tcPr>
          <w:p>
            <w:pPr>
              <w:jc w:val="right"/>
              <w:spacing w:after="0"/>
              <w:rPr>
                <w:sz w:val="20"/>
                <w:szCs w:val="20"/>
                <w:color w:val="auto"/>
              </w:rPr>
            </w:pPr>
            <w:r>
              <w:rPr>
                <w:rFonts w:ascii="Arial" w:cs="Arial" w:eastAsia="Arial" w:hAnsi="Arial"/>
                <w:sz w:val="13"/>
                <w:szCs w:val="13"/>
                <w:b w:val="1"/>
                <w:bCs w:val="1"/>
                <w:color w:val="auto"/>
              </w:rPr>
              <w:t>Awards</w:t>
            </w:r>
          </w:p>
        </w:tc>
        <w:tc>
          <w:tcPr>
            <w:tcW w:w="0" w:type="dxa"/>
            <w:vAlign w:val="bottom"/>
          </w:tcPr>
          <w:p>
            <w:pPr>
              <w:spacing w:after="0"/>
              <w:rPr>
                <w:sz w:val="1"/>
                <w:szCs w:val="1"/>
                <w:color w:val="auto"/>
              </w:rPr>
            </w:pPr>
          </w:p>
        </w:tc>
      </w:tr>
      <w:tr>
        <w:trPr>
          <w:trHeight w:val="207"/>
        </w:trPr>
        <w:tc>
          <w:tcPr>
            <w:tcW w:w="880" w:type="dxa"/>
            <w:vAlign w:val="bottom"/>
            <w:tcBorders>
              <w:bottom w:val="single" w:sz="8" w:color="0C3471"/>
            </w:tcBorders>
          </w:tcPr>
          <w:p>
            <w:pPr>
              <w:ind w:left="20"/>
              <w:spacing w:after="0"/>
              <w:rPr>
                <w:sz w:val="20"/>
                <w:szCs w:val="20"/>
                <w:color w:val="auto"/>
              </w:rPr>
            </w:pPr>
            <w:r>
              <w:rPr>
                <w:rFonts w:ascii="Arial" w:cs="Arial" w:eastAsia="Arial" w:hAnsi="Arial"/>
                <w:sz w:val="13"/>
                <w:szCs w:val="13"/>
                <w:b w:val="1"/>
                <w:bCs w:val="1"/>
                <w:color w:val="auto"/>
              </w:rPr>
              <w:t>Name</w:t>
            </w:r>
          </w:p>
        </w:tc>
        <w:tc>
          <w:tcPr>
            <w:tcW w:w="1000" w:type="dxa"/>
            <w:vAlign w:val="bottom"/>
            <w:tcBorders>
              <w:bottom w:val="single" w:sz="8" w:color="0C3471"/>
            </w:tcBorders>
          </w:tcPr>
          <w:p>
            <w:pPr>
              <w:jc w:val="right"/>
              <w:ind w:right="116"/>
              <w:spacing w:after="0"/>
              <w:rPr>
                <w:sz w:val="20"/>
                <w:szCs w:val="20"/>
                <w:color w:val="auto"/>
              </w:rPr>
            </w:pPr>
            <w:r>
              <w:rPr>
                <w:rFonts w:ascii="Arial" w:cs="Arial" w:eastAsia="Arial" w:hAnsi="Arial"/>
                <w:sz w:val="13"/>
                <w:szCs w:val="13"/>
                <w:b w:val="1"/>
                <w:bCs w:val="1"/>
                <w:color w:val="auto"/>
              </w:rPr>
              <w:t>Date</w:t>
            </w:r>
          </w:p>
        </w:tc>
        <w:tc>
          <w:tcPr>
            <w:tcW w:w="1100" w:type="dxa"/>
            <w:vAlign w:val="bottom"/>
            <w:tcBorders>
              <w:bottom w:val="single" w:sz="8" w:color="0C3471"/>
            </w:tcBorders>
          </w:tcPr>
          <w:p>
            <w:pPr>
              <w:jc w:val="right"/>
              <w:spacing w:after="0"/>
              <w:rPr>
                <w:sz w:val="20"/>
                <w:szCs w:val="20"/>
                <w:color w:val="auto"/>
              </w:rPr>
            </w:pPr>
            <w:r>
              <w:rPr>
                <w:rFonts w:ascii="Arial" w:cs="Arial" w:eastAsia="Arial" w:hAnsi="Arial"/>
                <w:sz w:val="13"/>
                <w:szCs w:val="13"/>
                <w:b w:val="1"/>
                <w:bCs w:val="1"/>
                <w:color w:val="auto"/>
              </w:rPr>
              <w:t>Date</w:t>
            </w:r>
            <w:r>
              <w:rPr>
                <w:rFonts w:ascii="Arial" w:cs="Arial" w:eastAsia="Arial" w:hAnsi="Arial"/>
                <w:sz w:val="16"/>
                <w:szCs w:val="16"/>
                <w:b w:val="1"/>
                <w:bCs w:val="1"/>
                <w:color w:val="auto"/>
                <w:vertAlign w:val="superscript"/>
              </w:rPr>
              <w:t>(3)</w:t>
            </w:r>
          </w:p>
        </w:tc>
        <w:tc>
          <w:tcPr>
            <w:tcW w:w="900" w:type="dxa"/>
            <w:vAlign w:val="bottom"/>
            <w:tcBorders>
              <w:bottom w:val="single" w:sz="8" w:color="0C3471"/>
            </w:tcBorders>
          </w:tcPr>
          <w:p>
            <w:pPr>
              <w:jc w:val="right"/>
              <w:ind w:right="36"/>
              <w:spacing w:after="0"/>
              <w:rPr>
                <w:sz w:val="20"/>
                <w:szCs w:val="20"/>
                <w:color w:val="auto"/>
              </w:rPr>
            </w:pPr>
            <w:r>
              <w:rPr>
                <w:rFonts w:ascii="Arial" w:cs="Arial" w:eastAsia="Arial" w:hAnsi="Arial"/>
                <w:sz w:val="13"/>
                <w:szCs w:val="13"/>
                <w:b w:val="1"/>
                <w:bCs w:val="1"/>
                <w:color w:val="auto"/>
              </w:rPr>
              <w:t>($)</w:t>
            </w:r>
          </w:p>
        </w:tc>
        <w:tc>
          <w:tcPr>
            <w:tcW w:w="800" w:type="dxa"/>
            <w:vAlign w:val="bottom"/>
            <w:tcBorders>
              <w:bottom w:val="single" w:sz="8" w:color="0C3471"/>
            </w:tcBorders>
          </w:tcPr>
          <w:p>
            <w:pPr>
              <w:jc w:val="right"/>
              <w:ind w:right="57"/>
              <w:spacing w:after="0"/>
              <w:rPr>
                <w:sz w:val="20"/>
                <w:szCs w:val="20"/>
                <w:color w:val="auto"/>
              </w:rPr>
            </w:pPr>
            <w:r>
              <w:rPr>
                <w:rFonts w:ascii="Arial" w:cs="Arial" w:eastAsia="Arial" w:hAnsi="Arial"/>
                <w:sz w:val="13"/>
                <w:szCs w:val="13"/>
                <w:b w:val="1"/>
                <w:bCs w:val="1"/>
                <w:color w:val="auto"/>
              </w:rPr>
              <w:t>($)</w:t>
            </w:r>
          </w:p>
        </w:tc>
        <w:tc>
          <w:tcPr>
            <w:tcW w:w="740" w:type="dxa"/>
            <w:vAlign w:val="bottom"/>
            <w:tcBorders>
              <w:bottom w:val="single" w:sz="8" w:color="0C3471"/>
            </w:tcBorders>
          </w:tcPr>
          <w:p>
            <w:pPr>
              <w:jc w:val="right"/>
              <w:spacing w:after="0"/>
              <w:rPr>
                <w:sz w:val="20"/>
                <w:szCs w:val="20"/>
                <w:color w:val="auto"/>
              </w:rPr>
            </w:pPr>
            <w:r>
              <w:rPr>
                <w:rFonts w:ascii="Arial" w:cs="Arial" w:eastAsia="Arial" w:hAnsi="Arial"/>
                <w:sz w:val="13"/>
                <w:szCs w:val="13"/>
                <w:b w:val="1"/>
                <w:bCs w:val="1"/>
                <w:color w:val="auto"/>
              </w:rPr>
              <w:t>($)</w:t>
            </w:r>
          </w:p>
        </w:tc>
        <w:tc>
          <w:tcPr>
            <w:tcW w:w="920" w:type="dxa"/>
            <w:vAlign w:val="bottom"/>
            <w:tcBorders>
              <w:bottom w:val="single" w:sz="8" w:color="0C3471"/>
            </w:tcBorders>
          </w:tcPr>
          <w:p>
            <w:pPr>
              <w:jc w:val="right"/>
              <w:ind w:right="36"/>
              <w:spacing w:after="0"/>
              <w:rPr>
                <w:sz w:val="20"/>
                <w:szCs w:val="20"/>
                <w:color w:val="auto"/>
              </w:rPr>
            </w:pPr>
            <w:r>
              <w:rPr>
                <w:rFonts w:ascii="Arial" w:cs="Arial" w:eastAsia="Arial" w:hAnsi="Arial"/>
                <w:sz w:val="13"/>
                <w:szCs w:val="13"/>
                <w:b w:val="1"/>
                <w:bCs w:val="1"/>
                <w:color w:val="auto"/>
              </w:rPr>
              <w:t>(#)</w:t>
            </w:r>
          </w:p>
        </w:tc>
        <w:tc>
          <w:tcPr>
            <w:tcW w:w="660" w:type="dxa"/>
            <w:vAlign w:val="bottom"/>
            <w:tcBorders>
              <w:bottom w:val="single" w:sz="8" w:color="0C3471"/>
            </w:tcBorders>
          </w:tcPr>
          <w:p>
            <w:pPr>
              <w:jc w:val="right"/>
              <w:ind w:right="57"/>
              <w:spacing w:after="0"/>
              <w:rPr>
                <w:sz w:val="20"/>
                <w:szCs w:val="20"/>
                <w:color w:val="auto"/>
              </w:rPr>
            </w:pPr>
            <w:r>
              <w:rPr>
                <w:rFonts w:ascii="Arial" w:cs="Arial" w:eastAsia="Arial" w:hAnsi="Arial"/>
                <w:sz w:val="13"/>
                <w:szCs w:val="13"/>
                <w:b w:val="1"/>
                <w:bCs w:val="1"/>
                <w:color w:val="auto"/>
              </w:rPr>
              <w:t>(#)</w:t>
            </w:r>
          </w:p>
        </w:tc>
        <w:tc>
          <w:tcPr>
            <w:tcW w:w="820" w:type="dxa"/>
            <w:vAlign w:val="bottom"/>
            <w:tcBorders>
              <w:bottom w:val="single" w:sz="8" w:color="0C3471"/>
            </w:tcBorders>
          </w:tcPr>
          <w:p>
            <w:pPr>
              <w:jc w:val="right"/>
              <w:ind w:right="57"/>
              <w:spacing w:after="0"/>
              <w:rPr>
                <w:sz w:val="20"/>
                <w:szCs w:val="20"/>
                <w:color w:val="auto"/>
              </w:rPr>
            </w:pPr>
            <w:r>
              <w:rPr>
                <w:rFonts w:ascii="Arial" w:cs="Arial" w:eastAsia="Arial" w:hAnsi="Arial"/>
                <w:sz w:val="13"/>
                <w:szCs w:val="13"/>
                <w:b w:val="1"/>
                <w:bCs w:val="1"/>
                <w:color w:val="auto"/>
              </w:rPr>
              <w:t>(#)</w:t>
            </w:r>
          </w:p>
        </w:tc>
        <w:tc>
          <w:tcPr>
            <w:tcW w:w="880" w:type="dxa"/>
            <w:vAlign w:val="bottom"/>
            <w:tcBorders>
              <w:bottom w:val="single" w:sz="8" w:color="0C3471"/>
            </w:tcBorders>
          </w:tcPr>
          <w:p>
            <w:pPr>
              <w:jc w:val="right"/>
              <w:ind w:right="117"/>
              <w:spacing w:after="0"/>
              <w:rPr>
                <w:sz w:val="20"/>
                <w:szCs w:val="20"/>
                <w:color w:val="auto"/>
              </w:rPr>
            </w:pPr>
            <w:r>
              <w:rPr>
                <w:rFonts w:ascii="Arial" w:cs="Arial" w:eastAsia="Arial" w:hAnsi="Arial"/>
                <w:sz w:val="13"/>
                <w:szCs w:val="13"/>
                <w:b w:val="1"/>
                <w:bCs w:val="1"/>
                <w:color w:val="auto"/>
              </w:rPr>
              <w:t>(#)</w:t>
            </w:r>
            <w:r>
              <w:rPr>
                <w:rFonts w:ascii="Arial" w:cs="Arial" w:eastAsia="Arial" w:hAnsi="Arial"/>
                <w:sz w:val="16"/>
                <w:szCs w:val="16"/>
                <w:b w:val="1"/>
                <w:bCs w:val="1"/>
                <w:color w:val="auto"/>
                <w:vertAlign w:val="superscript"/>
              </w:rPr>
              <w:t>(4)</w:t>
            </w:r>
          </w:p>
        </w:tc>
        <w:tc>
          <w:tcPr>
            <w:tcW w:w="980" w:type="dxa"/>
            <w:vAlign w:val="bottom"/>
            <w:tcBorders>
              <w:bottom w:val="single" w:sz="8" w:color="0C3471"/>
            </w:tcBorders>
          </w:tcPr>
          <w:p>
            <w:pPr>
              <w:jc w:val="right"/>
              <w:ind w:right="77"/>
              <w:spacing w:after="0"/>
              <w:rPr>
                <w:sz w:val="20"/>
                <w:szCs w:val="20"/>
                <w:color w:val="auto"/>
              </w:rPr>
            </w:pPr>
            <w:r>
              <w:rPr>
                <w:rFonts w:ascii="Arial" w:cs="Arial" w:eastAsia="Arial" w:hAnsi="Arial"/>
                <w:sz w:val="13"/>
                <w:szCs w:val="13"/>
                <w:b w:val="1"/>
                <w:bCs w:val="1"/>
                <w:color w:val="auto"/>
              </w:rPr>
              <w:t>(#)</w:t>
            </w:r>
            <w:r>
              <w:rPr>
                <w:rFonts w:ascii="Arial" w:cs="Arial" w:eastAsia="Arial" w:hAnsi="Arial"/>
                <w:sz w:val="16"/>
                <w:szCs w:val="16"/>
                <w:b w:val="1"/>
                <w:bCs w:val="1"/>
                <w:color w:val="auto"/>
                <w:vertAlign w:val="superscript"/>
              </w:rPr>
              <w:t>(5)</w:t>
            </w:r>
          </w:p>
        </w:tc>
        <w:tc>
          <w:tcPr>
            <w:tcW w:w="800" w:type="dxa"/>
            <w:vAlign w:val="bottom"/>
            <w:tcBorders>
              <w:bottom w:val="single" w:sz="8" w:color="0C3471"/>
            </w:tcBorders>
          </w:tcPr>
          <w:p>
            <w:pPr>
              <w:jc w:val="right"/>
              <w:ind w:right="77"/>
              <w:spacing w:after="0"/>
              <w:rPr>
                <w:sz w:val="20"/>
                <w:szCs w:val="20"/>
                <w:color w:val="auto"/>
              </w:rPr>
            </w:pPr>
            <w:r>
              <w:rPr>
                <w:rFonts w:ascii="Arial" w:cs="Arial" w:eastAsia="Arial" w:hAnsi="Arial"/>
                <w:sz w:val="13"/>
                <w:szCs w:val="13"/>
                <w:b w:val="1"/>
                <w:bCs w:val="1"/>
                <w:color w:val="auto"/>
              </w:rPr>
              <w:t>($/sh)</w:t>
            </w:r>
          </w:p>
        </w:tc>
        <w:tc>
          <w:tcPr>
            <w:tcW w:w="760" w:type="dxa"/>
            <w:vAlign w:val="bottom"/>
            <w:tcBorders>
              <w:bottom w:val="single" w:sz="8" w:color="0C3471"/>
            </w:tcBorders>
          </w:tcPr>
          <w:p>
            <w:pPr>
              <w:jc w:val="right"/>
              <w:spacing w:after="0"/>
              <w:rPr>
                <w:sz w:val="20"/>
                <w:szCs w:val="20"/>
                <w:color w:val="auto"/>
              </w:rPr>
            </w:pPr>
            <w:r>
              <w:rPr>
                <w:rFonts w:ascii="Arial" w:cs="Arial" w:eastAsia="Arial" w:hAnsi="Arial"/>
                <w:sz w:val="13"/>
                <w:szCs w:val="13"/>
                <w:b w:val="1"/>
                <w:bCs w:val="1"/>
                <w:color w:val="auto"/>
              </w:rPr>
              <w:t>($)</w:t>
            </w:r>
            <w:r>
              <w:rPr>
                <w:rFonts w:ascii="Arial" w:cs="Arial" w:eastAsia="Arial" w:hAnsi="Arial"/>
                <w:sz w:val="16"/>
                <w:szCs w:val="16"/>
                <w:b w:val="1"/>
                <w:bCs w:val="1"/>
                <w:color w:val="auto"/>
                <w:vertAlign w:val="superscript"/>
              </w:rPr>
              <w:t>(6)</w:t>
            </w:r>
          </w:p>
        </w:tc>
        <w:tc>
          <w:tcPr>
            <w:tcW w:w="0" w:type="dxa"/>
            <w:vAlign w:val="bottom"/>
          </w:tcPr>
          <w:p>
            <w:pPr>
              <w:spacing w:after="0"/>
              <w:rPr>
                <w:sz w:val="1"/>
                <w:szCs w:val="1"/>
                <w:color w:val="auto"/>
              </w:rPr>
            </w:pPr>
          </w:p>
        </w:tc>
      </w:tr>
      <w:tr>
        <w:trPr>
          <w:trHeight w:val="151"/>
        </w:trPr>
        <w:tc>
          <w:tcPr>
            <w:tcW w:w="880" w:type="dxa"/>
            <w:vAlign w:val="bottom"/>
          </w:tcPr>
          <w:p>
            <w:pPr>
              <w:ind w:left="20"/>
              <w:spacing w:after="0"/>
              <w:rPr>
                <w:sz w:val="20"/>
                <w:szCs w:val="20"/>
                <w:color w:val="auto"/>
              </w:rPr>
            </w:pPr>
            <w:r>
              <w:rPr>
                <w:rFonts w:ascii="Arial" w:cs="Arial" w:eastAsia="Arial" w:hAnsi="Arial"/>
                <w:sz w:val="13"/>
                <w:szCs w:val="13"/>
                <w:b w:val="1"/>
                <w:bCs w:val="1"/>
                <w:color w:val="0C3471"/>
              </w:rPr>
              <w:t>John L.</w:t>
            </w:r>
          </w:p>
        </w:tc>
        <w:tc>
          <w:tcPr>
            <w:tcW w:w="1000" w:type="dxa"/>
            <w:vAlign w:val="bottom"/>
          </w:tcPr>
          <w:p>
            <w:pPr>
              <w:jc w:val="right"/>
              <w:ind w:right="116"/>
              <w:spacing w:after="0"/>
              <w:rPr>
                <w:sz w:val="20"/>
                <w:szCs w:val="20"/>
                <w:color w:val="auto"/>
              </w:rPr>
            </w:pPr>
            <w:r>
              <w:rPr>
                <w:rFonts w:ascii="Arial" w:cs="Arial" w:eastAsia="Arial" w:hAnsi="Arial"/>
                <w:sz w:val="13"/>
                <w:szCs w:val="13"/>
                <w:color w:val="auto"/>
              </w:rPr>
              <w:t>1/2/2025</w:t>
            </w:r>
          </w:p>
        </w:tc>
        <w:tc>
          <w:tcPr>
            <w:tcW w:w="1100" w:type="dxa"/>
            <w:vAlign w:val="bottom"/>
          </w:tcPr>
          <w:p>
            <w:pPr>
              <w:jc w:val="right"/>
              <w:spacing w:after="0"/>
              <w:rPr>
                <w:sz w:val="20"/>
                <w:szCs w:val="20"/>
                <w:color w:val="auto"/>
              </w:rPr>
            </w:pPr>
            <w:r>
              <w:rPr>
                <w:rFonts w:ascii="Arial" w:cs="Arial" w:eastAsia="Arial" w:hAnsi="Arial"/>
                <w:sz w:val="13"/>
                <w:szCs w:val="13"/>
                <w:color w:val="auto"/>
              </w:rPr>
              <w:t>12/16/2024</w:t>
            </w:r>
          </w:p>
        </w:tc>
        <w:tc>
          <w:tcPr>
            <w:tcW w:w="90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76"/>
              <w:spacing w:after="0"/>
              <w:rPr>
                <w:sz w:val="20"/>
                <w:szCs w:val="20"/>
                <w:color w:val="auto"/>
              </w:rPr>
            </w:pPr>
            <w:r>
              <w:rPr>
                <w:rFonts w:ascii="Arial" w:cs="Arial" w:eastAsia="Arial" w:hAnsi="Arial"/>
                <w:sz w:val="13"/>
                <w:szCs w:val="13"/>
                <w:color w:val="auto"/>
              </w:rPr>
              <w:t>25,399</w:t>
            </w:r>
          </w:p>
        </w:tc>
        <w:tc>
          <w:tcPr>
            <w:tcW w:w="660" w:type="dxa"/>
            <w:vAlign w:val="bottom"/>
          </w:tcPr>
          <w:p>
            <w:pPr>
              <w:jc w:val="right"/>
              <w:ind w:right="97"/>
              <w:spacing w:after="0"/>
              <w:rPr>
                <w:sz w:val="20"/>
                <w:szCs w:val="20"/>
                <w:color w:val="auto"/>
              </w:rPr>
            </w:pPr>
            <w:r>
              <w:rPr>
                <w:rFonts w:ascii="Arial" w:cs="Arial" w:eastAsia="Arial" w:hAnsi="Arial"/>
                <w:sz w:val="13"/>
                <w:szCs w:val="13"/>
                <w:color w:val="auto"/>
              </w:rPr>
              <w:t>50,797</w:t>
            </w:r>
          </w:p>
        </w:tc>
        <w:tc>
          <w:tcPr>
            <w:tcW w:w="820" w:type="dxa"/>
            <w:vAlign w:val="bottom"/>
          </w:tcPr>
          <w:p>
            <w:pPr>
              <w:jc w:val="right"/>
              <w:ind w:right="97"/>
              <w:spacing w:after="0"/>
              <w:rPr>
                <w:sz w:val="20"/>
                <w:szCs w:val="20"/>
                <w:color w:val="auto"/>
              </w:rPr>
            </w:pPr>
            <w:r>
              <w:rPr>
                <w:rFonts w:ascii="Arial" w:cs="Arial" w:eastAsia="Arial" w:hAnsi="Arial"/>
                <w:sz w:val="13"/>
                <w:szCs w:val="13"/>
                <w:color w:val="auto"/>
              </w:rPr>
              <w:t>101,594</w:t>
            </w:r>
          </w:p>
        </w:tc>
        <w:tc>
          <w:tcPr>
            <w:tcW w:w="880" w:type="dxa"/>
            <w:vAlign w:val="bottom"/>
          </w:tcPr>
          <w:p>
            <w:pPr>
              <w:jc w:val="right"/>
              <w:ind w:right="157"/>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137"/>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5,100,019</w:t>
            </w:r>
          </w:p>
        </w:tc>
        <w:tc>
          <w:tcPr>
            <w:tcW w:w="0" w:type="dxa"/>
            <w:vAlign w:val="bottom"/>
          </w:tcPr>
          <w:p>
            <w:pPr>
              <w:spacing w:after="0"/>
              <w:rPr>
                <w:sz w:val="1"/>
                <w:szCs w:val="1"/>
                <w:color w:val="auto"/>
              </w:rPr>
            </w:pPr>
          </w:p>
        </w:tc>
      </w:tr>
      <w:tr>
        <w:trPr>
          <w:trHeight w:val="45"/>
        </w:trPr>
        <w:tc>
          <w:tcPr>
            <w:tcW w:w="880" w:type="dxa"/>
            <w:vAlign w:val="bottom"/>
            <w:vMerge w:val="restart"/>
          </w:tcPr>
          <w:p>
            <w:pPr>
              <w:ind w:left="20"/>
              <w:spacing w:after="0"/>
              <w:rPr>
                <w:sz w:val="20"/>
                <w:szCs w:val="20"/>
                <w:color w:val="auto"/>
              </w:rPr>
            </w:pPr>
            <w:r>
              <w:rPr>
                <w:rFonts w:ascii="Arial" w:cs="Arial" w:eastAsia="Arial" w:hAnsi="Arial"/>
                <w:sz w:val="13"/>
                <w:szCs w:val="13"/>
                <w:b w:val="1"/>
                <w:bCs w:val="1"/>
                <w:color w:val="0C3471"/>
              </w:rPr>
              <w:t>Stauch</w:t>
            </w:r>
          </w:p>
        </w:tc>
        <w:tc>
          <w:tcPr>
            <w:tcW w:w="1000" w:type="dxa"/>
            <w:vAlign w:val="bottom"/>
            <w:tcBorders>
              <w:bottom w:val="single" w:sz="8" w:color="BCBEC0"/>
            </w:tcBorders>
          </w:tcPr>
          <w:p>
            <w:pPr>
              <w:spacing w:after="0"/>
              <w:rPr>
                <w:sz w:val="3"/>
                <w:szCs w:val="3"/>
                <w:color w:val="auto"/>
              </w:rPr>
            </w:pPr>
          </w:p>
        </w:tc>
        <w:tc>
          <w:tcPr>
            <w:tcW w:w="1100" w:type="dxa"/>
            <w:vAlign w:val="bottom"/>
            <w:tcBorders>
              <w:bottom w:val="single" w:sz="8" w:color="BCBEC0"/>
            </w:tcBorders>
          </w:tcPr>
          <w:p>
            <w:pPr>
              <w:spacing w:after="0"/>
              <w:rPr>
                <w:sz w:val="3"/>
                <w:szCs w:val="3"/>
                <w:color w:val="auto"/>
              </w:rPr>
            </w:pPr>
          </w:p>
        </w:tc>
        <w:tc>
          <w:tcPr>
            <w:tcW w:w="900" w:type="dxa"/>
            <w:vAlign w:val="bottom"/>
            <w:tcBorders>
              <w:bottom w:val="single" w:sz="8" w:color="BCBEC0"/>
            </w:tcBorders>
          </w:tcPr>
          <w:p>
            <w:pPr>
              <w:spacing w:after="0"/>
              <w:rPr>
                <w:sz w:val="3"/>
                <w:szCs w:val="3"/>
                <w:color w:val="auto"/>
              </w:rPr>
            </w:pPr>
          </w:p>
        </w:tc>
        <w:tc>
          <w:tcPr>
            <w:tcW w:w="800" w:type="dxa"/>
            <w:vAlign w:val="bottom"/>
            <w:tcBorders>
              <w:bottom w:val="single" w:sz="8" w:color="BCBEC0"/>
            </w:tcBorders>
          </w:tcPr>
          <w:p>
            <w:pPr>
              <w:spacing w:after="0"/>
              <w:rPr>
                <w:sz w:val="3"/>
                <w:szCs w:val="3"/>
                <w:color w:val="auto"/>
              </w:rPr>
            </w:pPr>
          </w:p>
        </w:tc>
        <w:tc>
          <w:tcPr>
            <w:tcW w:w="740" w:type="dxa"/>
            <w:vAlign w:val="bottom"/>
            <w:tcBorders>
              <w:bottom w:val="single" w:sz="8" w:color="BCBEC0"/>
            </w:tcBorders>
          </w:tcPr>
          <w:p>
            <w:pPr>
              <w:spacing w:after="0"/>
              <w:rPr>
                <w:sz w:val="3"/>
                <w:szCs w:val="3"/>
                <w:color w:val="auto"/>
              </w:rPr>
            </w:pPr>
          </w:p>
        </w:tc>
        <w:tc>
          <w:tcPr>
            <w:tcW w:w="920" w:type="dxa"/>
            <w:vAlign w:val="bottom"/>
            <w:tcBorders>
              <w:bottom w:val="single" w:sz="8" w:color="BCBEC0"/>
            </w:tcBorders>
          </w:tcPr>
          <w:p>
            <w:pPr>
              <w:spacing w:after="0"/>
              <w:rPr>
                <w:sz w:val="3"/>
                <w:szCs w:val="3"/>
                <w:color w:val="auto"/>
              </w:rPr>
            </w:pPr>
          </w:p>
        </w:tc>
        <w:tc>
          <w:tcPr>
            <w:tcW w:w="660" w:type="dxa"/>
            <w:vAlign w:val="bottom"/>
            <w:tcBorders>
              <w:bottom w:val="single" w:sz="8" w:color="BCBEC0"/>
            </w:tcBorders>
          </w:tcPr>
          <w:p>
            <w:pPr>
              <w:spacing w:after="0"/>
              <w:rPr>
                <w:sz w:val="3"/>
                <w:szCs w:val="3"/>
                <w:color w:val="auto"/>
              </w:rPr>
            </w:pPr>
          </w:p>
        </w:tc>
        <w:tc>
          <w:tcPr>
            <w:tcW w:w="820" w:type="dxa"/>
            <w:vAlign w:val="bottom"/>
            <w:tcBorders>
              <w:bottom w:val="single" w:sz="8" w:color="BCBEC0"/>
            </w:tcBorders>
          </w:tcPr>
          <w:p>
            <w:pPr>
              <w:spacing w:after="0"/>
              <w:rPr>
                <w:sz w:val="3"/>
                <w:szCs w:val="3"/>
                <w:color w:val="auto"/>
              </w:rPr>
            </w:pPr>
          </w:p>
        </w:tc>
        <w:tc>
          <w:tcPr>
            <w:tcW w:w="880" w:type="dxa"/>
            <w:vAlign w:val="bottom"/>
            <w:tcBorders>
              <w:bottom w:val="single" w:sz="8" w:color="BCBEC0"/>
            </w:tcBorders>
          </w:tcPr>
          <w:p>
            <w:pPr>
              <w:spacing w:after="0"/>
              <w:rPr>
                <w:sz w:val="3"/>
                <w:szCs w:val="3"/>
                <w:color w:val="auto"/>
              </w:rPr>
            </w:pPr>
          </w:p>
        </w:tc>
        <w:tc>
          <w:tcPr>
            <w:tcW w:w="980" w:type="dxa"/>
            <w:vAlign w:val="bottom"/>
            <w:tcBorders>
              <w:bottom w:val="single" w:sz="8" w:color="BCBEC0"/>
            </w:tcBorders>
          </w:tcPr>
          <w:p>
            <w:pPr>
              <w:spacing w:after="0"/>
              <w:rPr>
                <w:sz w:val="3"/>
                <w:szCs w:val="3"/>
                <w:color w:val="auto"/>
              </w:rPr>
            </w:pPr>
          </w:p>
        </w:tc>
        <w:tc>
          <w:tcPr>
            <w:tcW w:w="800" w:type="dxa"/>
            <w:vAlign w:val="bottom"/>
            <w:tcBorders>
              <w:bottom w:val="single" w:sz="8" w:color="BCBEC0"/>
            </w:tcBorders>
          </w:tcPr>
          <w:p>
            <w:pPr>
              <w:spacing w:after="0"/>
              <w:rPr>
                <w:sz w:val="3"/>
                <w:szCs w:val="3"/>
                <w:color w:val="auto"/>
              </w:rPr>
            </w:pPr>
          </w:p>
        </w:tc>
        <w:tc>
          <w:tcPr>
            <w:tcW w:w="760" w:type="dxa"/>
            <w:vAlign w:val="bottom"/>
            <w:tcBorders>
              <w:bottom w:val="single" w:sz="8" w:color="BCBEC0"/>
            </w:tcBorders>
          </w:tcPr>
          <w:p>
            <w:pPr>
              <w:spacing w:after="0"/>
              <w:rPr>
                <w:sz w:val="3"/>
                <w:szCs w:val="3"/>
                <w:color w:val="auto"/>
              </w:rPr>
            </w:pPr>
          </w:p>
        </w:tc>
        <w:tc>
          <w:tcPr>
            <w:tcW w:w="0" w:type="dxa"/>
            <w:vAlign w:val="bottom"/>
          </w:tcPr>
          <w:p>
            <w:pPr>
              <w:spacing w:after="0"/>
              <w:rPr>
                <w:sz w:val="1"/>
                <w:szCs w:val="1"/>
                <w:color w:val="auto"/>
              </w:rPr>
            </w:pPr>
          </w:p>
        </w:tc>
      </w:tr>
      <w:tr>
        <w:trPr>
          <w:trHeight w:val="107"/>
        </w:trPr>
        <w:tc>
          <w:tcPr>
            <w:tcW w:w="880" w:type="dxa"/>
            <w:vAlign w:val="bottom"/>
            <w:vMerge w:val="continue"/>
          </w:tcPr>
          <w:p>
            <w:pPr>
              <w:spacing w:after="0"/>
              <w:rPr>
                <w:sz w:val="9"/>
                <w:szCs w:val="9"/>
                <w:color w:val="auto"/>
              </w:rPr>
            </w:pPr>
          </w:p>
        </w:tc>
        <w:tc>
          <w:tcPr>
            <w:tcW w:w="1000" w:type="dxa"/>
            <w:vAlign w:val="bottom"/>
            <w:vMerge w:val="restart"/>
          </w:tcPr>
          <w:p>
            <w:pPr>
              <w:jc w:val="right"/>
              <w:ind w:right="116"/>
              <w:spacing w:after="0"/>
              <w:rPr>
                <w:sz w:val="20"/>
                <w:szCs w:val="20"/>
                <w:color w:val="auto"/>
              </w:rPr>
            </w:pPr>
            <w:r>
              <w:rPr>
                <w:rFonts w:ascii="Arial" w:cs="Arial" w:eastAsia="Arial" w:hAnsi="Arial"/>
                <w:sz w:val="13"/>
                <w:szCs w:val="13"/>
                <w:color w:val="auto"/>
              </w:rPr>
              <w:t>1/2/2025</w:t>
            </w:r>
          </w:p>
        </w:tc>
        <w:tc>
          <w:tcPr>
            <w:tcW w:w="1100" w:type="dxa"/>
            <w:vAlign w:val="bottom"/>
            <w:vMerge w:val="restart"/>
          </w:tcPr>
          <w:p>
            <w:pPr>
              <w:jc w:val="right"/>
              <w:spacing w:after="0"/>
              <w:rPr>
                <w:sz w:val="20"/>
                <w:szCs w:val="20"/>
                <w:color w:val="auto"/>
              </w:rPr>
            </w:pPr>
            <w:r>
              <w:rPr>
                <w:rFonts w:ascii="Arial" w:cs="Arial" w:eastAsia="Arial" w:hAnsi="Arial"/>
                <w:sz w:val="13"/>
                <w:szCs w:val="13"/>
                <w:color w:val="auto"/>
              </w:rPr>
              <w:t>12/16/2024</w:t>
            </w:r>
          </w:p>
        </w:tc>
        <w:tc>
          <w:tcPr>
            <w:tcW w:w="900" w:type="dxa"/>
            <w:vAlign w:val="bottom"/>
            <w:vMerge w:val="restart"/>
          </w:tcPr>
          <w:p>
            <w:pPr>
              <w:jc w:val="right"/>
              <w:ind w:right="76"/>
              <w:spacing w:after="0"/>
              <w:rPr>
                <w:sz w:val="20"/>
                <w:szCs w:val="20"/>
                <w:color w:val="auto"/>
              </w:rPr>
            </w:pPr>
            <w:r>
              <w:rPr>
                <w:rFonts w:ascii="Arial" w:cs="Arial" w:eastAsia="Arial" w:hAnsi="Arial"/>
                <w:sz w:val="13"/>
                <w:szCs w:val="13"/>
                <w:color w:val="auto"/>
              </w:rPr>
              <w:t>—</w:t>
            </w:r>
          </w:p>
        </w:tc>
        <w:tc>
          <w:tcPr>
            <w:tcW w:w="800" w:type="dxa"/>
            <w:vAlign w:val="bottom"/>
            <w:vMerge w:val="restart"/>
          </w:tcPr>
          <w:p>
            <w:pPr>
              <w:jc w:val="right"/>
              <w:ind w:right="97"/>
              <w:spacing w:after="0"/>
              <w:rPr>
                <w:sz w:val="20"/>
                <w:szCs w:val="20"/>
                <w:color w:val="auto"/>
              </w:rPr>
            </w:pPr>
            <w:r>
              <w:rPr>
                <w:rFonts w:ascii="Arial" w:cs="Arial" w:eastAsia="Arial" w:hAnsi="Arial"/>
                <w:sz w:val="13"/>
                <w:szCs w:val="13"/>
                <w:color w:val="auto"/>
              </w:rPr>
              <w:t>—</w:t>
            </w:r>
          </w:p>
        </w:tc>
        <w:tc>
          <w:tcPr>
            <w:tcW w:w="740" w:type="dxa"/>
            <w:vAlign w:val="bottom"/>
            <w:vMerge w:val="restart"/>
          </w:tcPr>
          <w:p>
            <w:pPr>
              <w:jc w:val="right"/>
              <w:ind w:right="17"/>
              <w:spacing w:after="0"/>
              <w:rPr>
                <w:sz w:val="20"/>
                <w:szCs w:val="20"/>
                <w:color w:val="auto"/>
              </w:rPr>
            </w:pPr>
            <w:r>
              <w:rPr>
                <w:rFonts w:ascii="Arial" w:cs="Arial" w:eastAsia="Arial" w:hAnsi="Arial"/>
                <w:sz w:val="13"/>
                <w:szCs w:val="13"/>
                <w:color w:val="auto"/>
              </w:rPr>
              <w:t>—</w:t>
            </w:r>
          </w:p>
        </w:tc>
        <w:tc>
          <w:tcPr>
            <w:tcW w:w="920" w:type="dxa"/>
            <w:vAlign w:val="bottom"/>
            <w:vMerge w:val="restart"/>
          </w:tcPr>
          <w:p>
            <w:pPr>
              <w:jc w:val="right"/>
              <w:ind w:right="76"/>
              <w:spacing w:after="0"/>
              <w:rPr>
                <w:sz w:val="20"/>
                <w:szCs w:val="20"/>
                <w:color w:val="auto"/>
              </w:rPr>
            </w:pPr>
            <w:r>
              <w:rPr>
                <w:rFonts w:ascii="Arial" w:cs="Arial" w:eastAsia="Arial" w:hAnsi="Arial"/>
                <w:sz w:val="13"/>
                <w:szCs w:val="13"/>
                <w:color w:val="auto"/>
              </w:rPr>
              <w:t>—</w:t>
            </w:r>
          </w:p>
        </w:tc>
        <w:tc>
          <w:tcPr>
            <w:tcW w:w="660" w:type="dxa"/>
            <w:vAlign w:val="bottom"/>
            <w:vMerge w:val="restart"/>
          </w:tcPr>
          <w:p>
            <w:pPr>
              <w:jc w:val="right"/>
              <w:ind w:right="97"/>
              <w:spacing w:after="0"/>
              <w:rPr>
                <w:sz w:val="20"/>
                <w:szCs w:val="20"/>
                <w:color w:val="auto"/>
              </w:rPr>
            </w:pPr>
            <w:r>
              <w:rPr>
                <w:rFonts w:ascii="Arial" w:cs="Arial" w:eastAsia="Arial" w:hAnsi="Arial"/>
                <w:sz w:val="13"/>
                <w:szCs w:val="13"/>
                <w:color w:val="auto"/>
              </w:rPr>
              <w:t>—</w:t>
            </w:r>
          </w:p>
        </w:tc>
        <w:tc>
          <w:tcPr>
            <w:tcW w:w="820" w:type="dxa"/>
            <w:vAlign w:val="bottom"/>
            <w:vMerge w:val="restart"/>
          </w:tcPr>
          <w:p>
            <w:pPr>
              <w:jc w:val="right"/>
              <w:ind w:right="97"/>
              <w:spacing w:after="0"/>
              <w:rPr>
                <w:sz w:val="20"/>
                <w:szCs w:val="20"/>
                <w:color w:val="auto"/>
              </w:rPr>
            </w:pPr>
            <w:r>
              <w:rPr>
                <w:rFonts w:ascii="Arial" w:cs="Arial" w:eastAsia="Arial" w:hAnsi="Arial"/>
                <w:sz w:val="13"/>
                <w:szCs w:val="13"/>
                <w:color w:val="auto"/>
              </w:rPr>
              <w:t>—</w:t>
            </w:r>
          </w:p>
        </w:tc>
        <w:tc>
          <w:tcPr>
            <w:tcW w:w="880" w:type="dxa"/>
            <w:vAlign w:val="bottom"/>
            <w:vMerge w:val="restart"/>
          </w:tcPr>
          <w:p>
            <w:pPr>
              <w:jc w:val="right"/>
              <w:ind w:right="157"/>
              <w:spacing w:after="0"/>
              <w:rPr>
                <w:sz w:val="20"/>
                <w:szCs w:val="20"/>
                <w:color w:val="auto"/>
              </w:rPr>
            </w:pPr>
            <w:r>
              <w:rPr>
                <w:rFonts w:ascii="Arial" w:cs="Arial" w:eastAsia="Arial" w:hAnsi="Arial"/>
                <w:sz w:val="13"/>
                <w:szCs w:val="13"/>
                <w:color w:val="auto"/>
              </w:rPr>
              <w:t>—</w:t>
            </w:r>
          </w:p>
        </w:tc>
        <w:tc>
          <w:tcPr>
            <w:tcW w:w="980" w:type="dxa"/>
            <w:vAlign w:val="bottom"/>
            <w:vMerge w:val="restart"/>
          </w:tcPr>
          <w:p>
            <w:pPr>
              <w:jc w:val="right"/>
              <w:ind w:right="117"/>
              <w:spacing w:after="0"/>
              <w:rPr>
                <w:sz w:val="20"/>
                <w:szCs w:val="20"/>
                <w:color w:val="auto"/>
              </w:rPr>
            </w:pPr>
            <w:r>
              <w:rPr>
                <w:rFonts w:ascii="Arial" w:cs="Arial" w:eastAsia="Arial" w:hAnsi="Arial"/>
                <w:sz w:val="13"/>
                <w:szCs w:val="13"/>
                <w:color w:val="auto"/>
              </w:rPr>
              <w:t>46,281</w:t>
            </w:r>
          </w:p>
        </w:tc>
        <w:tc>
          <w:tcPr>
            <w:tcW w:w="800" w:type="dxa"/>
            <w:vAlign w:val="bottom"/>
            <w:vMerge w:val="restart"/>
          </w:tcPr>
          <w:p>
            <w:pPr>
              <w:jc w:val="right"/>
              <w:ind w:right="137"/>
              <w:spacing w:after="0"/>
              <w:rPr>
                <w:sz w:val="20"/>
                <w:szCs w:val="20"/>
                <w:color w:val="auto"/>
              </w:rPr>
            </w:pPr>
            <w:r>
              <w:rPr>
                <w:rFonts w:ascii="Arial" w:cs="Arial" w:eastAsia="Arial" w:hAnsi="Arial"/>
                <w:sz w:val="13"/>
                <w:szCs w:val="13"/>
                <w:color w:val="auto"/>
              </w:rPr>
              <w:t>100.40</w:t>
            </w: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1,699,986</w:t>
            </w:r>
          </w:p>
        </w:tc>
        <w:tc>
          <w:tcPr>
            <w:tcW w:w="0" w:type="dxa"/>
            <w:vAlign w:val="bottom"/>
          </w:tcPr>
          <w:p>
            <w:pPr>
              <w:spacing w:after="0"/>
              <w:rPr>
                <w:sz w:val="1"/>
                <w:szCs w:val="1"/>
                <w:color w:val="auto"/>
              </w:rPr>
            </w:pPr>
          </w:p>
        </w:tc>
      </w:tr>
      <w:tr>
        <w:trPr>
          <w:trHeight w:val="62"/>
        </w:trPr>
        <w:tc>
          <w:tcPr>
            <w:tcW w:w="880" w:type="dxa"/>
            <w:vAlign w:val="bottom"/>
          </w:tcPr>
          <w:p>
            <w:pPr>
              <w:spacing w:after="0"/>
              <w:rPr>
                <w:sz w:val="5"/>
                <w:szCs w:val="5"/>
                <w:color w:val="auto"/>
              </w:rPr>
            </w:pPr>
          </w:p>
        </w:tc>
        <w:tc>
          <w:tcPr>
            <w:tcW w:w="1000" w:type="dxa"/>
            <w:vAlign w:val="bottom"/>
            <w:vMerge w:val="continue"/>
          </w:tcPr>
          <w:p>
            <w:pPr>
              <w:spacing w:after="0"/>
              <w:rPr>
                <w:sz w:val="5"/>
                <w:szCs w:val="5"/>
                <w:color w:val="auto"/>
              </w:rPr>
            </w:pPr>
          </w:p>
        </w:tc>
        <w:tc>
          <w:tcPr>
            <w:tcW w:w="1100" w:type="dxa"/>
            <w:vAlign w:val="bottom"/>
            <w:vMerge w:val="continue"/>
          </w:tcPr>
          <w:p>
            <w:pPr>
              <w:spacing w:after="0"/>
              <w:rPr>
                <w:sz w:val="5"/>
                <w:szCs w:val="5"/>
                <w:color w:val="auto"/>
              </w:rPr>
            </w:pPr>
          </w:p>
        </w:tc>
        <w:tc>
          <w:tcPr>
            <w:tcW w:w="90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880" w:type="dxa"/>
            <w:vAlign w:val="bottom"/>
            <w:vMerge w:val="continue"/>
          </w:tcPr>
          <w:p>
            <w:pPr>
              <w:spacing w:after="0"/>
              <w:rPr>
                <w:sz w:val="5"/>
                <w:szCs w:val="5"/>
                <w:color w:val="auto"/>
              </w:rPr>
            </w:pPr>
          </w:p>
        </w:tc>
        <w:tc>
          <w:tcPr>
            <w:tcW w:w="98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8"/>
        </w:trPr>
        <w:tc>
          <w:tcPr>
            <w:tcW w:w="880" w:type="dxa"/>
            <w:vAlign w:val="bottom"/>
          </w:tcPr>
          <w:p>
            <w:pPr>
              <w:spacing w:after="0"/>
              <w:rPr>
                <w:sz w:val="2"/>
                <w:szCs w:val="2"/>
                <w:color w:val="auto"/>
              </w:rPr>
            </w:pPr>
          </w:p>
        </w:tc>
        <w:tc>
          <w:tcPr>
            <w:tcW w:w="1000" w:type="dxa"/>
            <w:vAlign w:val="bottom"/>
            <w:tcBorders>
              <w:bottom w:val="single" w:sz="8" w:color="BCBEC0"/>
            </w:tcBorders>
          </w:tcPr>
          <w:p>
            <w:pPr>
              <w:spacing w:after="0"/>
              <w:rPr>
                <w:sz w:val="2"/>
                <w:szCs w:val="2"/>
                <w:color w:val="auto"/>
              </w:rPr>
            </w:pPr>
          </w:p>
        </w:tc>
        <w:tc>
          <w:tcPr>
            <w:tcW w:w="1100" w:type="dxa"/>
            <w:vAlign w:val="bottom"/>
            <w:tcBorders>
              <w:bottom w:val="single" w:sz="8" w:color="BCBEC0"/>
            </w:tcBorders>
          </w:tcPr>
          <w:p>
            <w:pPr>
              <w:spacing w:after="0"/>
              <w:rPr>
                <w:sz w:val="2"/>
                <w:szCs w:val="2"/>
                <w:color w:val="auto"/>
              </w:rPr>
            </w:pPr>
          </w:p>
        </w:tc>
        <w:tc>
          <w:tcPr>
            <w:tcW w:w="900" w:type="dxa"/>
            <w:vAlign w:val="bottom"/>
            <w:tcBorders>
              <w:bottom w:val="single" w:sz="8" w:color="BCBEC0"/>
            </w:tcBorders>
          </w:tcPr>
          <w:p>
            <w:pPr>
              <w:spacing w:after="0"/>
              <w:rPr>
                <w:sz w:val="2"/>
                <w:szCs w:val="2"/>
                <w:color w:val="auto"/>
              </w:rPr>
            </w:pPr>
          </w:p>
        </w:tc>
        <w:tc>
          <w:tcPr>
            <w:tcW w:w="800" w:type="dxa"/>
            <w:vAlign w:val="bottom"/>
            <w:tcBorders>
              <w:bottom w:val="single" w:sz="8" w:color="BCBEC0"/>
            </w:tcBorders>
          </w:tcPr>
          <w:p>
            <w:pPr>
              <w:spacing w:after="0"/>
              <w:rPr>
                <w:sz w:val="2"/>
                <w:szCs w:val="2"/>
                <w:color w:val="auto"/>
              </w:rPr>
            </w:pPr>
          </w:p>
        </w:tc>
        <w:tc>
          <w:tcPr>
            <w:tcW w:w="740" w:type="dxa"/>
            <w:vAlign w:val="bottom"/>
            <w:tcBorders>
              <w:bottom w:val="single" w:sz="8" w:color="BCBEC0"/>
            </w:tcBorders>
          </w:tcPr>
          <w:p>
            <w:pPr>
              <w:spacing w:after="0"/>
              <w:rPr>
                <w:sz w:val="2"/>
                <w:szCs w:val="2"/>
                <w:color w:val="auto"/>
              </w:rPr>
            </w:pPr>
          </w:p>
        </w:tc>
        <w:tc>
          <w:tcPr>
            <w:tcW w:w="920" w:type="dxa"/>
            <w:vAlign w:val="bottom"/>
            <w:tcBorders>
              <w:bottom w:val="single" w:sz="8" w:color="BCBEC0"/>
            </w:tcBorders>
          </w:tcPr>
          <w:p>
            <w:pPr>
              <w:spacing w:after="0"/>
              <w:rPr>
                <w:sz w:val="2"/>
                <w:szCs w:val="2"/>
                <w:color w:val="auto"/>
              </w:rPr>
            </w:pPr>
          </w:p>
        </w:tc>
        <w:tc>
          <w:tcPr>
            <w:tcW w:w="660" w:type="dxa"/>
            <w:vAlign w:val="bottom"/>
            <w:tcBorders>
              <w:bottom w:val="single" w:sz="8" w:color="BCBEC0"/>
            </w:tcBorders>
          </w:tcPr>
          <w:p>
            <w:pPr>
              <w:spacing w:after="0"/>
              <w:rPr>
                <w:sz w:val="2"/>
                <w:szCs w:val="2"/>
                <w:color w:val="auto"/>
              </w:rPr>
            </w:pPr>
          </w:p>
        </w:tc>
        <w:tc>
          <w:tcPr>
            <w:tcW w:w="820" w:type="dxa"/>
            <w:vAlign w:val="bottom"/>
            <w:tcBorders>
              <w:bottom w:val="single" w:sz="8" w:color="BCBEC0"/>
            </w:tcBorders>
          </w:tcPr>
          <w:p>
            <w:pPr>
              <w:spacing w:after="0"/>
              <w:rPr>
                <w:sz w:val="2"/>
                <w:szCs w:val="2"/>
                <w:color w:val="auto"/>
              </w:rPr>
            </w:pPr>
          </w:p>
        </w:tc>
        <w:tc>
          <w:tcPr>
            <w:tcW w:w="880" w:type="dxa"/>
            <w:vAlign w:val="bottom"/>
            <w:tcBorders>
              <w:bottom w:val="single" w:sz="8" w:color="BCBEC0"/>
            </w:tcBorders>
          </w:tcPr>
          <w:p>
            <w:pPr>
              <w:spacing w:after="0"/>
              <w:rPr>
                <w:sz w:val="2"/>
                <w:szCs w:val="2"/>
                <w:color w:val="auto"/>
              </w:rPr>
            </w:pPr>
          </w:p>
        </w:tc>
        <w:tc>
          <w:tcPr>
            <w:tcW w:w="980" w:type="dxa"/>
            <w:vAlign w:val="bottom"/>
            <w:tcBorders>
              <w:bottom w:val="single" w:sz="8" w:color="BCBEC0"/>
            </w:tcBorders>
          </w:tcPr>
          <w:p>
            <w:pPr>
              <w:spacing w:after="0"/>
              <w:rPr>
                <w:sz w:val="2"/>
                <w:szCs w:val="2"/>
                <w:color w:val="auto"/>
              </w:rPr>
            </w:pPr>
          </w:p>
        </w:tc>
        <w:tc>
          <w:tcPr>
            <w:tcW w:w="800" w:type="dxa"/>
            <w:vAlign w:val="bottom"/>
            <w:tcBorders>
              <w:bottom w:val="single" w:sz="8" w:color="BCBEC0"/>
            </w:tcBorders>
          </w:tcPr>
          <w:p>
            <w:pPr>
              <w:spacing w:after="0"/>
              <w:rPr>
                <w:sz w:val="2"/>
                <w:szCs w:val="2"/>
                <w:color w:val="auto"/>
              </w:rPr>
            </w:pPr>
          </w:p>
        </w:tc>
        <w:tc>
          <w:tcPr>
            <w:tcW w:w="760" w:type="dxa"/>
            <w:vAlign w:val="bottom"/>
            <w:tcBorders>
              <w:bottom w:val="single" w:sz="8" w:color="BCBEC0"/>
            </w:tcBorders>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8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00" w:type="dxa"/>
            <w:vAlign w:val="bottom"/>
          </w:tcPr>
          <w:p>
            <w:pPr>
              <w:jc w:val="right"/>
              <w:ind w:right="76"/>
              <w:spacing w:after="0"/>
              <w:rPr>
                <w:sz w:val="20"/>
                <w:szCs w:val="20"/>
                <w:color w:val="auto"/>
              </w:rPr>
            </w:pPr>
            <w:r>
              <w:rPr>
                <w:rFonts w:ascii="Arial" w:cs="Arial" w:eastAsia="Arial" w:hAnsi="Arial"/>
                <w:sz w:val="13"/>
                <w:szCs w:val="13"/>
                <w:color w:val="auto"/>
              </w:rPr>
              <w:t>783,000</w:t>
            </w:r>
          </w:p>
        </w:tc>
        <w:tc>
          <w:tcPr>
            <w:tcW w:w="800" w:type="dxa"/>
            <w:vAlign w:val="bottom"/>
          </w:tcPr>
          <w:p>
            <w:pPr>
              <w:jc w:val="right"/>
              <w:ind w:right="97"/>
              <w:spacing w:after="0"/>
              <w:rPr>
                <w:sz w:val="20"/>
                <w:szCs w:val="20"/>
                <w:color w:val="auto"/>
              </w:rPr>
            </w:pPr>
            <w:r>
              <w:rPr>
                <w:rFonts w:ascii="Arial" w:cs="Arial" w:eastAsia="Arial" w:hAnsi="Arial"/>
                <w:sz w:val="13"/>
                <w:szCs w:val="13"/>
                <w:color w:val="auto"/>
              </w:rPr>
              <w:t>1,566,000</w:t>
            </w:r>
          </w:p>
        </w:tc>
        <w:tc>
          <w:tcPr>
            <w:tcW w:w="740" w:type="dxa"/>
            <w:vAlign w:val="bottom"/>
          </w:tcPr>
          <w:p>
            <w:pPr>
              <w:jc w:val="right"/>
              <w:ind w:right="17"/>
              <w:spacing w:after="0"/>
              <w:rPr>
                <w:sz w:val="20"/>
                <w:szCs w:val="20"/>
                <w:color w:val="auto"/>
              </w:rPr>
            </w:pPr>
            <w:r>
              <w:rPr>
                <w:rFonts w:ascii="Arial" w:cs="Arial" w:eastAsia="Arial" w:hAnsi="Arial"/>
                <w:sz w:val="13"/>
                <w:szCs w:val="13"/>
                <w:color w:val="auto"/>
              </w:rPr>
              <w:t>3,132,000</w:t>
            </w:r>
          </w:p>
        </w:tc>
        <w:tc>
          <w:tcPr>
            <w:tcW w:w="92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157"/>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137"/>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8"/>
        </w:trPr>
        <w:tc>
          <w:tcPr>
            <w:tcW w:w="880" w:type="dxa"/>
            <w:vAlign w:val="bottom"/>
            <w:vMerge w:val="restart"/>
          </w:tcPr>
          <w:p>
            <w:pPr>
              <w:ind w:left="20"/>
              <w:spacing w:after="0"/>
              <w:rPr>
                <w:sz w:val="20"/>
                <w:szCs w:val="20"/>
                <w:color w:val="auto"/>
              </w:rPr>
            </w:pPr>
            <w:r>
              <w:rPr>
                <w:rFonts w:ascii="Arial" w:cs="Arial" w:eastAsia="Arial" w:hAnsi="Arial"/>
                <w:sz w:val="13"/>
                <w:szCs w:val="13"/>
                <w:b w:val="1"/>
                <w:bCs w:val="1"/>
                <w:color w:val="0C3471"/>
              </w:rPr>
              <w:t>Robert P.</w:t>
            </w:r>
          </w:p>
        </w:tc>
        <w:tc>
          <w:tcPr>
            <w:tcW w:w="1000" w:type="dxa"/>
            <w:vAlign w:val="bottom"/>
            <w:tcBorders>
              <w:bottom w:val="single" w:sz="8" w:color="BCBEC0"/>
            </w:tcBorders>
          </w:tcPr>
          <w:p>
            <w:pPr>
              <w:spacing w:after="0"/>
              <w:rPr>
                <w:sz w:val="2"/>
                <w:szCs w:val="2"/>
                <w:color w:val="auto"/>
              </w:rPr>
            </w:pPr>
          </w:p>
        </w:tc>
        <w:tc>
          <w:tcPr>
            <w:tcW w:w="1100" w:type="dxa"/>
            <w:vAlign w:val="bottom"/>
            <w:tcBorders>
              <w:bottom w:val="single" w:sz="8" w:color="BCBEC0"/>
            </w:tcBorders>
          </w:tcPr>
          <w:p>
            <w:pPr>
              <w:spacing w:after="0"/>
              <w:rPr>
                <w:sz w:val="2"/>
                <w:szCs w:val="2"/>
                <w:color w:val="auto"/>
              </w:rPr>
            </w:pPr>
          </w:p>
        </w:tc>
        <w:tc>
          <w:tcPr>
            <w:tcW w:w="900" w:type="dxa"/>
            <w:vAlign w:val="bottom"/>
            <w:tcBorders>
              <w:bottom w:val="single" w:sz="8" w:color="BCBEC0"/>
            </w:tcBorders>
          </w:tcPr>
          <w:p>
            <w:pPr>
              <w:spacing w:after="0"/>
              <w:rPr>
                <w:sz w:val="2"/>
                <w:szCs w:val="2"/>
                <w:color w:val="auto"/>
              </w:rPr>
            </w:pPr>
          </w:p>
        </w:tc>
        <w:tc>
          <w:tcPr>
            <w:tcW w:w="800" w:type="dxa"/>
            <w:vAlign w:val="bottom"/>
            <w:tcBorders>
              <w:bottom w:val="single" w:sz="8" w:color="BCBEC0"/>
            </w:tcBorders>
          </w:tcPr>
          <w:p>
            <w:pPr>
              <w:spacing w:after="0"/>
              <w:rPr>
                <w:sz w:val="2"/>
                <w:szCs w:val="2"/>
                <w:color w:val="auto"/>
              </w:rPr>
            </w:pPr>
          </w:p>
        </w:tc>
        <w:tc>
          <w:tcPr>
            <w:tcW w:w="740" w:type="dxa"/>
            <w:vAlign w:val="bottom"/>
            <w:tcBorders>
              <w:bottom w:val="single" w:sz="8" w:color="BCBEC0"/>
            </w:tcBorders>
          </w:tcPr>
          <w:p>
            <w:pPr>
              <w:spacing w:after="0"/>
              <w:rPr>
                <w:sz w:val="2"/>
                <w:szCs w:val="2"/>
                <w:color w:val="auto"/>
              </w:rPr>
            </w:pPr>
          </w:p>
        </w:tc>
        <w:tc>
          <w:tcPr>
            <w:tcW w:w="920" w:type="dxa"/>
            <w:vAlign w:val="bottom"/>
            <w:tcBorders>
              <w:bottom w:val="single" w:sz="8" w:color="BCBEC0"/>
            </w:tcBorders>
          </w:tcPr>
          <w:p>
            <w:pPr>
              <w:spacing w:after="0"/>
              <w:rPr>
                <w:sz w:val="2"/>
                <w:szCs w:val="2"/>
                <w:color w:val="auto"/>
              </w:rPr>
            </w:pPr>
          </w:p>
        </w:tc>
        <w:tc>
          <w:tcPr>
            <w:tcW w:w="660" w:type="dxa"/>
            <w:vAlign w:val="bottom"/>
            <w:tcBorders>
              <w:bottom w:val="single" w:sz="8" w:color="BCBEC0"/>
            </w:tcBorders>
          </w:tcPr>
          <w:p>
            <w:pPr>
              <w:spacing w:after="0"/>
              <w:rPr>
                <w:sz w:val="2"/>
                <w:szCs w:val="2"/>
                <w:color w:val="auto"/>
              </w:rPr>
            </w:pPr>
          </w:p>
        </w:tc>
        <w:tc>
          <w:tcPr>
            <w:tcW w:w="820" w:type="dxa"/>
            <w:vAlign w:val="bottom"/>
            <w:tcBorders>
              <w:bottom w:val="single" w:sz="8" w:color="BCBEC0"/>
            </w:tcBorders>
          </w:tcPr>
          <w:p>
            <w:pPr>
              <w:spacing w:after="0"/>
              <w:rPr>
                <w:sz w:val="2"/>
                <w:szCs w:val="2"/>
                <w:color w:val="auto"/>
              </w:rPr>
            </w:pPr>
          </w:p>
        </w:tc>
        <w:tc>
          <w:tcPr>
            <w:tcW w:w="880" w:type="dxa"/>
            <w:vAlign w:val="bottom"/>
            <w:tcBorders>
              <w:bottom w:val="single" w:sz="8" w:color="BCBEC0"/>
            </w:tcBorders>
          </w:tcPr>
          <w:p>
            <w:pPr>
              <w:spacing w:after="0"/>
              <w:rPr>
                <w:sz w:val="2"/>
                <w:szCs w:val="2"/>
                <w:color w:val="auto"/>
              </w:rPr>
            </w:pPr>
          </w:p>
        </w:tc>
        <w:tc>
          <w:tcPr>
            <w:tcW w:w="980" w:type="dxa"/>
            <w:vAlign w:val="bottom"/>
            <w:tcBorders>
              <w:bottom w:val="single" w:sz="8" w:color="BCBEC0"/>
            </w:tcBorders>
          </w:tcPr>
          <w:p>
            <w:pPr>
              <w:spacing w:after="0"/>
              <w:rPr>
                <w:sz w:val="2"/>
                <w:szCs w:val="2"/>
                <w:color w:val="auto"/>
              </w:rPr>
            </w:pPr>
          </w:p>
        </w:tc>
        <w:tc>
          <w:tcPr>
            <w:tcW w:w="800" w:type="dxa"/>
            <w:vAlign w:val="bottom"/>
            <w:tcBorders>
              <w:bottom w:val="single" w:sz="8" w:color="BCBEC0"/>
            </w:tcBorders>
          </w:tcPr>
          <w:p>
            <w:pPr>
              <w:spacing w:after="0"/>
              <w:rPr>
                <w:sz w:val="2"/>
                <w:szCs w:val="2"/>
                <w:color w:val="auto"/>
              </w:rPr>
            </w:pPr>
          </w:p>
        </w:tc>
        <w:tc>
          <w:tcPr>
            <w:tcW w:w="760" w:type="dxa"/>
            <w:vAlign w:val="bottom"/>
            <w:tcBorders>
              <w:bottom w:val="single" w:sz="8" w:color="BCBEC0"/>
            </w:tcBorders>
          </w:tcPr>
          <w:p>
            <w:pPr>
              <w:spacing w:after="0"/>
              <w:rPr>
                <w:sz w:val="2"/>
                <w:szCs w:val="2"/>
                <w:color w:val="auto"/>
              </w:rPr>
            </w:pPr>
          </w:p>
        </w:tc>
        <w:tc>
          <w:tcPr>
            <w:tcW w:w="0" w:type="dxa"/>
            <w:vAlign w:val="bottom"/>
          </w:tcPr>
          <w:p>
            <w:pPr>
              <w:spacing w:after="0"/>
              <w:rPr>
                <w:sz w:val="1"/>
                <w:szCs w:val="1"/>
                <w:color w:val="auto"/>
              </w:rPr>
            </w:pPr>
          </w:p>
        </w:tc>
      </w:tr>
      <w:tr>
        <w:trPr>
          <w:trHeight w:val="138"/>
        </w:trPr>
        <w:tc>
          <w:tcPr>
            <w:tcW w:w="880" w:type="dxa"/>
            <w:vAlign w:val="bottom"/>
            <w:vMerge w:val="continue"/>
          </w:tcPr>
          <w:p>
            <w:pPr>
              <w:spacing w:after="0"/>
              <w:rPr>
                <w:sz w:val="11"/>
                <w:szCs w:val="11"/>
                <w:color w:val="auto"/>
              </w:rPr>
            </w:pPr>
          </w:p>
        </w:tc>
        <w:tc>
          <w:tcPr>
            <w:tcW w:w="1000" w:type="dxa"/>
            <w:vAlign w:val="bottom"/>
          </w:tcPr>
          <w:p>
            <w:pPr>
              <w:jc w:val="right"/>
              <w:ind w:right="116"/>
              <w:spacing w:after="0" w:line="138" w:lineRule="exact"/>
              <w:rPr>
                <w:sz w:val="20"/>
                <w:szCs w:val="20"/>
                <w:color w:val="auto"/>
              </w:rPr>
            </w:pPr>
            <w:r>
              <w:rPr>
                <w:rFonts w:ascii="Arial" w:cs="Arial" w:eastAsia="Arial" w:hAnsi="Arial"/>
                <w:sz w:val="13"/>
                <w:szCs w:val="13"/>
                <w:color w:val="auto"/>
              </w:rPr>
              <w:t>1/2/2025</w:t>
            </w:r>
          </w:p>
        </w:tc>
        <w:tc>
          <w:tcPr>
            <w:tcW w:w="1100" w:type="dxa"/>
            <w:vAlign w:val="bottom"/>
          </w:tcPr>
          <w:p>
            <w:pPr>
              <w:jc w:val="right"/>
              <w:spacing w:after="0" w:line="138" w:lineRule="exact"/>
              <w:rPr>
                <w:sz w:val="20"/>
                <w:szCs w:val="20"/>
                <w:color w:val="auto"/>
              </w:rPr>
            </w:pPr>
            <w:r>
              <w:rPr>
                <w:rFonts w:ascii="Arial" w:cs="Arial" w:eastAsia="Arial" w:hAnsi="Arial"/>
                <w:sz w:val="13"/>
                <w:szCs w:val="13"/>
                <w:color w:val="auto"/>
              </w:rPr>
              <w:t>12/16/2024</w:t>
            </w:r>
          </w:p>
        </w:tc>
        <w:tc>
          <w:tcPr>
            <w:tcW w:w="900" w:type="dxa"/>
            <w:vAlign w:val="bottom"/>
          </w:tcPr>
          <w:p>
            <w:pPr>
              <w:jc w:val="right"/>
              <w:ind w:right="76"/>
              <w:spacing w:after="0" w:line="138" w:lineRule="exact"/>
              <w:rPr>
                <w:sz w:val="20"/>
                <w:szCs w:val="20"/>
                <w:color w:val="auto"/>
              </w:rPr>
            </w:pPr>
            <w:r>
              <w:rPr>
                <w:rFonts w:ascii="Arial" w:cs="Arial" w:eastAsia="Arial" w:hAnsi="Arial"/>
                <w:sz w:val="13"/>
                <w:szCs w:val="13"/>
                <w:color w:val="auto"/>
              </w:rPr>
              <w:t>—</w:t>
            </w:r>
          </w:p>
        </w:tc>
        <w:tc>
          <w:tcPr>
            <w:tcW w:w="800" w:type="dxa"/>
            <w:vAlign w:val="bottom"/>
          </w:tcPr>
          <w:p>
            <w:pPr>
              <w:jc w:val="right"/>
              <w:ind w:right="97"/>
              <w:spacing w:after="0" w:line="138" w:lineRule="exact"/>
              <w:rPr>
                <w:sz w:val="20"/>
                <w:szCs w:val="20"/>
                <w:color w:val="auto"/>
              </w:rPr>
            </w:pPr>
            <w:r>
              <w:rPr>
                <w:rFonts w:ascii="Arial" w:cs="Arial" w:eastAsia="Arial" w:hAnsi="Arial"/>
                <w:sz w:val="13"/>
                <w:szCs w:val="13"/>
                <w:color w:val="auto"/>
              </w:rPr>
              <w:t>—</w:t>
            </w:r>
          </w:p>
        </w:tc>
        <w:tc>
          <w:tcPr>
            <w:tcW w:w="740" w:type="dxa"/>
            <w:vAlign w:val="bottom"/>
          </w:tcPr>
          <w:p>
            <w:pPr>
              <w:jc w:val="right"/>
              <w:ind w:right="17"/>
              <w:spacing w:after="0" w:line="138" w:lineRule="exact"/>
              <w:rPr>
                <w:sz w:val="20"/>
                <w:szCs w:val="20"/>
                <w:color w:val="auto"/>
              </w:rPr>
            </w:pPr>
            <w:r>
              <w:rPr>
                <w:rFonts w:ascii="Arial" w:cs="Arial" w:eastAsia="Arial" w:hAnsi="Arial"/>
                <w:sz w:val="13"/>
                <w:szCs w:val="13"/>
                <w:color w:val="auto"/>
              </w:rPr>
              <w:t>—</w:t>
            </w:r>
          </w:p>
        </w:tc>
        <w:tc>
          <w:tcPr>
            <w:tcW w:w="920" w:type="dxa"/>
            <w:vAlign w:val="bottom"/>
          </w:tcPr>
          <w:p>
            <w:pPr>
              <w:jc w:val="right"/>
              <w:ind w:right="76"/>
              <w:spacing w:after="0" w:line="138" w:lineRule="exact"/>
              <w:rPr>
                <w:sz w:val="20"/>
                <w:szCs w:val="20"/>
                <w:color w:val="auto"/>
              </w:rPr>
            </w:pPr>
            <w:r>
              <w:rPr>
                <w:rFonts w:ascii="Arial" w:cs="Arial" w:eastAsia="Arial" w:hAnsi="Arial"/>
                <w:sz w:val="13"/>
                <w:szCs w:val="13"/>
                <w:color w:val="auto"/>
              </w:rPr>
              <w:t>4,607</w:t>
            </w:r>
          </w:p>
        </w:tc>
        <w:tc>
          <w:tcPr>
            <w:tcW w:w="660" w:type="dxa"/>
            <w:vAlign w:val="bottom"/>
          </w:tcPr>
          <w:p>
            <w:pPr>
              <w:jc w:val="right"/>
              <w:ind w:right="97"/>
              <w:spacing w:after="0" w:line="138" w:lineRule="exact"/>
              <w:rPr>
                <w:sz w:val="20"/>
                <w:szCs w:val="20"/>
                <w:color w:val="auto"/>
              </w:rPr>
            </w:pPr>
            <w:r>
              <w:rPr>
                <w:rFonts w:ascii="Arial" w:cs="Arial" w:eastAsia="Arial" w:hAnsi="Arial"/>
                <w:sz w:val="13"/>
                <w:szCs w:val="13"/>
                <w:color w:val="auto"/>
              </w:rPr>
              <w:t>9,213</w:t>
            </w:r>
          </w:p>
        </w:tc>
        <w:tc>
          <w:tcPr>
            <w:tcW w:w="820" w:type="dxa"/>
            <w:vAlign w:val="bottom"/>
          </w:tcPr>
          <w:p>
            <w:pPr>
              <w:jc w:val="right"/>
              <w:ind w:right="97"/>
              <w:spacing w:after="0" w:line="138" w:lineRule="exact"/>
              <w:rPr>
                <w:sz w:val="20"/>
                <w:szCs w:val="20"/>
                <w:color w:val="auto"/>
              </w:rPr>
            </w:pPr>
            <w:r>
              <w:rPr>
                <w:rFonts w:ascii="Arial" w:cs="Arial" w:eastAsia="Arial" w:hAnsi="Arial"/>
                <w:sz w:val="13"/>
                <w:szCs w:val="13"/>
                <w:color w:val="auto"/>
              </w:rPr>
              <w:t>18,426</w:t>
            </w:r>
          </w:p>
        </w:tc>
        <w:tc>
          <w:tcPr>
            <w:tcW w:w="880" w:type="dxa"/>
            <w:vAlign w:val="bottom"/>
          </w:tcPr>
          <w:p>
            <w:pPr>
              <w:jc w:val="right"/>
              <w:ind w:right="157"/>
              <w:spacing w:after="0" w:line="138" w:lineRule="exact"/>
              <w:rPr>
                <w:sz w:val="20"/>
                <w:szCs w:val="20"/>
                <w:color w:val="auto"/>
              </w:rPr>
            </w:pPr>
            <w:r>
              <w:rPr>
                <w:rFonts w:ascii="Arial" w:cs="Arial" w:eastAsia="Arial" w:hAnsi="Arial"/>
                <w:sz w:val="13"/>
                <w:szCs w:val="13"/>
                <w:color w:val="auto"/>
              </w:rPr>
              <w:t>—</w:t>
            </w:r>
          </w:p>
        </w:tc>
        <w:tc>
          <w:tcPr>
            <w:tcW w:w="980" w:type="dxa"/>
            <w:vAlign w:val="bottom"/>
          </w:tcPr>
          <w:p>
            <w:pPr>
              <w:jc w:val="right"/>
              <w:ind w:right="117"/>
              <w:spacing w:after="0" w:line="138" w:lineRule="exact"/>
              <w:rPr>
                <w:sz w:val="20"/>
                <w:szCs w:val="20"/>
                <w:color w:val="auto"/>
              </w:rPr>
            </w:pPr>
            <w:r>
              <w:rPr>
                <w:rFonts w:ascii="Arial" w:cs="Arial" w:eastAsia="Arial" w:hAnsi="Arial"/>
                <w:sz w:val="13"/>
                <w:szCs w:val="13"/>
                <w:color w:val="auto"/>
              </w:rPr>
              <w:t>—</w:t>
            </w:r>
          </w:p>
        </w:tc>
        <w:tc>
          <w:tcPr>
            <w:tcW w:w="800" w:type="dxa"/>
            <w:vAlign w:val="bottom"/>
          </w:tcPr>
          <w:p>
            <w:pPr>
              <w:jc w:val="right"/>
              <w:ind w:right="137"/>
              <w:spacing w:after="0" w:line="138" w:lineRule="exact"/>
              <w:rPr>
                <w:sz w:val="20"/>
                <w:szCs w:val="20"/>
                <w:color w:val="auto"/>
              </w:rPr>
            </w:pPr>
            <w:r>
              <w:rPr>
                <w:rFonts w:ascii="Arial" w:cs="Arial" w:eastAsia="Arial" w:hAnsi="Arial"/>
                <w:sz w:val="13"/>
                <w:szCs w:val="13"/>
                <w:color w:val="auto"/>
              </w:rPr>
              <w:t>—</w:t>
            </w:r>
          </w:p>
        </w:tc>
        <w:tc>
          <w:tcPr>
            <w:tcW w:w="760" w:type="dxa"/>
            <w:vAlign w:val="bottom"/>
          </w:tcPr>
          <w:p>
            <w:pPr>
              <w:jc w:val="right"/>
              <w:spacing w:after="0" w:line="138" w:lineRule="exact"/>
              <w:rPr>
                <w:sz w:val="20"/>
                <w:szCs w:val="20"/>
                <w:color w:val="auto"/>
              </w:rPr>
            </w:pPr>
            <w:r>
              <w:rPr>
                <w:rFonts w:ascii="Arial" w:cs="Arial" w:eastAsia="Arial" w:hAnsi="Arial"/>
                <w:sz w:val="13"/>
                <w:szCs w:val="13"/>
                <w:color w:val="auto"/>
              </w:rPr>
              <w:t>924,985</w:t>
            </w:r>
          </w:p>
        </w:tc>
        <w:tc>
          <w:tcPr>
            <w:tcW w:w="0" w:type="dxa"/>
            <w:vAlign w:val="bottom"/>
          </w:tcPr>
          <w:p>
            <w:pPr>
              <w:spacing w:after="0"/>
              <w:rPr>
                <w:sz w:val="1"/>
                <w:szCs w:val="1"/>
                <w:color w:val="auto"/>
              </w:rPr>
            </w:pPr>
          </w:p>
        </w:tc>
      </w:tr>
      <w:tr>
        <w:trPr>
          <w:trHeight w:val="58"/>
        </w:trPr>
        <w:tc>
          <w:tcPr>
            <w:tcW w:w="880" w:type="dxa"/>
            <w:vAlign w:val="bottom"/>
            <w:vMerge w:val="restart"/>
          </w:tcPr>
          <w:p>
            <w:pPr>
              <w:ind w:left="20"/>
              <w:spacing w:after="0"/>
              <w:rPr>
                <w:sz w:val="20"/>
                <w:szCs w:val="20"/>
                <w:color w:val="auto"/>
              </w:rPr>
            </w:pPr>
            <w:r>
              <w:rPr>
                <w:rFonts w:ascii="Arial" w:cs="Arial" w:eastAsia="Arial" w:hAnsi="Arial"/>
                <w:sz w:val="13"/>
                <w:szCs w:val="13"/>
                <w:b w:val="1"/>
                <w:bCs w:val="1"/>
                <w:color w:val="0C3471"/>
              </w:rPr>
              <w:t>Fishman</w:t>
            </w:r>
          </w:p>
        </w:tc>
        <w:tc>
          <w:tcPr>
            <w:tcW w:w="1000" w:type="dxa"/>
            <w:vAlign w:val="bottom"/>
            <w:tcBorders>
              <w:bottom w:val="single" w:sz="8" w:color="BCBEC0"/>
            </w:tcBorders>
          </w:tcPr>
          <w:p>
            <w:pPr>
              <w:spacing w:after="0"/>
              <w:rPr>
                <w:sz w:val="5"/>
                <w:szCs w:val="5"/>
                <w:color w:val="auto"/>
              </w:rPr>
            </w:pPr>
          </w:p>
        </w:tc>
        <w:tc>
          <w:tcPr>
            <w:tcW w:w="1100" w:type="dxa"/>
            <w:vAlign w:val="bottom"/>
            <w:tcBorders>
              <w:bottom w:val="single" w:sz="8" w:color="BCBEC0"/>
            </w:tcBorders>
          </w:tcPr>
          <w:p>
            <w:pPr>
              <w:spacing w:after="0"/>
              <w:rPr>
                <w:sz w:val="5"/>
                <w:szCs w:val="5"/>
                <w:color w:val="auto"/>
              </w:rPr>
            </w:pPr>
          </w:p>
        </w:tc>
        <w:tc>
          <w:tcPr>
            <w:tcW w:w="900" w:type="dxa"/>
            <w:vAlign w:val="bottom"/>
            <w:tcBorders>
              <w:bottom w:val="single" w:sz="8" w:color="BCBEC0"/>
            </w:tcBorders>
          </w:tcPr>
          <w:p>
            <w:pPr>
              <w:spacing w:after="0"/>
              <w:rPr>
                <w:sz w:val="5"/>
                <w:szCs w:val="5"/>
                <w:color w:val="auto"/>
              </w:rPr>
            </w:pPr>
          </w:p>
        </w:tc>
        <w:tc>
          <w:tcPr>
            <w:tcW w:w="800" w:type="dxa"/>
            <w:vAlign w:val="bottom"/>
            <w:tcBorders>
              <w:bottom w:val="single" w:sz="8" w:color="BCBEC0"/>
            </w:tcBorders>
          </w:tcPr>
          <w:p>
            <w:pPr>
              <w:spacing w:after="0"/>
              <w:rPr>
                <w:sz w:val="5"/>
                <w:szCs w:val="5"/>
                <w:color w:val="auto"/>
              </w:rPr>
            </w:pPr>
          </w:p>
        </w:tc>
        <w:tc>
          <w:tcPr>
            <w:tcW w:w="740" w:type="dxa"/>
            <w:vAlign w:val="bottom"/>
            <w:tcBorders>
              <w:bottom w:val="single" w:sz="8" w:color="BCBEC0"/>
            </w:tcBorders>
          </w:tcPr>
          <w:p>
            <w:pPr>
              <w:spacing w:after="0"/>
              <w:rPr>
                <w:sz w:val="5"/>
                <w:szCs w:val="5"/>
                <w:color w:val="auto"/>
              </w:rPr>
            </w:pPr>
          </w:p>
        </w:tc>
        <w:tc>
          <w:tcPr>
            <w:tcW w:w="920" w:type="dxa"/>
            <w:vAlign w:val="bottom"/>
            <w:tcBorders>
              <w:bottom w:val="single" w:sz="8" w:color="BCBEC0"/>
            </w:tcBorders>
          </w:tcPr>
          <w:p>
            <w:pPr>
              <w:spacing w:after="0"/>
              <w:rPr>
                <w:sz w:val="5"/>
                <w:szCs w:val="5"/>
                <w:color w:val="auto"/>
              </w:rPr>
            </w:pPr>
          </w:p>
        </w:tc>
        <w:tc>
          <w:tcPr>
            <w:tcW w:w="660" w:type="dxa"/>
            <w:vAlign w:val="bottom"/>
            <w:tcBorders>
              <w:bottom w:val="single" w:sz="8" w:color="BCBEC0"/>
            </w:tcBorders>
          </w:tcPr>
          <w:p>
            <w:pPr>
              <w:spacing w:after="0"/>
              <w:rPr>
                <w:sz w:val="5"/>
                <w:szCs w:val="5"/>
                <w:color w:val="auto"/>
              </w:rPr>
            </w:pPr>
          </w:p>
        </w:tc>
        <w:tc>
          <w:tcPr>
            <w:tcW w:w="820" w:type="dxa"/>
            <w:vAlign w:val="bottom"/>
            <w:tcBorders>
              <w:bottom w:val="single" w:sz="8" w:color="BCBEC0"/>
            </w:tcBorders>
          </w:tcPr>
          <w:p>
            <w:pPr>
              <w:spacing w:after="0"/>
              <w:rPr>
                <w:sz w:val="5"/>
                <w:szCs w:val="5"/>
                <w:color w:val="auto"/>
              </w:rPr>
            </w:pPr>
          </w:p>
        </w:tc>
        <w:tc>
          <w:tcPr>
            <w:tcW w:w="880" w:type="dxa"/>
            <w:vAlign w:val="bottom"/>
            <w:tcBorders>
              <w:bottom w:val="single" w:sz="8" w:color="BCBEC0"/>
            </w:tcBorders>
          </w:tcPr>
          <w:p>
            <w:pPr>
              <w:spacing w:after="0"/>
              <w:rPr>
                <w:sz w:val="5"/>
                <w:szCs w:val="5"/>
                <w:color w:val="auto"/>
              </w:rPr>
            </w:pPr>
          </w:p>
        </w:tc>
        <w:tc>
          <w:tcPr>
            <w:tcW w:w="980" w:type="dxa"/>
            <w:vAlign w:val="bottom"/>
            <w:tcBorders>
              <w:bottom w:val="single" w:sz="8" w:color="BCBEC0"/>
            </w:tcBorders>
          </w:tcPr>
          <w:p>
            <w:pPr>
              <w:spacing w:after="0"/>
              <w:rPr>
                <w:sz w:val="5"/>
                <w:szCs w:val="5"/>
                <w:color w:val="auto"/>
              </w:rPr>
            </w:pPr>
          </w:p>
        </w:tc>
        <w:tc>
          <w:tcPr>
            <w:tcW w:w="800" w:type="dxa"/>
            <w:vAlign w:val="bottom"/>
            <w:tcBorders>
              <w:bottom w:val="single" w:sz="8" w:color="BCBEC0"/>
            </w:tcBorders>
          </w:tcPr>
          <w:p>
            <w:pPr>
              <w:spacing w:after="0"/>
              <w:rPr>
                <w:sz w:val="5"/>
                <w:szCs w:val="5"/>
                <w:color w:val="auto"/>
              </w:rPr>
            </w:pPr>
          </w:p>
        </w:tc>
        <w:tc>
          <w:tcPr>
            <w:tcW w:w="760" w:type="dxa"/>
            <w:vAlign w:val="bottom"/>
            <w:tcBorders>
              <w:bottom w:val="single" w:sz="8" w:color="BCBEC0"/>
            </w:tcBorders>
          </w:tcPr>
          <w:p>
            <w:pPr>
              <w:spacing w:after="0"/>
              <w:rPr>
                <w:sz w:val="5"/>
                <w:szCs w:val="5"/>
                <w:color w:val="auto"/>
              </w:rPr>
            </w:pPr>
          </w:p>
        </w:tc>
        <w:tc>
          <w:tcPr>
            <w:tcW w:w="0" w:type="dxa"/>
            <w:vAlign w:val="bottom"/>
          </w:tcPr>
          <w:p>
            <w:pPr>
              <w:spacing w:after="0"/>
              <w:rPr>
                <w:sz w:val="1"/>
                <w:szCs w:val="1"/>
                <w:color w:val="auto"/>
              </w:rPr>
            </w:pPr>
          </w:p>
        </w:tc>
      </w:tr>
      <w:tr>
        <w:trPr>
          <w:trHeight w:val="93"/>
        </w:trPr>
        <w:tc>
          <w:tcPr>
            <w:tcW w:w="880" w:type="dxa"/>
            <w:vAlign w:val="bottom"/>
            <w:vMerge w:val="continue"/>
          </w:tcPr>
          <w:p>
            <w:pPr>
              <w:spacing w:after="0"/>
              <w:rPr>
                <w:sz w:val="8"/>
                <w:szCs w:val="8"/>
                <w:color w:val="auto"/>
              </w:rPr>
            </w:pPr>
          </w:p>
        </w:tc>
        <w:tc>
          <w:tcPr>
            <w:tcW w:w="1000" w:type="dxa"/>
            <w:vAlign w:val="bottom"/>
            <w:vMerge w:val="restart"/>
          </w:tcPr>
          <w:p>
            <w:pPr>
              <w:jc w:val="right"/>
              <w:ind w:right="116"/>
              <w:spacing w:after="0"/>
              <w:rPr>
                <w:sz w:val="20"/>
                <w:szCs w:val="20"/>
                <w:color w:val="auto"/>
              </w:rPr>
            </w:pPr>
            <w:r>
              <w:rPr>
                <w:rFonts w:ascii="Arial" w:cs="Arial" w:eastAsia="Arial" w:hAnsi="Arial"/>
                <w:sz w:val="13"/>
                <w:szCs w:val="13"/>
                <w:color w:val="auto"/>
              </w:rPr>
              <w:t>1/2/2025</w:t>
            </w:r>
          </w:p>
        </w:tc>
        <w:tc>
          <w:tcPr>
            <w:tcW w:w="1100" w:type="dxa"/>
            <w:vAlign w:val="bottom"/>
            <w:vMerge w:val="restart"/>
          </w:tcPr>
          <w:p>
            <w:pPr>
              <w:jc w:val="right"/>
              <w:spacing w:after="0"/>
              <w:rPr>
                <w:sz w:val="20"/>
                <w:szCs w:val="20"/>
                <w:color w:val="auto"/>
              </w:rPr>
            </w:pPr>
            <w:r>
              <w:rPr>
                <w:rFonts w:ascii="Arial" w:cs="Arial" w:eastAsia="Arial" w:hAnsi="Arial"/>
                <w:sz w:val="13"/>
                <w:szCs w:val="13"/>
                <w:color w:val="auto"/>
              </w:rPr>
              <w:t>12/16/2024</w:t>
            </w:r>
          </w:p>
        </w:tc>
        <w:tc>
          <w:tcPr>
            <w:tcW w:w="900" w:type="dxa"/>
            <w:vAlign w:val="bottom"/>
            <w:vMerge w:val="restart"/>
          </w:tcPr>
          <w:p>
            <w:pPr>
              <w:jc w:val="right"/>
              <w:ind w:right="76"/>
              <w:spacing w:after="0"/>
              <w:rPr>
                <w:sz w:val="20"/>
                <w:szCs w:val="20"/>
                <w:color w:val="auto"/>
              </w:rPr>
            </w:pPr>
            <w:r>
              <w:rPr>
                <w:rFonts w:ascii="Arial" w:cs="Arial" w:eastAsia="Arial" w:hAnsi="Arial"/>
                <w:sz w:val="13"/>
                <w:szCs w:val="13"/>
                <w:color w:val="auto"/>
              </w:rPr>
              <w:t>—</w:t>
            </w:r>
          </w:p>
        </w:tc>
        <w:tc>
          <w:tcPr>
            <w:tcW w:w="800" w:type="dxa"/>
            <w:vAlign w:val="bottom"/>
            <w:vMerge w:val="restart"/>
          </w:tcPr>
          <w:p>
            <w:pPr>
              <w:jc w:val="right"/>
              <w:ind w:right="97"/>
              <w:spacing w:after="0"/>
              <w:rPr>
                <w:sz w:val="20"/>
                <w:szCs w:val="20"/>
                <w:color w:val="auto"/>
              </w:rPr>
            </w:pPr>
            <w:r>
              <w:rPr>
                <w:rFonts w:ascii="Arial" w:cs="Arial" w:eastAsia="Arial" w:hAnsi="Arial"/>
                <w:sz w:val="13"/>
                <w:szCs w:val="13"/>
                <w:color w:val="auto"/>
              </w:rPr>
              <w:t>—</w:t>
            </w:r>
          </w:p>
        </w:tc>
        <w:tc>
          <w:tcPr>
            <w:tcW w:w="740" w:type="dxa"/>
            <w:vAlign w:val="bottom"/>
            <w:vMerge w:val="restart"/>
          </w:tcPr>
          <w:p>
            <w:pPr>
              <w:jc w:val="right"/>
              <w:ind w:right="17"/>
              <w:spacing w:after="0"/>
              <w:rPr>
                <w:sz w:val="20"/>
                <w:szCs w:val="20"/>
                <w:color w:val="auto"/>
              </w:rPr>
            </w:pPr>
            <w:r>
              <w:rPr>
                <w:rFonts w:ascii="Arial" w:cs="Arial" w:eastAsia="Arial" w:hAnsi="Arial"/>
                <w:sz w:val="13"/>
                <w:szCs w:val="13"/>
                <w:color w:val="auto"/>
              </w:rPr>
              <w:t>—</w:t>
            </w:r>
          </w:p>
        </w:tc>
        <w:tc>
          <w:tcPr>
            <w:tcW w:w="920" w:type="dxa"/>
            <w:vAlign w:val="bottom"/>
            <w:vMerge w:val="restart"/>
          </w:tcPr>
          <w:p>
            <w:pPr>
              <w:jc w:val="right"/>
              <w:ind w:right="76"/>
              <w:spacing w:after="0"/>
              <w:rPr>
                <w:sz w:val="20"/>
                <w:szCs w:val="20"/>
                <w:color w:val="auto"/>
              </w:rPr>
            </w:pPr>
            <w:r>
              <w:rPr>
                <w:rFonts w:ascii="Arial" w:cs="Arial" w:eastAsia="Arial" w:hAnsi="Arial"/>
                <w:sz w:val="13"/>
                <w:szCs w:val="13"/>
                <w:color w:val="auto"/>
              </w:rPr>
              <w:t>—</w:t>
            </w:r>
          </w:p>
        </w:tc>
        <w:tc>
          <w:tcPr>
            <w:tcW w:w="660" w:type="dxa"/>
            <w:vAlign w:val="bottom"/>
            <w:vMerge w:val="restart"/>
          </w:tcPr>
          <w:p>
            <w:pPr>
              <w:jc w:val="right"/>
              <w:ind w:right="97"/>
              <w:spacing w:after="0"/>
              <w:rPr>
                <w:sz w:val="20"/>
                <w:szCs w:val="20"/>
                <w:color w:val="auto"/>
              </w:rPr>
            </w:pPr>
            <w:r>
              <w:rPr>
                <w:rFonts w:ascii="Arial" w:cs="Arial" w:eastAsia="Arial" w:hAnsi="Arial"/>
                <w:sz w:val="13"/>
                <w:szCs w:val="13"/>
                <w:color w:val="auto"/>
              </w:rPr>
              <w:t>—</w:t>
            </w:r>
          </w:p>
        </w:tc>
        <w:tc>
          <w:tcPr>
            <w:tcW w:w="820" w:type="dxa"/>
            <w:vAlign w:val="bottom"/>
            <w:vMerge w:val="restart"/>
          </w:tcPr>
          <w:p>
            <w:pPr>
              <w:jc w:val="right"/>
              <w:ind w:right="97"/>
              <w:spacing w:after="0"/>
              <w:rPr>
                <w:sz w:val="20"/>
                <w:szCs w:val="20"/>
                <w:color w:val="auto"/>
              </w:rPr>
            </w:pPr>
            <w:r>
              <w:rPr>
                <w:rFonts w:ascii="Arial" w:cs="Arial" w:eastAsia="Arial" w:hAnsi="Arial"/>
                <w:sz w:val="13"/>
                <w:szCs w:val="13"/>
                <w:color w:val="auto"/>
              </w:rPr>
              <w:t>—</w:t>
            </w:r>
          </w:p>
        </w:tc>
        <w:tc>
          <w:tcPr>
            <w:tcW w:w="880" w:type="dxa"/>
            <w:vAlign w:val="bottom"/>
            <w:vMerge w:val="restart"/>
          </w:tcPr>
          <w:p>
            <w:pPr>
              <w:jc w:val="right"/>
              <w:ind w:right="157"/>
              <w:spacing w:after="0"/>
              <w:rPr>
                <w:sz w:val="20"/>
                <w:szCs w:val="20"/>
                <w:color w:val="auto"/>
              </w:rPr>
            </w:pPr>
            <w:r>
              <w:rPr>
                <w:rFonts w:ascii="Arial" w:cs="Arial" w:eastAsia="Arial" w:hAnsi="Arial"/>
                <w:sz w:val="13"/>
                <w:szCs w:val="13"/>
                <w:color w:val="auto"/>
              </w:rPr>
              <w:t>4,607</w:t>
            </w:r>
          </w:p>
        </w:tc>
        <w:tc>
          <w:tcPr>
            <w:tcW w:w="980" w:type="dxa"/>
            <w:vAlign w:val="bottom"/>
            <w:vMerge w:val="restart"/>
          </w:tcPr>
          <w:p>
            <w:pPr>
              <w:jc w:val="right"/>
              <w:ind w:right="117"/>
              <w:spacing w:after="0"/>
              <w:rPr>
                <w:sz w:val="20"/>
                <w:szCs w:val="20"/>
                <w:color w:val="auto"/>
              </w:rPr>
            </w:pPr>
            <w:r>
              <w:rPr>
                <w:rFonts w:ascii="Arial" w:cs="Arial" w:eastAsia="Arial" w:hAnsi="Arial"/>
                <w:sz w:val="13"/>
                <w:szCs w:val="13"/>
                <w:color w:val="auto"/>
              </w:rPr>
              <w:t>—</w:t>
            </w:r>
          </w:p>
        </w:tc>
        <w:tc>
          <w:tcPr>
            <w:tcW w:w="800" w:type="dxa"/>
            <w:vAlign w:val="bottom"/>
            <w:vMerge w:val="restart"/>
          </w:tcPr>
          <w:p>
            <w:pPr>
              <w:jc w:val="right"/>
              <w:ind w:right="137"/>
              <w:spacing w:after="0"/>
              <w:rPr>
                <w:sz w:val="20"/>
                <w:szCs w:val="20"/>
                <w:color w:val="auto"/>
              </w:rPr>
            </w:pPr>
            <w:r>
              <w:rPr>
                <w:rFonts w:ascii="Arial" w:cs="Arial" w:eastAsia="Arial" w:hAnsi="Arial"/>
                <w:sz w:val="13"/>
                <w:szCs w:val="13"/>
                <w:color w:val="auto"/>
              </w:rPr>
              <w:t>—</w:t>
            </w: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462,543</w:t>
            </w:r>
          </w:p>
        </w:tc>
        <w:tc>
          <w:tcPr>
            <w:tcW w:w="0" w:type="dxa"/>
            <w:vAlign w:val="bottom"/>
          </w:tcPr>
          <w:p>
            <w:pPr>
              <w:spacing w:after="0"/>
              <w:rPr>
                <w:sz w:val="1"/>
                <w:szCs w:val="1"/>
                <w:color w:val="auto"/>
              </w:rPr>
            </w:pPr>
          </w:p>
        </w:tc>
      </w:tr>
      <w:tr>
        <w:trPr>
          <w:trHeight w:val="75"/>
        </w:trPr>
        <w:tc>
          <w:tcPr>
            <w:tcW w:w="88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92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820" w:type="dxa"/>
            <w:vAlign w:val="bottom"/>
            <w:vMerge w:val="continue"/>
          </w:tcPr>
          <w:p>
            <w:pPr>
              <w:spacing w:after="0"/>
              <w:rPr>
                <w:sz w:val="6"/>
                <w:szCs w:val="6"/>
                <w:color w:val="auto"/>
              </w:rPr>
            </w:pPr>
          </w:p>
        </w:tc>
        <w:tc>
          <w:tcPr>
            <w:tcW w:w="880" w:type="dxa"/>
            <w:vAlign w:val="bottom"/>
            <w:vMerge w:val="continue"/>
          </w:tcPr>
          <w:p>
            <w:pPr>
              <w:spacing w:after="0"/>
              <w:rPr>
                <w:sz w:val="6"/>
                <w:szCs w:val="6"/>
                <w:color w:val="auto"/>
              </w:rPr>
            </w:pPr>
          </w:p>
        </w:tc>
        <w:tc>
          <w:tcPr>
            <w:tcW w:w="98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8"/>
        </w:trPr>
        <w:tc>
          <w:tcPr>
            <w:tcW w:w="880" w:type="dxa"/>
            <w:vAlign w:val="bottom"/>
          </w:tcPr>
          <w:p>
            <w:pPr>
              <w:spacing w:after="0"/>
              <w:rPr>
                <w:sz w:val="2"/>
                <w:szCs w:val="2"/>
                <w:color w:val="auto"/>
              </w:rPr>
            </w:pPr>
          </w:p>
        </w:tc>
        <w:tc>
          <w:tcPr>
            <w:tcW w:w="1000" w:type="dxa"/>
            <w:vAlign w:val="bottom"/>
            <w:tcBorders>
              <w:bottom w:val="single" w:sz="8" w:color="BCBEC0"/>
            </w:tcBorders>
          </w:tcPr>
          <w:p>
            <w:pPr>
              <w:spacing w:after="0"/>
              <w:rPr>
                <w:sz w:val="2"/>
                <w:szCs w:val="2"/>
                <w:color w:val="auto"/>
              </w:rPr>
            </w:pPr>
          </w:p>
        </w:tc>
        <w:tc>
          <w:tcPr>
            <w:tcW w:w="1100" w:type="dxa"/>
            <w:vAlign w:val="bottom"/>
            <w:tcBorders>
              <w:bottom w:val="single" w:sz="8" w:color="BCBEC0"/>
            </w:tcBorders>
          </w:tcPr>
          <w:p>
            <w:pPr>
              <w:spacing w:after="0"/>
              <w:rPr>
                <w:sz w:val="2"/>
                <w:szCs w:val="2"/>
                <w:color w:val="auto"/>
              </w:rPr>
            </w:pPr>
          </w:p>
        </w:tc>
        <w:tc>
          <w:tcPr>
            <w:tcW w:w="900" w:type="dxa"/>
            <w:vAlign w:val="bottom"/>
            <w:tcBorders>
              <w:bottom w:val="single" w:sz="8" w:color="BCBEC0"/>
            </w:tcBorders>
          </w:tcPr>
          <w:p>
            <w:pPr>
              <w:spacing w:after="0"/>
              <w:rPr>
                <w:sz w:val="2"/>
                <w:szCs w:val="2"/>
                <w:color w:val="auto"/>
              </w:rPr>
            </w:pPr>
          </w:p>
        </w:tc>
        <w:tc>
          <w:tcPr>
            <w:tcW w:w="800" w:type="dxa"/>
            <w:vAlign w:val="bottom"/>
            <w:tcBorders>
              <w:bottom w:val="single" w:sz="8" w:color="BCBEC0"/>
            </w:tcBorders>
          </w:tcPr>
          <w:p>
            <w:pPr>
              <w:spacing w:after="0"/>
              <w:rPr>
                <w:sz w:val="2"/>
                <w:szCs w:val="2"/>
                <w:color w:val="auto"/>
              </w:rPr>
            </w:pPr>
          </w:p>
        </w:tc>
        <w:tc>
          <w:tcPr>
            <w:tcW w:w="740" w:type="dxa"/>
            <w:vAlign w:val="bottom"/>
            <w:tcBorders>
              <w:bottom w:val="single" w:sz="8" w:color="BCBEC0"/>
            </w:tcBorders>
          </w:tcPr>
          <w:p>
            <w:pPr>
              <w:spacing w:after="0"/>
              <w:rPr>
                <w:sz w:val="2"/>
                <w:szCs w:val="2"/>
                <w:color w:val="auto"/>
              </w:rPr>
            </w:pPr>
          </w:p>
        </w:tc>
        <w:tc>
          <w:tcPr>
            <w:tcW w:w="920" w:type="dxa"/>
            <w:vAlign w:val="bottom"/>
            <w:tcBorders>
              <w:bottom w:val="single" w:sz="8" w:color="BCBEC0"/>
            </w:tcBorders>
          </w:tcPr>
          <w:p>
            <w:pPr>
              <w:spacing w:after="0"/>
              <w:rPr>
                <w:sz w:val="2"/>
                <w:szCs w:val="2"/>
                <w:color w:val="auto"/>
              </w:rPr>
            </w:pPr>
          </w:p>
        </w:tc>
        <w:tc>
          <w:tcPr>
            <w:tcW w:w="660" w:type="dxa"/>
            <w:vAlign w:val="bottom"/>
            <w:tcBorders>
              <w:bottom w:val="single" w:sz="8" w:color="BCBEC0"/>
            </w:tcBorders>
          </w:tcPr>
          <w:p>
            <w:pPr>
              <w:spacing w:after="0"/>
              <w:rPr>
                <w:sz w:val="2"/>
                <w:szCs w:val="2"/>
                <w:color w:val="auto"/>
              </w:rPr>
            </w:pPr>
          </w:p>
        </w:tc>
        <w:tc>
          <w:tcPr>
            <w:tcW w:w="820" w:type="dxa"/>
            <w:vAlign w:val="bottom"/>
            <w:tcBorders>
              <w:bottom w:val="single" w:sz="8" w:color="BCBEC0"/>
            </w:tcBorders>
          </w:tcPr>
          <w:p>
            <w:pPr>
              <w:spacing w:after="0"/>
              <w:rPr>
                <w:sz w:val="2"/>
                <w:szCs w:val="2"/>
                <w:color w:val="auto"/>
              </w:rPr>
            </w:pPr>
          </w:p>
        </w:tc>
        <w:tc>
          <w:tcPr>
            <w:tcW w:w="880" w:type="dxa"/>
            <w:vAlign w:val="bottom"/>
            <w:tcBorders>
              <w:bottom w:val="single" w:sz="8" w:color="BCBEC0"/>
            </w:tcBorders>
          </w:tcPr>
          <w:p>
            <w:pPr>
              <w:spacing w:after="0"/>
              <w:rPr>
                <w:sz w:val="2"/>
                <w:szCs w:val="2"/>
                <w:color w:val="auto"/>
              </w:rPr>
            </w:pPr>
          </w:p>
        </w:tc>
        <w:tc>
          <w:tcPr>
            <w:tcW w:w="980" w:type="dxa"/>
            <w:vAlign w:val="bottom"/>
            <w:tcBorders>
              <w:bottom w:val="single" w:sz="8" w:color="BCBEC0"/>
            </w:tcBorders>
          </w:tcPr>
          <w:p>
            <w:pPr>
              <w:spacing w:after="0"/>
              <w:rPr>
                <w:sz w:val="2"/>
                <w:szCs w:val="2"/>
                <w:color w:val="auto"/>
              </w:rPr>
            </w:pPr>
          </w:p>
        </w:tc>
        <w:tc>
          <w:tcPr>
            <w:tcW w:w="800" w:type="dxa"/>
            <w:vAlign w:val="bottom"/>
            <w:tcBorders>
              <w:bottom w:val="single" w:sz="8" w:color="BCBEC0"/>
            </w:tcBorders>
          </w:tcPr>
          <w:p>
            <w:pPr>
              <w:spacing w:after="0"/>
              <w:rPr>
                <w:sz w:val="2"/>
                <w:szCs w:val="2"/>
                <w:color w:val="auto"/>
              </w:rPr>
            </w:pPr>
          </w:p>
        </w:tc>
        <w:tc>
          <w:tcPr>
            <w:tcW w:w="760" w:type="dxa"/>
            <w:vAlign w:val="bottom"/>
            <w:tcBorders>
              <w:bottom w:val="single" w:sz="8" w:color="BCBEC0"/>
            </w:tcBorders>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880" w:type="dxa"/>
            <w:vAlign w:val="bottom"/>
          </w:tcPr>
          <w:p>
            <w:pPr>
              <w:spacing w:after="0"/>
              <w:rPr>
                <w:sz w:val="14"/>
                <w:szCs w:val="14"/>
                <w:color w:val="auto"/>
              </w:rPr>
            </w:pPr>
          </w:p>
        </w:tc>
        <w:tc>
          <w:tcPr>
            <w:tcW w:w="1000" w:type="dxa"/>
            <w:vAlign w:val="bottom"/>
          </w:tcPr>
          <w:p>
            <w:pPr>
              <w:jc w:val="right"/>
              <w:ind w:right="116"/>
              <w:spacing w:after="0"/>
              <w:rPr>
                <w:sz w:val="20"/>
                <w:szCs w:val="20"/>
                <w:color w:val="auto"/>
              </w:rPr>
            </w:pPr>
            <w:r>
              <w:rPr>
                <w:rFonts w:ascii="Arial" w:cs="Arial" w:eastAsia="Arial" w:hAnsi="Arial"/>
                <w:sz w:val="13"/>
                <w:szCs w:val="13"/>
                <w:color w:val="auto"/>
              </w:rPr>
              <w:t>1/2/2025</w:t>
            </w:r>
          </w:p>
        </w:tc>
        <w:tc>
          <w:tcPr>
            <w:tcW w:w="1100" w:type="dxa"/>
            <w:vAlign w:val="bottom"/>
          </w:tcPr>
          <w:p>
            <w:pPr>
              <w:jc w:val="right"/>
              <w:spacing w:after="0"/>
              <w:rPr>
                <w:sz w:val="20"/>
                <w:szCs w:val="20"/>
                <w:color w:val="auto"/>
              </w:rPr>
            </w:pPr>
            <w:r>
              <w:rPr>
                <w:rFonts w:ascii="Arial" w:cs="Arial" w:eastAsia="Arial" w:hAnsi="Arial"/>
                <w:sz w:val="13"/>
                <w:szCs w:val="13"/>
                <w:color w:val="auto"/>
              </w:rPr>
              <w:t>12/16/2024</w:t>
            </w:r>
          </w:p>
        </w:tc>
        <w:tc>
          <w:tcPr>
            <w:tcW w:w="90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157"/>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117"/>
              <w:spacing w:after="0"/>
              <w:rPr>
                <w:sz w:val="20"/>
                <w:szCs w:val="20"/>
                <w:color w:val="auto"/>
              </w:rPr>
            </w:pPr>
            <w:r>
              <w:rPr>
                <w:rFonts w:ascii="Arial" w:cs="Arial" w:eastAsia="Arial" w:hAnsi="Arial"/>
                <w:sz w:val="13"/>
                <w:szCs w:val="13"/>
                <w:color w:val="auto"/>
              </w:rPr>
              <w:t>12,591</w:t>
            </w:r>
          </w:p>
        </w:tc>
        <w:tc>
          <w:tcPr>
            <w:tcW w:w="800" w:type="dxa"/>
            <w:vAlign w:val="bottom"/>
          </w:tcPr>
          <w:p>
            <w:pPr>
              <w:jc w:val="right"/>
              <w:ind w:right="137"/>
              <w:spacing w:after="0"/>
              <w:rPr>
                <w:sz w:val="20"/>
                <w:szCs w:val="20"/>
                <w:color w:val="auto"/>
              </w:rPr>
            </w:pPr>
            <w:r>
              <w:rPr>
                <w:rFonts w:ascii="Arial" w:cs="Arial" w:eastAsia="Arial" w:hAnsi="Arial"/>
                <w:sz w:val="13"/>
                <w:szCs w:val="13"/>
                <w:color w:val="auto"/>
              </w:rPr>
              <w:t>100.40</w:t>
            </w:r>
          </w:p>
        </w:tc>
        <w:tc>
          <w:tcPr>
            <w:tcW w:w="760" w:type="dxa"/>
            <w:vAlign w:val="bottom"/>
          </w:tcPr>
          <w:p>
            <w:pPr>
              <w:jc w:val="right"/>
              <w:spacing w:after="0"/>
              <w:rPr>
                <w:sz w:val="20"/>
                <w:szCs w:val="20"/>
                <w:color w:val="auto"/>
              </w:rPr>
            </w:pPr>
            <w:r>
              <w:rPr>
                <w:rFonts w:ascii="Arial" w:cs="Arial" w:eastAsia="Arial" w:hAnsi="Arial"/>
                <w:sz w:val="13"/>
                <w:szCs w:val="13"/>
                <w:color w:val="auto"/>
              </w:rPr>
              <w:t>462,491</w:t>
            </w:r>
          </w:p>
        </w:tc>
        <w:tc>
          <w:tcPr>
            <w:tcW w:w="0" w:type="dxa"/>
            <w:vAlign w:val="bottom"/>
          </w:tcPr>
          <w:p>
            <w:pPr>
              <w:spacing w:after="0"/>
              <w:rPr>
                <w:sz w:val="1"/>
                <w:szCs w:val="1"/>
                <w:color w:val="auto"/>
              </w:rPr>
            </w:pPr>
          </w:p>
        </w:tc>
      </w:tr>
      <w:tr>
        <w:trPr>
          <w:trHeight w:val="28"/>
        </w:trPr>
        <w:tc>
          <w:tcPr>
            <w:tcW w:w="880" w:type="dxa"/>
            <w:vAlign w:val="bottom"/>
          </w:tcPr>
          <w:p>
            <w:pPr>
              <w:spacing w:after="0"/>
              <w:rPr>
                <w:sz w:val="2"/>
                <w:szCs w:val="2"/>
                <w:color w:val="auto"/>
              </w:rPr>
            </w:pPr>
          </w:p>
        </w:tc>
        <w:tc>
          <w:tcPr>
            <w:tcW w:w="1000" w:type="dxa"/>
            <w:vAlign w:val="bottom"/>
            <w:tcBorders>
              <w:bottom w:val="single" w:sz="8" w:color="BCBEC0"/>
            </w:tcBorders>
          </w:tcPr>
          <w:p>
            <w:pPr>
              <w:spacing w:after="0"/>
              <w:rPr>
                <w:sz w:val="2"/>
                <w:szCs w:val="2"/>
                <w:color w:val="auto"/>
              </w:rPr>
            </w:pPr>
          </w:p>
        </w:tc>
        <w:tc>
          <w:tcPr>
            <w:tcW w:w="1100" w:type="dxa"/>
            <w:vAlign w:val="bottom"/>
            <w:tcBorders>
              <w:bottom w:val="single" w:sz="8" w:color="BCBEC0"/>
            </w:tcBorders>
          </w:tcPr>
          <w:p>
            <w:pPr>
              <w:spacing w:after="0"/>
              <w:rPr>
                <w:sz w:val="2"/>
                <w:szCs w:val="2"/>
                <w:color w:val="auto"/>
              </w:rPr>
            </w:pPr>
          </w:p>
        </w:tc>
        <w:tc>
          <w:tcPr>
            <w:tcW w:w="900" w:type="dxa"/>
            <w:vAlign w:val="bottom"/>
            <w:tcBorders>
              <w:bottom w:val="single" w:sz="8" w:color="BCBEC0"/>
            </w:tcBorders>
          </w:tcPr>
          <w:p>
            <w:pPr>
              <w:spacing w:after="0"/>
              <w:rPr>
                <w:sz w:val="2"/>
                <w:szCs w:val="2"/>
                <w:color w:val="auto"/>
              </w:rPr>
            </w:pPr>
          </w:p>
        </w:tc>
        <w:tc>
          <w:tcPr>
            <w:tcW w:w="800" w:type="dxa"/>
            <w:vAlign w:val="bottom"/>
            <w:tcBorders>
              <w:bottom w:val="single" w:sz="8" w:color="BCBEC0"/>
            </w:tcBorders>
          </w:tcPr>
          <w:p>
            <w:pPr>
              <w:spacing w:after="0"/>
              <w:rPr>
                <w:sz w:val="2"/>
                <w:szCs w:val="2"/>
                <w:color w:val="auto"/>
              </w:rPr>
            </w:pPr>
          </w:p>
        </w:tc>
        <w:tc>
          <w:tcPr>
            <w:tcW w:w="740" w:type="dxa"/>
            <w:vAlign w:val="bottom"/>
            <w:tcBorders>
              <w:bottom w:val="single" w:sz="8" w:color="BCBEC0"/>
            </w:tcBorders>
          </w:tcPr>
          <w:p>
            <w:pPr>
              <w:spacing w:after="0"/>
              <w:rPr>
                <w:sz w:val="2"/>
                <w:szCs w:val="2"/>
                <w:color w:val="auto"/>
              </w:rPr>
            </w:pPr>
          </w:p>
        </w:tc>
        <w:tc>
          <w:tcPr>
            <w:tcW w:w="920" w:type="dxa"/>
            <w:vAlign w:val="bottom"/>
            <w:tcBorders>
              <w:bottom w:val="single" w:sz="8" w:color="BCBEC0"/>
            </w:tcBorders>
          </w:tcPr>
          <w:p>
            <w:pPr>
              <w:spacing w:after="0"/>
              <w:rPr>
                <w:sz w:val="2"/>
                <w:szCs w:val="2"/>
                <w:color w:val="auto"/>
              </w:rPr>
            </w:pPr>
          </w:p>
        </w:tc>
        <w:tc>
          <w:tcPr>
            <w:tcW w:w="660" w:type="dxa"/>
            <w:vAlign w:val="bottom"/>
            <w:tcBorders>
              <w:bottom w:val="single" w:sz="8" w:color="BCBEC0"/>
            </w:tcBorders>
          </w:tcPr>
          <w:p>
            <w:pPr>
              <w:spacing w:after="0"/>
              <w:rPr>
                <w:sz w:val="2"/>
                <w:szCs w:val="2"/>
                <w:color w:val="auto"/>
              </w:rPr>
            </w:pPr>
          </w:p>
        </w:tc>
        <w:tc>
          <w:tcPr>
            <w:tcW w:w="820" w:type="dxa"/>
            <w:vAlign w:val="bottom"/>
            <w:tcBorders>
              <w:bottom w:val="single" w:sz="8" w:color="BCBEC0"/>
            </w:tcBorders>
          </w:tcPr>
          <w:p>
            <w:pPr>
              <w:spacing w:after="0"/>
              <w:rPr>
                <w:sz w:val="2"/>
                <w:szCs w:val="2"/>
                <w:color w:val="auto"/>
              </w:rPr>
            </w:pPr>
          </w:p>
        </w:tc>
        <w:tc>
          <w:tcPr>
            <w:tcW w:w="880" w:type="dxa"/>
            <w:vAlign w:val="bottom"/>
            <w:tcBorders>
              <w:bottom w:val="single" w:sz="8" w:color="BCBEC0"/>
            </w:tcBorders>
          </w:tcPr>
          <w:p>
            <w:pPr>
              <w:spacing w:after="0"/>
              <w:rPr>
                <w:sz w:val="2"/>
                <w:szCs w:val="2"/>
                <w:color w:val="auto"/>
              </w:rPr>
            </w:pPr>
          </w:p>
        </w:tc>
        <w:tc>
          <w:tcPr>
            <w:tcW w:w="980" w:type="dxa"/>
            <w:vAlign w:val="bottom"/>
            <w:tcBorders>
              <w:bottom w:val="single" w:sz="8" w:color="BCBEC0"/>
            </w:tcBorders>
          </w:tcPr>
          <w:p>
            <w:pPr>
              <w:spacing w:after="0"/>
              <w:rPr>
                <w:sz w:val="2"/>
                <w:szCs w:val="2"/>
                <w:color w:val="auto"/>
              </w:rPr>
            </w:pPr>
          </w:p>
        </w:tc>
        <w:tc>
          <w:tcPr>
            <w:tcW w:w="800" w:type="dxa"/>
            <w:vAlign w:val="bottom"/>
            <w:tcBorders>
              <w:bottom w:val="single" w:sz="8" w:color="BCBEC0"/>
            </w:tcBorders>
          </w:tcPr>
          <w:p>
            <w:pPr>
              <w:spacing w:after="0"/>
              <w:rPr>
                <w:sz w:val="2"/>
                <w:szCs w:val="2"/>
                <w:color w:val="auto"/>
              </w:rPr>
            </w:pPr>
          </w:p>
        </w:tc>
        <w:tc>
          <w:tcPr>
            <w:tcW w:w="760" w:type="dxa"/>
            <w:vAlign w:val="bottom"/>
            <w:tcBorders>
              <w:bottom w:val="single" w:sz="8" w:color="BCBEC0"/>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8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00" w:type="dxa"/>
            <w:vAlign w:val="bottom"/>
          </w:tcPr>
          <w:p>
            <w:pPr>
              <w:jc w:val="right"/>
              <w:ind w:right="76"/>
              <w:spacing w:after="0"/>
              <w:rPr>
                <w:sz w:val="20"/>
                <w:szCs w:val="20"/>
                <w:color w:val="auto"/>
              </w:rPr>
            </w:pPr>
            <w:r>
              <w:rPr>
                <w:rFonts w:ascii="Arial" w:cs="Arial" w:eastAsia="Arial" w:hAnsi="Arial"/>
                <w:sz w:val="13"/>
                <w:szCs w:val="13"/>
                <w:color w:val="auto"/>
              </w:rPr>
              <w:t>372,500</w:t>
            </w:r>
          </w:p>
        </w:tc>
        <w:tc>
          <w:tcPr>
            <w:tcW w:w="800" w:type="dxa"/>
            <w:vAlign w:val="bottom"/>
          </w:tcPr>
          <w:p>
            <w:pPr>
              <w:jc w:val="right"/>
              <w:ind w:right="97"/>
              <w:spacing w:after="0"/>
              <w:rPr>
                <w:sz w:val="20"/>
                <w:szCs w:val="20"/>
                <w:color w:val="auto"/>
              </w:rPr>
            </w:pPr>
            <w:r>
              <w:rPr>
                <w:rFonts w:ascii="Arial" w:cs="Arial" w:eastAsia="Arial" w:hAnsi="Arial"/>
                <w:sz w:val="13"/>
                <w:szCs w:val="13"/>
                <w:color w:val="auto"/>
              </w:rPr>
              <w:t>745,000</w:t>
            </w:r>
          </w:p>
        </w:tc>
        <w:tc>
          <w:tcPr>
            <w:tcW w:w="740" w:type="dxa"/>
            <w:vAlign w:val="bottom"/>
          </w:tcPr>
          <w:p>
            <w:pPr>
              <w:jc w:val="right"/>
              <w:ind w:right="17"/>
              <w:spacing w:after="0"/>
              <w:rPr>
                <w:sz w:val="20"/>
                <w:szCs w:val="20"/>
                <w:color w:val="auto"/>
              </w:rPr>
            </w:pPr>
            <w:r>
              <w:rPr>
                <w:rFonts w:ascii="Arial" w:cs="Arial" w:eastAsia="Arial" w:hAnsi="Arial"/>
                <w:sz w:val="13"/>
                <w:szCs w:val="13"/>
                <w:color w:val="auto"/>
              </w:rPr>
              <w:t>1,490,000</w:t>
            </w:r>
          </w:p>
        </w:tc>
        <w:tc>
          <w:tcPr>
            <w:tcW w:w="92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157"/>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137"/>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8"/>
        </w:trPr>
        <w:tc>
          <w:tcPr>
            <w:tcW w:w="880" w:type="dxa"/>
            <w:vAlign w:val="bottom"/>
            <w:vMerge w:val="restart"/>
          </w:tcPr>
          <w:p>
            <w:pPr>
              <w:ind w:left="20"/>
              <w:spacing w:after="0"/>
              <w:rPr>
                <w:sz w:val="20"/>
                <w:szCs w:val="20"/>
                <w:color w:val="auto"/>
              </w:rPr>
            </w:pPr>
            <w:r>
              <w:rPr>
                <w:rFonts w:ascii="Arial" w:cs="Arial" w:eastAsia="Arial" w:hAnsi="Arial"/>
                <w:sz w:val="13"/>
                <w:szCs w:val="13"/>
                <w:b w:val="1"/>
                <w:bCs w:val="1"/>
                <w:color w:val="0C3471"/>
              </w:rPr>
              <w:t>Jerome O.</w:t>
            </w:r>
          </w:p>
        </w:tc>
        <w:tc>
          <w:tcPr>
            <w:tcW w:w="1000" w:type="dxa"/>
            <w:vAlign w:val="bottom"/>
            <w:tcBorders>
              <w:bottom w:val="single" w:sz="8" w:color="BCBEC0"/>
            </w:tcBorders>
          </w:tcPr>
          <w:p>
            <w:pPr>
              <w:spacing w:after="0"/>
              <w:rPr>
                <w:sz w:val="2"/>
                <w:szCs w:val="2"/>
                <w:color w:val="auto"/>
              </w:rPr>
            </w:pPr>
          </w:p>
        </w:tc>
        <w:tc>
          <w:tcPr>
            <w:tcW w:w="1100" w:type="dxa"/>
            <w:vAlign w:val="bottom"/>
            <w:tcBorders>
              <w:bottom w:val="single" w:sz="8" w:color="BCBEC0"/>
            </w:tcBorders>
          </w:tcPr>
          <w:p>
            <w:pPr>
              <w:spacing w:after="0"/>
              <w:rPr>
                <w:sz w:val="2"/>
                <w:szCs w:val="2"/>
                <w:color w:val="auto"/>
              </w:rPr>
            </w:pPr>
          </w:p>
        </w:tc>
        <w:tc>
          <w:tcPr>
            <w:tcW w:w="900" w:type="dxa"/>
            <w:vAlign w:val="bottom"/>
            <w:tcBorders>
              <w:bottom w:val="single" w:sz="8" w:color="BCBEC0"/>
            </w:tcBorders>
          </w:tcPr>
          <w:p>
            <w:pPr>
              <w:spacing w:after="0"/>
              <w:rPr>
                <w:sz w:val="2"/>
                <w:szCs w:val="2"/>
                <w:color w:val="auto"/>
              </w:rPr>
            </w:pPr>
          </w:p>
        </w:tc>
        <w:tc>
          <w:tcPr>
            <w:tcW w:w="800" w:type="dxa"/>
            <w:vAlign w:val="bottom"/>
            <w:tcBorders>
              <w:bottom w:val="single" w:sz="8" w:color="BCBEC0"/>
            </w:tcBorders>
          </w:tcPr>
          <w:p>
            <w:pPr>
              <w:spacing w:after="0"/>
              <w:rPr>
                <w:sz w:val="2"/>
                <w:szCs w:val="2"/>
                <w:color w:val="auto"/>
              </w:rPr>
            </w:pPr>
          </w:p>
        </w:tc>
        <w:tc>
          <w:tcPr>
            <w:tcW w:w="740" w:type="dxa"/>
            <w:vAlign w:val="bottom"/>
            <w:tcBorders>
              <w:bottom w:val="single" w:sz="8" w:color="BCBEC0"/>
            </w:tcBorders>
          </w:tcPr>
          <w:p>
            <w:pPr>
              <w:spacing w:after="0"/>
              <w:rPr>
                <w:sz w:val="2"/>
                <w:szCs w:val="2"/>
                <w:color w:val="auto"/>
              </w:rPr>
            </w:pPr>
          </w:p>
        </w:tc>
        <w:tc>
          <w:tcPr>
            <w:tcW w:w="920" w:type="dxa"/>
            <w:vAlign w:val="bottom"/>
            <w:tcBorders>
              <w:bottom w:val="single" w:sz="8" w:color="BCBEC0"/>
            </w:tcBorders>
          </w:tcPr>
          <w:p>
            <w:pPr>
              <w:spacing w:after="0"/>
              <w:rPr>
                <w:sz w:val="2"/>
                <w:szCs w:val="2"/>
                <w:color w:val="auto"/>
              </w:rPr>
            </w:pPr>
          </w:p>
        </w:tc>
        <w:tc>
          <w:tcPr>
            <w:tcW w:w="660" w:type="dxa"/>
            <w:vAlign w:val="bottom"/>
            <w:tcBorders>
              <w:bottom w:val="single" w:sz="8" w:color="BCBEC0"/>
            </w:tcBorders>
          </w:tcPr>
          <w:p>
            <w:pPr>
              <w:spacing w:after="0"/>
              <w:rPr>
                <w:sz w:val="2"/>
                <w:szCs w:val="2"/>
                <w:color w:val="auto"/>
              </w:rPr>
            </w:pPr>
          </w:p>
        </w:tc>
        <w:tc>
          <w:tcPr>
            <w:tcW w:w="820" w:type="dxa"/>
            <w:vAlign w:val="bottom"/>
            <w:tcBorders>
              <w:bottom w:val="single" w:sz="8" w:color="BCBEC0"/>
            </w:tcBorders>
          </w:tcPr>
          <w:p>
            <w:pPr>
              <w:spacing w:after="0"/>
              <w:rPr>
                <w:sz w:val="2"/>
                <w:szCs w:val="2"/>
                <w:color w:val="auto"/>
              </w:rPr>
            </w:pPr>
          </w:p>
        </w:tc>
        <w:tc>
          <w:tcPr>
            <w:tcW w:w="880" w:type="dxa"/>
            <w:vAlign w:val="bottom"/>
            <w:tcBorders>
              <w:bottom w:val="single" w:sz="8" w:color="BCBEC0"/>
            </w:tcBorders>
          </w:tcPr>
          <w:p>
            <w:pPr>
              <w:spacing w:after="0"/>
              <w:rPr>
                <w:sz w:val="2"/>
                <w:szCs w:val="2"/>
                <w:color w:val="auto"/>
              </w:rPr>
            </w:pPr>
          </w:p>
        </w:tc>
        <w:tc>
          <w:tcPr>
            <w:tcW w:w="980" w:type="dxa"/>
            <w:vAlign w:val="bottom"/>
            <w:tcBorders>
              <w:bottom w:val="single" w:sz="8" w:color="BCBEC0"/>
            </w:tcBorders>
          </w:tcPr>
          <w:p>
            <w:pPr>
              <w:spacing w:after="0"/>
              <w:rPr>
                <w:sz w:val="2"/>
                <w:szCs w:val="2"/>
                <w:color w:val="auto"/>
              </w:rPr>
            </w:pPr>
          </w:p>
        </w:tc>
        <w:tc>
          <w:tcPr>
            <w:tcW w:w="800" w:type="dxa"/>
            <w:vAlign w:val="bottom"/>
            <w:tcBorders>
              <w:bottom w:val="single" w:sz="8" w:color="BCBEC0"/>
            </w:tcBorders>
          </w:tcPr>
          <w:p>
            <w:pPr>
              <w:spacing w:after="0"/>
              <w:rPr>
                <w:sz w:val="2"/>
                <w:szCs w:val="2"/>
                <w:color w:val="auto"/>
              </w:rPr>
            </w:pPr>
          </w:p>
        </w:tc>
        <w:tc>
          <w:tcPr>
            <w:tcW w:w="760" w:type="dxa"/>
            <w:vAlign w:val="bottom"/>
            <w:tcBorders>
              <w:bottom w:val="single" w:sz="8" w:color="BCBEC0"/>
            </w:tcBorders>
          </w:tcPr>
          <w:p>
            <w:pPr>
              <w:spacing w:after="0"/>
              <w:rPr>
                <w:sz w:val="2"/>
                <w:szCs w:val="2"/>
                <w:color w:val="auto"/>
              </w:rPr>
            </w:pPr>
          </w:p>
        </w:tc>
        <w:tc>
          <w:tcPr>
            <w:tcW w:w="0" w:type="dxa"/>
            <w:vAlign w:val="bottom"/>
          </w:tcPr>
          <w:p>
            <w:pPr>
              <w:spacing w:after="0"/>
              <w:rPr>
                <w:sz w:val="1"/>
                <w:szCs w:val="1"/>
                <w:color w:val="auto"/>
              </w:rPr>
            </w:pPr>
          </w:p>
        </w:tc>
      </w:tr>
      <w:tr>
        <w:trPr>
          <w:trHeight w:val="138"/>
        </w:trPr>
        <w:tc>
          <w:tcPr>
            <w:tcW w:w="880" w:type="dxa"/>
            <w:vAlign w:val="bottom"/>
            <w:vMerge w:val="continue"/>
          </w:tcPr>
          <w:p>
            <w:pPr>
              <w:spacing w:after="0"/>
              <w:rPr>
                <w:sz w:val="11"/>
                <w:szCs w:val="11"/>
                <w:color w:val="auto"/>
              </w:rPr>
            </w:pPr>
          </w:p>
        </w:tc>
        <w:tc>
          <w:tcPr>
            <w:tcW w:w="1000" w:type="dxa"/>
            <w:vAlign w:val="bottom"/>
          </w:tcPr>
          <w:p>
            <w:pPr>
              <w:jc w:val="right"/>
              <w:ind w:right="116"/>
              <w:spacing w:after="0" w:line="138" w:lineRule="exact"/>
              <w:rPr>
                <w:sz w:val="20"/>
                <w:szCs w:val="20"/>
                <w:color w:val="auto"/>
              </w:rPr>
            </w:pPr>
            <w:r>
              <w:rPr>
                <w:rFonts w:ascii="Arial" w:cs="Arial" w:eastAsia="Arial" w:hAnsi="Arial"/>
                <w:sz w:val="13"/>
                <w:szCs w:val="13"/>
                <w:color w:val="auto"/>
              </w:rPr>
              <w:t>1/2/2025</w:t>
            </w:r>
          </w:p>
        </w:tc>
        <w:tc>
          <w:tcPr>
            <w:tcW w:w="1100" w:type="dxa"/>
            <w:vAlign w:val="bottom"/>
          </w:tcPr>
          <w:p>
            <w:pPr>
              <w:jc w:val="right"/>
              <w:spacing w:after="0" w:line="138" w:lineRule="exact"/>
              <w:rPr>
                <w:sz w:val="20"/>
                <w:szCs w:val="20"/>
                <w:color w:val="auto"/>
              </w:rPr>
            </w:pPr>
            <w:r>
              <w:rPr>
                <w:rFonts w:ascii="Arial" w:cs="Arial" w:eastAsia="Arial" w:hAnsi="Arial"/>
                <w:sz w:val="13"/>
                <w:szCs w:val="13"/>
                <w:color w:val="auto"/>
              </w:rPr>
              <w:t>12/16/2024</w:t>
            </w:r>
          </w:p>
        </w:tc>
        <w:tc>
          <w:tcPr>
            <w:tcW w:w="900" w:type="dxa"/>
            <w:vAlign w:val="bottom"/>
          </w:tcPr>
          <w:p>
            <w:pPr>
              <w:jc w:val="right"/>
              <w:ind w:right="76"/>
              <w:spacing w:after="0" w:line="138" w:lineRule="exact"/>
              <w:rPr>
                <w:sz w:val="20"/>
                <w:szCs w:val="20"/>
                <w:color w:val="auto"/>
              </w:rPr>
            </w:pPr>
            <w:r>
              <w:rPr>
                <w:rFonts w:ascii="Arial" w:cs="Arial" w:eastAsia="Arial" w:hAnsi="Arial"/>
                <w:sz w:val="13"/>
                <w:szCs w:val="13"/>
                <w:color w:val="auto"/>
              </w:rPr>
              <w:t>—</w:t>
            </w:r>
          </w:p>
        </w:tc>
        <w:tc>
          <w:tcPr>
            <w:tcW w:w="800" w:type="dxa"/>
            <w:vAlign w:val="bottom"/>
          </w:tcPr>
          <w:p>
            <w:pPr>
              <w:jc w:val="right"/>
              <w:ind w:right="97"/>
              <w:spacing w:after="0" w:line="138" w:lineRule="exact"/>
              <w:rPr>
                <w:sz w:val="20"/>
                <w:szCs w:val="20"/>
                <w:color w:val="auto"/>
              </w:rPr>
            </w:pPr>
            <w:r>
              <w:rPr>
                <w:rFonts w:ascii="Arial" w:cs="Arial" w:eastAsia="Arial" w:hAnsi="Arial"/>
                <w:sz w:val="13"/>
                <w:szCs w:val="13"/>
                <w:color w:val="auto"/>
              </w:rPr>
              <w:t>—</w:t>
            </w:r>
          </w:p>
        </w:tc>
        <w:tc>
          <w:tcPr>
            <w:tcW w:w="740" w:type="dxa"/>
            <w:vAlign w:val="bottom"/>
          </w:tcPr>
          <w:p>
            <w:pPr>
              <w:jc w:val="right"/>
              <w:ind w:right="17"/>
              <w:spacing w:after="0" w:line="138" w:lineRule="exact"/>
              <w:rPr>
                <w:sz w:val="20"/>
                <w:szCs w:val="20"/>
                <w:color w:val="auto"/>
              </w:rPr>
            </w:pPr>
            <w:r>
              <w:rPr>
                <w:rFonts w:ascii="Arial" w:cs="Arial" w:eastAsia="Arial" w:hAnsi="Arial"/>
                <w:sz w:val="13"/>
                <w:szCs w:val="13"/>
                <w:color w:val="auto"/>
              </w:rPr>
              <w:t>—</w:t>
            </w:r>
          </w:p>
        </w:tc>
        <w:tc>
          <w:tcPr>
            <w:tcW w:w="920" w:type="dxa"/>
            <w:vAlign w:val="bottom"/>
          </w:tcPr>
          <w:p>
            <w:pPr>
              <w:jc w:val="right"/>
              <w:ind w:right="76"/>
              <w:spacing w:after="0" w:line="138" w:lineRule="exact"/>
              <w:rPr>
                <w:sz w:val="20"/>
                <w:szCs w:val="20"/>
                <w:color w:val="auto"/>
              </w:rPr>
            </w:pPr>
            <w:r>
              <w:rPr>
                <w:rFonts w:ascii="Arial" w:cs="Arial" w:eastAsia="Arial" w:hAnsi="Arial"/>
                <w:sz w:val="13"/>
                <w:szCs w:val="13"/>
                <w:color w:val="auto"/>
              </w:rPr>
              <w:t>3,735</w:t>
            </w:r>
          </w:p>
        </w:tc>
        <w:tc>
          <w:tcPr>
            <w:tcW w:w="660" w:type="dxa"/>
            <w:vAlign w:val="bottom"/>
          </w:tcPr>
          <w:p>
            <w:pPr>
              <w:jc w:val="right"/>
              <w:ind w:right="97"/>
              <w:spacing w:after="0" w:line="138" w:lineRule="exact"/>
              <w:rPr>
                <w:sz w:val="20"/>
                <w:szCs w:val="20"/>
                <w:color w:val="auto"/>
              </w:rPr>
            </w:pPr>
            <w:r>
              <w:rPr>
                <w:rFonts w:ascii="Arial" w:cs="Arial" w:eastAsia="Arial" w:hAnsi="Arial"/>
                <w:sz w:val="13"/>
                <w:szCs w:val="13"/>
                <w:color w:val="auto"/>
              </w:rPr>
              <w:t>7,470</w:t>
            </w:r>
          </w:p>
        </w:tc>
        <w:tc>
          <w:tcPr>
            <w:tcW w:w="820" w:type="dxa"/>
            <w:vAlign w:val="bottom"/>
          </w:tcPr>
          <w:p>
            <w:pPr>
              <w:jc w:val="right"/>
              <w:ind w:right="97"/>
              <w:spacing w:after="0" w:line="138" w:lineRule="exact"/>
              <w:rPr>
                <w:sz w:val="20"/>
                <w:szCs w:val="20"/>
                <w:color w:val="auto"/>
              </w:rPr>
            </w:pPr>
            <w:r>
              <w:rPr>
                <w:rFonts w:ascii="Arial" w:cs="Arial" w:eastAsia="Arial" w:hAnsi="Arial"/>
                <w:sz w:val="13"/>
                <w:szCs w:val="13"/>
                <w:color w:val="auto"/>
              </w:rPr>
              <w:t>14,940</w:t>
            </w:r>
          </w:p>
        </w:tc>
        <w:tc>
          <w:tcPr>
            <w:tcW w:w="880" w:type="dxa"/>
            <w:vAlign w:val="bottom"/>
          </w:tcPr>
          <w:p>
            <w:pPr>
              <w:jc w:val="right"/>
              <w:ind w:right="157"/>
              <w:spacing w:after="0" w:line="138" w:lineRule="exact"/>
              <w:rPr>
                <w:sz w:val="20"/>
                <w:szCs w:val="20"/>
                <w:color w:val="auto"/>
              </w:rPr>
            </w:pPr>
            <w:r>
              <w:rPr>
                <w:rFonts w:ascii="Arial" w:cs="Arial" w:eastAsia="Arial" w:hAnsi="Arial"/>
                <w:sz w:val="13"/>
                <w:szCs w:val="13"/>
                <w:color w:val="auto"/>
              </w:rPr>
              <w:t>—</w:t>
            </w:r>
          </w:p>
        </w:tc>
        <w:tc>
          <w:tcPr>
            <w:tcW w:w="980" w:type="dxa"/>
            <w:vAlign w:val="bottom"/>
          </w:tcPr>
          <w:p>
            <w:pPr>
              <w:jc w:val="right"/>
              <w:ind w:right="117"/>
              <w:spacing w:after="0" w:line="138" w:lineRule="exact"/>
              <w:rPr>
                <w:sz w:val="20"/>
                <w:szCs w:val="20"/>
                <w:color w:val="auto"/>
              </w:rPr>
            </w:pPr>
            <w:r>
              <w:rPr>
                <w:rFonts w:ascii="Arial" w:cs="Arial" w:eastAsia="Arial" w:hAnsi="Arial"/>
                <w:sz w:val="13"/>
                <w:szCs w:val="13"/>
                <w:color w:val="auto"/>
              </w:rPr>
              <w:t>—</w:t>
            </w:r>
          </w:p>
        </w:tc>
        <w:tc>
          <w:tcPr>
            <w:tcW w:w="800" w:type="dxa"/>
            <w:vAlign w:val="bottom"/>
          </w:tcPr>
          <w:p>
            <w:pPr>
              <w:jc w:val="right"/>
              <w:ind w:right="137"/>
              <w:spacing w:after="0" w:line="138" w:lineRule="exact"/>
              <w:rPr>
                <w:sz w:val="20"/>
                <w:szCs w:val="20"/>
                <w:color w:val="auto"/>
              </w:rPr>
            </w:pPr>
            <w:r>
              <w:rPr>
                <w:rFonts w:ascii="Arial" w:cs="Arial" w:eastAsia="Arial" w:hAnsi="Arial"/>
                <w:sz w:val="13"/>
                <w:szCs w:val="13"/>
                <w:color w:val="auto"/>
              </w:rPr>
              <w:t>—</w:t>
            </w:r>
          </w:p>
        </w:tc>
        <w:tc>
          <w:tcPr>
            <w:tcW w:w="760" w:type="dxa"/>
            <w:vAlign w:val="bottom"/>
          </w:tcPr>
          <w:p>
            <w:pPr>
              <w:jc w:val="right"/>
              <w:spacing w:after="0" w:line="138" w:lineRule="exact"/>
              <w:rPr>
                <w:sz w:val="20"/>
                <w:szCs w:val="20"/>
                <w:color w:val="auto"/>
              </w:rPr>
            </w:pPr>
            <w:r>
              <w:rPr>
                <w:rFonts w:ascii="Arial" w:cs="Arial" w:eastAsia="Arial" w:hAnsi="Arial"/>
                <w:sz w:val="13"/>
                <w:szCs w:val="13"/>
                <w:color w:val="auto"/>
              </w:rPr>
              <w:t>749,988</w:t>
            </w:r>
          </w:p>
        </w:tc>
        <w:tc>
          <w:tcPr>
            <w:tcW w:w="0" w:type="dxa"/>
            <w:vAlign w:val="bottom"/>
          </w:tcPr>
          <w:p>
            <w:pPr>
              <w:spacing w:after="0"/>
              <w:rPr>
                <w:sz w:val="1"/>
                <w:szCs w:val="1"/>
                <w:color w:val="auto"/>
              </w:rPr>
            </w:pPr>
          </w:p>
        </w:tc>
      </w:tr>
      <w:tr>
        <w:trPr>
          <w:trHeight w:val="58"/>
        </w:trPr>
        <w:tc>
          <w:tcPr>
            <w:tcW w:w="880" w:type="dxa"/>
            <w:vAlign w:val="bottom"/>
            <w:vMerge w:val="restart"/>
          </w:tcPr>
          <w:p>
            <w:pPr>
              <w:ind w:left="20"/>
              <w:spacing w:after="0"/>
              <w:rPr>
                <w:sz w:val="20"/>
                <w:szCs w:val="20"/>
                <w:color w:val="auto"/>
              </w:rPr>
            </w:pPr>
            <w:r>
              <w:rPr>
                <w:rFonts w:ascii="Arial" w:cs="Arial" w:eastAsia="Arial" w:hAnsi="Arial"/>
                <w:sz w:val="13"/>
                <w:szCs w:val="13"/>
                <w:b w:val="1"/>
                <w:bCs w:val="1"/>
                <w:color w:val="0C3471"/>
              </w:rPr>
              <w:t>Pedretti</w:t>
            </w:r>
          </w:p>
        </w:tc>
        <w:tc>
          <w:tcPr>
            <w:tcW w:w="1000" w:type="dxa"/>
            <w:vAlign w:val="bottom"/>
            <w:tcBorders>
              <w:bottom w:val="single" w:sz="8" w:color="BCBEC0"/>
            </w:tcBorders>
          </w:tcPr>
          <w:p>
            <w:pPr>
              <w:spacing w:after="0"/>
              <w:rPr>
                <w:sz w:val="5"/>
                <w:szCs w:val="5"/>
                <w:color w:val="auto"/>
              </w:rPr>
            </w:pPr>
          </w:p>
        </w:tc>
        <w:tc>
          <w:tcPr>
            <w:tcW w:w="1100" w:type="dxa"/>
            <w:vAlign w:val="bottom"/>
            <w:tcBorders>
              <w:bottom w:val="single" w:sz="8" w:color="BCBEC0"/>
            </w:tcBorders>
          </w:tcPr>
          <w:p>
            <w:pPr>
              <w:spacing w:after="0"/>
              <w:rPr>
                <w:sz w:val="5"/>
                <w:szCs w:val="5"/>
                <w:color w:val="auto"/>
              </w:rPr>
            </w:pPr>
          </w:p>
        </w:tc>
        <w:tc>
          <w:tcPr>
            <w:tcW w:w="900" w:type="dxa"/>
            <w:vAlign w:val="bottom"/>
            <w:tcBorders>
              <w:bottom w:val="single" w:sz="8" w:color="BCBEC0"/>
            </w:tcBorders>
          </w:tcPr>
          <w:p>
            <w:pPr>
              <w:spacing w:after="0"/>
              <w:rPr>
                <w:sz w:val="5"/>
                <w:szCs w:val="5"/>
                <w:color w:val="auto"/>
              </w:rPr>
            </w:pPr>
          </w:p>
        </w:tc>
        <w:tc>
          <w:tcPr>
            <w:tcW w:w="800" w:type="dxa"/>
            <w:vAlign w:val="bottom"/>
            <w:tcBorders>
              <w:bottom w:val="single" w:sz="8" w:color="BCBEC0"/>
            </w:tcBorders>
          </w:tcPr>
          <w:p>
            <w:pPr>
              <w:spacing w:after="0"/>
              <w:rPr>
                <w:sz w:val="5"/>
                <w:szCs w:val="5"/>
                <w:color w:val="auto"/>
              </w:rPr>
            </w:pPr>
          </w:p>
        </w:tc>
        <w:tc>
          <w:tcPr>
            <w:tcW w:w="740" w:type="dxa"/>
            <w:vAlign w:val="bottom"/>
            <w:tcBorders>
              <w:bottom w:val="single" w:sz="8" w:color="BCBEC0"/>
            </w:tcBorders>
          </w:tcPr>
          <w:p>
            <w:pPr>
              <w:spacing w:after="0"/>
              <w:rPr>
                <w:sz w:val="5"/>
                <w:szCs w:val="5"/>
                <w:color w:val="auto"/>
              </w:rPr>
            </w:pPr>
          </w:p>
        </w:tc>
        <w:tc>
          <w:tcPr>
            <w:tcW w:w="920" w:type="dxa"/>
            <w:vAlign w:val="bottom"/>
            <w:tcBorders>
              <w:bottom w:val="single" w:sz="8" w:color="BCBEC0"/>
            </w:tcBorders>
          </w:tcPr>
          <w:p>
            <w:pPr>
              <w:spacing w:after="0"/>
              <w:rPr>
                <w:sz w:val="5"/>
                <w:szCs w:val="5"/>
                <w:color w:val="auto"/>
              </w:rPr>
            </w:pPr>
          </w:p>
        </w:tc>
        <w:tc>
          <w:tcPr>
            <w:tcW w:w="660" w:type="dxa"/>
            <w:vAlign w:val="bottom"/>
            <w:tcBorders>
              <w:bottom w:val="single" w:sz="8" w:color="BCBEC0"/>
            </w:tcBorders>
          </w:tcPr>
          <w:p>
            <w:pPr>
              <w:spacing w:after="0"/>
              <w:rPr>
                <w:sz w:val="5"/>
                <w:szCs w:val="5"/>
                <w:color w:val="auto"/>
              </w:rPr>
            </w:pPr>
          </w:p>
        </w:tc>
        <w:tc>
          <w:tcPr>
            <w:tcW w:w="820" w:type="dxa"/>
            <w:vAlign w:val="bottom"/>
            <w:tcBorders>
              <w:bottom w:val="single" w:sz="8" w:color="BCBEC0"/>
            </w:tcBorders>
          </w:tcPr>
          <w:p>
            <w:pPr>
              <w:spacing w:after="0"/>
              <w:rPr>
                <w:sz w:val="5"/>
                <w:szCs w:val="5"/>
                <w:color w:val="auto"/>
              </w:rPr>
            </w:pPr>
          </w:p>
        </w:tc>
        <w:tc>
          <w:tcPr>
            <w:tcW w:w="880" w:type="dxa"/>
            <w:vAlign w:val="bottom"/>
            <w:tcBorders>
              <w:bottom w:val="single" w:sz="8" w:color="BCBEC0"/>
            </w:tcBorders>
          </w:tcPr>
          <w:p>
            <w:pPr>
              <w:spacing w:after="0"/>
              <w:rPr>
                <w:sz w:val="5"/>
                <w:szCs w:val="5"/>
                <w:color w:val="auto"/>
              </w:rPr>
            </w:pPr>
          </w:p>
        </w:tc>
        <w:tc>
          <w:tcPr>
            <w:tcW w:w="980" w:type="dxa"/>
            <w:vAlign w:val="bottom"/>
            <w:tcBorders>
              <w:bottom w:val="single" w:sz="8" w:color="BCBEC0"/>
            </w:tcBorders>
          </w:tcPr>
          <w:p>
            <w:pPr>
              <w:spacing w:after="0"/>
              <w:rPr>
                <w:sz w:val="5"/>
                <w:szCs w:val="5"/>
                <w:color w:val="auto"/>
              </w:rPr>
            </w:pPr>
          </w:p>
        </w:tc>
        <w:tc>
          <w:tcPr>
            <w:tcW w:w="800" w:type="dxa"/>
            <w:vAlign w:val="bottom"/>
            <w:tcBorders>
              <w:bottom w:val="single" w:sz="8" w:color="BCBEC0"/>
            </w:tcBorders>
          </w:tcPr>
          <w:p>
            <w:pPr>
              <w:spacing w:after="0"/>
              <w:rPr>
                <w:sz w:val="5"/>
                <w:szCs w:val="5"/>
                <w:color w:val="auto"/>
              </w:rPr>
            </w:pPr>
          </w:p>
        </w:tc>
        <w:tc>
          <w:tcPr>
            <w:tcW w:w="760" w:type="dxa"/>
            <w:vAlign w:val="bottom"/>
            <w:tcBorders>
              <w:bottom w:val="single" w:sz="8" w:color="BCBEC0"/>
            </w:tcBorders>
          </w:tcPr>
          <w:p>
            <w:pPr>
              <w:spacing w:after="0"/>
              <w:rPr>
                <w:sz w:val="5"/>
                <w:szCs w:val="5"/>
                <w:color w:val="auto"/>
              </w:rPr>
            </w:pPr>
          </w:p>
        </w:tc>
        <w:tc>
          <w:tcPr>
            <w:tcW w:w="0" w:type="dxa"/>
            <w:vAlign w:val="bottom"/>
          </w:tcPr>
          <w:p>
            <w:pPr>
              <w:spacing w:after="0"/>
              <w:rPr>
                <w:sz w:val="1"/>
                <w:szCs w:val="1"/>
                <w:color w:val="auto"/>
              </w:rPr>
            </w:pPr>
          </w:p>
        </w:tc>
      </w:tr>
      <w:tr>
        <w:trPr>
          <w:trHeight w:val="93"/>
        </w:trPr>
        <w:tc>
          <w:tcPr>
            <w:tcW w:w="880" w:type="dxa"/>
            <w:vAlign w:val="bottom"/>
            <w:vMerge w:val="continue"/>
          </w:tcPr>
          <w:p>
            <w:pPr>
              <w:spacing w:after="0"/>
              <w:rPr>
                <w:sz w:val="8"/>
                <w:szCs w:val="8"/>
                <w:color w:val="auto"/>
              </w:rPr>
            </w:pPr>
          </w:p>
        </w:tc>
        <w:tc>
          <w:tcPr>
            <w:tcW w:w="1000" w:type="dxa"/>
            <w:vAlign w:val="bottom"/>
            <w:vMerge w:val="restart"/>
          </w:tcPr>
          <w:p>
            <w:pPr>
              <w:jc w:val="right"/>
              <w:ind w:right="116"/>
              <w:spacing w:after="0"/>
              <w:rPr>
                <w:sz w:val="20"/>
                <w:szCs w:val="20"/>
                <w:color w:val="auto"/>
              </w:rPr>
            </w:pPr>
            <w:r>
              <w:rPr>
                <w:rFonts w:ascii="Arial" w:cs="Arial" w:eastAsia="Arial" w:hAnsi="Arial"/>
                <w:sz w:val="13"/>
                <w:szCs w:val="13"/>
                <w:color w:val="auto"/>
              </w:rPr>
              <w:t>1/2/2025</w:t>
            </w:r>
          </w:p>
        </w:tc>
        <w:tc>
          <w:tcPr>
            <w:tcW w:w="1100" w:type="dxa"/>
            <w:vAlign w:val="bottom"/>
            <w:vMerge w:val="restart"/>
          </w:tcPr>
          <w:p>
            <w:pPr>
              <w:jc w:val="right"/>
              <w:spacing w:after="0"/>
              <w:rPr>
                <w:sz w:val="20"/>
                <w:szCs w:val="20"/>
                <w:color w:val="auto"/>
              </w:rPr>
            </w:pPr>
            <w:r>
              <w:rPr>
                <w:rFonts w:ascii="Arial" w:cs="Arial" w:eastAsia="Arial" w:hAnsi="Arial"/>
                <w:sz w:val="13"/>
                <w:szCs w:val="13"/>
                <w:color w:val="auto"/>
              </w:rPr>
              <w:t>12/16/2024</w:t>
            </w:r>
          </w:p>
        </w:tc>
        <w:tc>
          <w:tcPr>
            <w:tcW w:w="900" w:type="dxa"/>
            <w:vAlign w:val="bottom"/>
            <w:vMerge w:val="restart"/>
          </w:tcPr>
          <w:p>
            <w:pPr>
              <w:jc w:val="right"/>
              <w:ind w:right="76"/>
              <w:spacing w:after="0"/>
              <w:rPr>
                <w:sz w:val="20"/>
                <w:szCs w:val="20"/>
                <w:color w:val="auto"/>
              </w:rPr>
            </w:pPr>
            <w:r>
              <w:rPr>
                <w:rFonts w:ascii="Arial" w:cs="Arial" w:eastAsia="Arial" w:hAnsi="Arial"/>
                <w:sz w:val="13"/>
                <w:szCs w:val="13"/>
                <w:color w:val="auto"/>
              </w:rPr>
              <w:t>—</w:t>
            </w:r>
          </w:p>
        </w:tc>
        <w:tc>
          <w:tcPr>
            <w:tcW w:w="800" w:type="dxa"/>
            <w:vAlign w:val="bottom"/>
            <w:vMerge w:val="restart"/>
          </w:tcPr>
          <w:p>
            <w:pPr>
              <w:jc w:val="right"/>
              <w:ind w:right="97"/>
              <w:spacing w:after="0"/>
              <w:rPr>
                <w:sz w:val="20"/>
                <w:szCs w:val="20"/>
                <w:color w:val="auto"/>
              </w:rPr>
            </w:pPr>
            <w:r>
              <w:rPr>
                <w:rFonts w:ascii="Arial" w:cs="Arial" w:eastAsia="Arial" w:hAnsi="Arial"/>
                <w:sz w:val="13"/>
                <w:szCs w:val="13"/>
                <w:color w:val="auto"/>
              </w:rPr>
              <w:t>—</w:t>
            </w:r>
          </w:p>
        </w:tc>
        <w:tc>
          <w:tcPr>
            <w:tcW w:w="740" w:type="dxa"/>
            <w:vAlign w:val="bottom"/>
            <w:vMerge w:val="restart"/>
          </w:tcPr>
          <w:p>
            <w:pPr>
              <w:jc w:val="right"/>
              <w:ind w:right="17"/>
              <w:spacing w:after="0"/>
              <w:rPr>
                <w:sz w:val="20"/>
                <w:szCs w:val="20"/>
                <w:color w:val="auto"/>
              </w:rPr>
            </w:pPr>
            <w:r>
              <w:rPr>
                <w:rFonts w:ascii="Arial" w:cs="Arial" w:eastAsia="Arial" w:hAnsi="Arial"/>
                <w:sz w:val="13"/>
                <w:szCs w:val="13"/>
                <w:color w:val="auto"/>
              </w:rPr>
              <w:t>—</w:t>
            </w:r>
          </w:p>
        </w:tc>
        <w:tc>
          <w:tcPr>
            <w:tcW w:w="920" w:type="dxa"/>
            <w:vAlign w:val="bottom"/>
            <w:vMerge w:val="restart"/>
          </w:tcPr>
          <w:p>
            <w:pPr>
              <w:jc w:val="right"/>
              <w:ind w:right="76"/>
              <w:spacing w:after="0"/>
              <w:rPr>
                <w:sz w:val="20"/>
                <w:szCs w:val="20"/>
                <w:color w:val="auto"/>
              </w:rPr>
            </w:pPr>
            <w:r>
              <w:rPr>
                <w:rFonts w:ascii="Arial" w:cs="Arial" w:eastAsia="Arial" w:hAnsi="Arial"/>
                <w:sz w:val="13"/>
                <w:szCs w:val="13"/>
                <w:color w:val="auto"/>
              </w:rPr>
              <w:t>—</w:t>
            </w:r>
          </w:p>
        </w:tc>
        <w:tc>
          <w:tcPr>
            <w:tcW w:w="660" w:type="dxa"/>
            <w:vAlign w:val="bottom"/>
            <w:vMerge w:val="restart"/>
          </w:tcPr>
          <w:p>
            <w:pPr>
              <w:jc w:val="right"/>
              <w:ind w:right="97"/>
              <w:spacing w:after="0"/>
              <w:rPr>
                <w:sz w:val="20"/>
                <w:szCs w:val="20"/>
                <w:color w:val="auto"/>
              </w:rPr>
            </w:pPr>
            <w:r>
              <w:rPr>
                <w:rFonts w:ascii="Arial" w:cs="Arial" w:eastAsia="Arial" w:hAnsi="Arial"/>
                <w:sz w:val="13"/>
                <w:szCs w:val="13"/>
                <w:color w:val="auto"/>
              </w:rPr>
              <w:t>—</w:t>
            </w:r>
          </w:p>
        </w:tc>
        <w:tc>
          <w:tcPr>
            <w:tcW w:w="820" w:type="dxa"/>
            <w:vAlign w:val="bottom"/>
            <w:vMerge w:val="restart"/>
          </w:tcPr>
          <w:p>
            <w:pPr>
              <w:jc w:val="right"/>
              <w:ind w:right="97"/>
              <w:spacing w:after="0"/>
              <w:rPr>
                <w:sz w:val="20"/>
                <w:szCs w:val="20"/>
                <w:color w:val="auto"/>
              </w:rPr>
            </w:pPr>
            <w:r>
              <w:rPr>
                <w:rFonts w:ascii="Arial" w:cs="Arial" w:eastAsia="Arial" w:hAnsi="Arial"/>
                <w:sz w:val="13"/>
                <w:szCs w:val="13"/>
                <w:color w:val="auto"/>
              </w:rPr>
              <w:t>—</w:t>
            </w:r>
          </w:p>
        </w:tc>
        <w:tc>
          <w:tcPr>
            <w:tcW w:w="880" w:type="dxa"/>
            <w:vAlign w:val="bottom"/>
            <w:vMerge w:val="restart"/>
          </w:tcPr>
          <w:p>
            <w:pPr>
              <w:jc w:val="right"/>
              <w:ind w:right="157"/>
              <w:spacing w:after="0"/>
              <w:rPr>
                <w:sz w:val="20"/>
                <w:szCs w:val="20"/>
                <w:color w:val="auto"/>
              </w:rPr>
            </w:pPr>
            <w:r>
              <w:rPr>
                <w:rFonts w:ascii="Arial" w:cs="Arial" w:eastAsia="Arial" w:hAnsi="Arial"/>
                <w:sz w:val="13"/>
                <w:szCs w:val="13"/>
                <w:color w:val="auto"/>
              </w:rPr>
              <w:t>3,735</w:t>
            </w:r>
          </w:p>
        </w:tc>
        <w:tc>
          <w:tcPr>
            <w:tcW w:w="980" w:type="dxa"/>
            <w:vAlign w:val="bottom"/>
            <w:vMerge w:val="restart"/>
          </w:tcPr>
          <w:p>
            <w:pPr>
              <w:jc w:val="right"/>
              <w:ind w:right="117"/>
              <w:spacing w:after="0"/>
              <w:rPr>
                <w:sz w:val="20"/>
                <w:szCs w:val="20"/>
                <w:color w:val="auto"/>
              </w:rPr>
            </w:pPr>
            <w:r>
              <w:rPr>
                <w:rFonts w:ascii="Arial" w:cs="Arial" w:eastAsia="Arial" w:hAnsi="Arial"/>
                <w:sz w:val="13"/>
                <w:szCs w:val="13"/>
                <w:color w:val="auto"/>
              </w:rPr>
              <w:t>—</w:t>
            </w:r>
          </w:p>
        </w:tc>
        <w:tc>
          <w:tcPr>
            <w:tcW w:w="800" w:type="dxa"/>
            <w:vAlign w:val="bottom"/>
            <w:vMerge w:val="restart"/>
          </w:tcPr>
          <w:p>
            <w:pPr>
              <w:jc w:val="right"/>
              <w:ind w:right="137"/>
              <w:spacing w:after="0"/>
              <w:rPr>
                <w:sz w:val="20"/>
                <w:szCs w:val="20"/>
                <w:color w:val="auto"/>
              </w:rPr>
            </w:pPr>
            <w:r>
              <w:rPr>
                <w:rFonts w:ascii="Arial" w:cs="Arial" w:eastAsia="Arial" w:hAnsi="Arial"/>
                <w:sz w:val="13"/>
                <w:szCs w:val="13"/>
                <w:color w:val="auto"/>
              </w:rPr>
              <w:t>—</w:t>
            </w: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374,994</w:t>
            </w:r>
          </w:p>
        </w:tc>
        <w:tc>
          <w:tcPr>
            <w:tcW w:w="0" w:type="dxa"/>
            <w:vAlign w:val="bottom"/>
          </w:tcPr>
          <w:p>
            <w:pPr>
              <w:spacing w:after="0"/>
              <w:rPr>
                <w:sz w:val="1"/>
                <w:szCs w:val="1"/>
                <w:color w:val="auto"/>
              </w:rPr>
            </w:pPr>
          </w:p>
        </w:tc>
      </w:tr>
      <w:tr>
        <w:trPr>
          <w:trHeight w:val="75"/>
        </w:trPr>
        <w:tc>
          <w:tcPr>
            <w:tcW w:w="88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92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820" w:type="dxa"/>
            <w:vAlign w:val="bottom"/>
            <w:vMerge w:val="continue"/>
          </w:tcPr>
          <w:p>
            <w:pPr>
              <w:spacing w:after="0"/>
              <w:rPr>
                <w:sz w:val="6"/>
                <w:szCs w:val="6"/>
                <w:color w:val="auto"/>
              </w:rPr>
            </w:pPr>
          </w:p>
        </w:tc>
        <w:tc>
          <w:tcPr>
            <w:tcW w:w="880" w:type="dxa"/>
            <w:vAlign w:val="bottom"/>
            <w:vMerge w:val="continue"/>
          </w:tcPr>
          <w:p>
            <w:pPr>
              <w:spacing w:after="0"/>
              <w:rPr>
                <w:sz w:val="6"/>
                <w:szCs w:val="6"/>
                <w:color w:val="auto"/>
              </w:rPr>
            </w:pPr>
          </w:p>
        </w:tc>
        <w:tc>
          <w:tcPr>
            <w:tcW w:w="98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8"/>
        </w:trPr>
        <w:tc>
          <w:tcPr>
            <w:tcW w:w="880" w:type="dxa"/>
            <w:vAlign w:val="bottom"/>
          </w:tcPr>
          <w:p>
            <w:pPr>
              <w:spacing w:after="0"/>
              <w:rPr>
                <w:sz w:val="2"/>
                <w:szCs w:val="2"/>
                <w:color w:val="auto"/>
              </w:rPr>
            </w:pPr>
          </w:p>
        </w:tc>
        <w:tc>
          <w:tcPr>
            <w:tcW w:w="1000" w:type="dxa"/>
            <w:vAlign w:val="bottom"/>
            <w:tcBorders>
              <w:bottom w:val="single" w:sz="8" w:color="BCBEC0"/>
            </w:tcBorders>
          </w:tcPr>
          <w:p>
            <w:pPr>
              <w:spacing w:after="0"/>
              <w:rPr>
                <w:sz w:val="2"/>
                <w:szCs w:val="2"/>
                <w:color w:val="auto"/>
              </w:rPr>
            </w:pPr>
          </w:p>
        </w:tc>
        <w:tc>
          <w:tcPr>
            <w:tcW w:w="1100" w:type="dxa"/>
            <w:vAlign w:val="bottom"/>
            <w:tcBorders>
              <w:bottom w:val="single" w:sz="8" w:color="BCBEC0"/>
            </w:tcBorders>
          </w:tcPr>
          <w:p>
            <w:pPr>
              <w:spacing w:after="0"/>
              <w:rPr>
                <w:sz w:val="2"/>
                <w:szCs w:val="2"/>
                <w:color w:val="auto"/>
              </w:rPr>
            </w:pPr>
          </w:p>
        </w:tc>
        <w:tc>
          <w:tcPr>
            <w:tcW w:w="900" w:type="dxa"/>
            <w:vAlign w:val="bottom"/>
            <w:tcBorders>
              <w:bottom w:val="single" w:sz="8" w:color="BCBEC0"/>
            </w:tcBorders>
          </w:tcPr>
          <w:p>
            <w:pPr>
              <w:spacing w:after="0"/>
              <w:rPr>
                <w:sz w:val="2"/>
                <w:szCs w:val="2"/>
                <w:color w:val="auto"/>
              </w:rPr>
            </w:pPr>
          </w:p>
        </w:tc>
        <w:tc>
          <w:tcPr>
            <w:tcW w:w="800" w:type="dxa"/>
            <w:vAlign w:val="bottom"/>
            <w:tcBorders>
              <w:bottom w:val="single" w:sz="8" w:color="BCBEC0"/>
            </w:tcBorders>
          </w:tcPr>
          <w:p>
            <w:pPr>
              <w:spacing w:after="0"/>
              <w:rPr>
                <w:sz w:val="2"/>
                <w:szCs w:val="2"/>
                <w:color w:val="auto"/>
              </w:rPr>
            </w:pPr>
          </w:p>
        </w:tc>
        <w:tc>
          <w:tcPr>
            <w:tcW w:w="740" w:type="dxa"/>
            <w:vAlign w:val="bottom"/>
            <w:tcBorders>
              <w:bottom w:val="single" w:sz="8" w:color="BCBEC0"/>
            </w:tcBorders>
          </w:tcPr>
          <w:p>
            <w:pPr>
              <w:spacing w:after="0"/>
              <w:rPr>
                <w:sz w:val="2"/>
                <w:szCs w:val="2"/>
                <w:color w:val="auto"/>
              </w:rPr>
            </w:pPr>
          </w:p>
        </w:tc>
        <w:tc>
          <w:tcPr>
            <w:tcW w:w="920" w:type="dxa"/>
            <w:vAlign w:val="bottom"/>
            <w:tcBorders>
              <w:bottom w:val="single" w:sz="8" w:color="BCBEC0"/>
            </w:tcBorders>
          </w:tcPr>
          <w:p>
            <w:pPr>
              <w:spacing w:after="0"/>
              <w:rPr>
                <w:sz w:val="2"/>
                <w:szCs w:val="2"/>
                <w:color w:val="auto"/>
              </w:rPr>
            </w:pPr>
          </w:p>
        </w:tc>
        <w:tc>
          <w:tcPr>
            <w:tcW w:w="660" w:type="dxa"/>
            <w:vAlign w:val="bottom"/>
            <w:tcBorders>
              <w:bottom w:val="single" w:sz="8" w:color="BCBEC0"/>
            </w:tcBorders>
          </w:tcPr>
          <w:p>
            <w:pPr>
              <w:spacing w:after="0"/>
              <w:rPr>
                <w:sz w:val="2"/>
                <w:szCs w:val="2"/>
                <w:color w:val="auto"/>
              </w:rPr>
            </w:pPr>
          </w:p>
        </w:tc>
        <w:tc>
          <w:tcPr>
            <w:tcW w:w="820" w:type="dxa"/>
            <w:vAlign w:val="bottom"/>
            <w:tcBorders>
              <w:bottom w:val="single" w:sz="8" w:color="BCBEC0"/>
            </w:tcBorders>
          </w:tcPr>
          <w:p>
            <w:pPr>
              <w:spacing w:after="0"/>
              <w:rPr>
                <w:sz w:val="2"/>
                <w:szCs w:val="2"/>
                <w:color w:val="auto"/>
              </w:rPr>
            </w:pPr>
          </w:p>
        </w:tc>
        <w:tc>
          <w:tcPr>
            <w:tcW w:w="880" w:type="dxa"/>
            <w:vAlign w:val="bottom"/>
            <w:tcBorders>
              <w:bottom w:val="single" w:sz="8" w:color="BCBEC0"/>
            </w:tcBorders>
          </w:tcPr>
          <w:p>
            <w:pPr>
              <w:spacing w:after="0"/>
              <w:rPr>
                <w:sz w:val="2"/>
                <w:szCs w:val="2"/>
                <w:color w:val="auto"/>
              </w:rPr>
            </w:pPr>
          </w:p>
        </w:tc>
        <w:tc>
          <w:tcPr>
            <w:tcW w:w="980" w:type="dxa"/>
            <w:vAlign w:val="bottom"/>
            <w:tcBorders>
              <w:bottom w:val="single" w:sz="8" w:color="BCBEC0"/>
            </w:tcBorders>
          </w:tcPr>
          <w:p>
            <w:pPr>
              <w:spacing w:after="0"/>
              <w:rPr>
                <w:sz w:val="2"/>
                <w:szCs w:val="2"/>
                <w:color w:val="auto"/>
              </w:rPr>
            </w:pPr>
          </w:p>
        </w:tc>
        <w:tc>
          <w:tcPr>
            <w:tcW w:w="800" w:type="dxa"/>
            <w:vAlign w:val="bottom"/>
            <w:tcBorders>
              <w:bottom w:val="single" w:sz="8" w:color="BCBEC0"/>
            </w:tcBorders>
          </w:tcPr>
          <w:p>
            <w:pPr>
              <w:spacing w:after="0"/>
              <w:rPr>
                <w:sz w:val="2"/>
                <w:szCs w:val="2"/>
                <w:color w:val="auto"/>
              </w:rPr>
            </w:pPr>
          </w:p>
        </w:tc>
        <w:tc>
          <w:tcPr>
            <w:tcW w:w="760" w:type="dxa"/>
            <w:vAlign w:val="bottom"/>
            <w:tcBorders>
              <w:bottom w:val="single" w:sz="8" w:color="BCBEC0"/>
            </w:tcBorders>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880" w:type="dxa"/>
            <w:vAlign w:val="bottom"/>
          </w:tcPr>
          <w:p>
            <w:pPr>
              <w:spacing w:after="0"/>
              <w:rPr>
                <w:sz w:val="14"/>
                <w:szCs w:val="14"/>
                <w:color w:val="auto"/>
              </w:rPr>
            </w:pPr>
          </w:p>
        </w:tc>
        <w:tc>
          <w:tcPr>
            <w:tcW w:w="1000" w:type="dxa"/>
            <w:vAlign w:val="bottom"/>
          </w:tcPr>
          <w:p>
            <w:pPr>
              <w:jc w:val="right"/>
              <w:ind w:right="116"/>
              <w:spacing w:after="0"/>
              <w:rPr>
                <w:sz w:val="20"/>
                <w:szCs w:val="20"/>
                <w:color w:val="auto"/>
              </w:rPr>
            </w:pPr>
            <w:r>
              <w:rPr>
                <w:rFonts w:ascii="Arial" w:cs="Arial" w:eastAsia="Arial" w:hAnsi="Arial"/>
                <w:sz w:val="13"/>
                <w:szCs w:val="13"/>
                <w:color w:val="auto"/>
              </w:rPr>
              <w:t>1/2/2025</w:t>
            </w:r>
          </w:p>
        </w:tc>
        <w:tc>
          <w:tcPr>
            <w:tcW w:w="1100" w:type="dxa"/>
            <w:vAlign w:val="bottom"/>
          </w:tcPr>
          <w:p>
            <w:pPr>
              <w:jc w:val="right"/>
              <w:spacing w:after="0"/>
              <w:rPr>
                <w:sz w:val="20"/>
                <w:szCs w:val="20"/>
                <w:color w:val="auto"/>
              </w:rPr>
            </w:pPr>
            <w:r>
              <w:rPr>
                <w:rFonts w:ascii="Arial" w:cs="Arial" w:eastAsia="Arial" w:hAnsi="Arial"/>
                <w:sz w:val="13"/>
                <w:szCs w:val="13"/>
                <w:color w:val="auto"/>
              </w:rPr>
              <w:t>12/16/2024</w:t>
            </w:r>
          </w:p>
        </w:tc>
        <w:tc>
          <w:tcPr>
            <w:tcW w:w="90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157"/>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117"/>
              <w:spacing w:after="0"/>
              <w:rPr>
                <w:sz w:val="20"/>
                <w:szCs w:val="20"/>
                <w:color w:val="auto"/>
              </w:rPr>
            </w:pPr>
            <w:r>
              <w:rPr>
                <w:rFonts w:ascii="Arial" w:cs="Arial" w:eastAsia="Arial" w:hAnsi="Arial"/>
                <w:sz w:val="13"/>
                <w:szCs w:val="13"/>
                <w:color w:val="auto"/>
              </w:rPr>
              <w:t>10,209</w:t>
            </w:r>
          </w:p>
        </w:tc>
        <w:tc>
          <w:tcPr>
            <w:tcW w:w="800" w:type="dxa"/>
            <w:vAlign w:val="bottom"/>
          </w:tcPr>
          <w:p>
            <w:pPr>
              <w:jc w:val="right"/>
              <w:ind w:right="137"/>
              <w:spacing w:after="0"/>
              <w:rPr>
                <w:sz w:val="20"/>
                <w:szCs w:val="20"/>
                <w:color w:val="auto"/>
              </w:rPr>
            </w:pPr>
            <w:r>
              <w:rPr>
                <w:rFonts w:ascii="Arial" w:cs="Arial" w:eastAsia="Arial" w:hAnsi="Arial"/>
                <w:sz w:val="13"/>
                <w:szCs w:val="13"/>
                <w:color w:val="auto"/>
              </w:rPr>
              <w:t>100.40</w:t>
            </w:r>
          </w:p>
        </w:tc>
        <w:tc>
          <w:tcPr>
            <w:tcW w:w="760" w:type="dxa"/>
            <w:vAlign w:val="bottom"/>
          </w:tcPr>
          <w:p>
            <w:pPr>
              <w:jc w:val="right"/>
              <w:spacing w:after="0"/>
              <w:rPr>
                <w:sz w:val="20"/>
                <w:szCs w:val="20"/>
                <w:color w:val="auto"/>
              </w:rPr>
            </w:pPr>
            <w:r>
              <w:rPr>
                <w:rFonts w:ascii="Arial" w:cs="Arial" w:eastAsia="Arial" w:hAnsi="Arial"/>
                <w:sz w:val="13"/>
                <w:szCs w:val="13"/>
                <w:color w:val="auto"/>
              </w:rPr>
              <w:t>374,995</w:t>
            </w:r>
          </w:p>
        </w:tc>
        <w:tc>
          <w:tcPr>
            <w:tcW w:w="0" w:type="dxa"/>
            <w:vAlign w:val="bottom"/>
          </w:tcPr>
          <w:p>
            <w:pPr>
              <w:spacing w:after="0"/>
              <w:rPr>
                <w:sz w:val="1"/>
                <w:szCs w:val="1"/>
                <w:color w:val="auto"/>
              </w:rPr>
            </w:pPr>
          </w:p>
        </w:tc>
      </w:tr>
      <w:tr>
        <w:trPr>
          <w:trHeight w:val="28"/>
        </w:trPr>
        <w:tc>
          <w:tcPr>
            <w:tcW w:w="880" w:type="dxa"/>
            <w:vAlign w:val="bottom"/>
          </w:tcPr>
          <w:p>
            <w:pPr>
              <w:spacing w:after="0"/>
              <w:rPr>
                <w:sz w:val="2"/>
                <w:szCs w:val="2"/>
                <w:color w:val="auto"/>
              </w:rPr>
            </w:pPr>
          </w:p>
        </w:tc>
        <w:tc>
          <w:tcPr>
            <w:tcW w:w="1000" w:type="dxa"/>
            <w:vAlign w:val="bottom"/>
            <w:tcBorders>
              <w:bottom w:val="single" w:sz="8" w:color="BCBEC0"/>
            </w:tcBorders>
          </w:tcPr>
          <w:p>
            <w:pPr>
              <w:spacing w:after="0"/>
              <w:rPr>
                <w:sz w:val="2"/>
                <w:szCs w:val="2"/>
                <w:color w:val="auto"/>
              </w:rPr>
            </w:pPr>
          </w:p>
        </w:tc>
        <w:tc>
          <w:tcPr>
            <w:tcW w:w="1100" w:type="dxa"/>
            <w:vAlign w:val="bottom"/>
            <w:tcBorders>
              <w:bottom w:val="single" w:sz="8" w:color="BCBEC0"/>
            </w:tcBorders>
          </w:tcPr>
          <w:p>
            <w:pPr>
              <w:spacing w:after="0"/>
              <w:rPr>
                <w:sz w:val="2"/>
                <w:szCs w:val="2"/>
                <w:color w:val="auto"/>
              </w:rPr>
            </w:pPr>
          </w:p>
        </w:tc>
        <w:tc>
          <w:tcPr>
            <w:tcW w:w="900" w:type="dxa"/>
            <w:vAlign w:val="bottom"/>
            <w:tcBorders>
              <w:bottom w:val="single" w:sz="8" w:color="BCBEC0"/>
            </w:tcBorders>
          </w:tcPr>
          <w:p>
            <w:pPr>
              <w:spacing w:after="0"/>
              <w:rPr>
                <w:sz w:val="2"/>
                <w:szCs w:val="2"/>
                <w:color w:val="auto"/>
              </w:rPr>
            </w:pPr>
          </w:p>
        </w:tc>
        <w:tc>
          <w:tcPr>
            <w:tcW w:w="800" w:type="dxa"/>
            <w:vAlign w:val="bottom"/>
            <w:tcBorders>
              <w:bottom w:val="single" w:sz="8" w:color="BCBEC0"/>
            </w:tcBorders>
          </w:tcPr>
          <w:p>
            <w:pPr>
              <w:spacing w:after="0"/>
              <w:rPr>
                <w:sz w:val="2"/>
                <w:szCs w:val="2"/>
                <w:color w:val="auto"/>
              </w:rPr>
            </w:pPr>
          </w:p>
        </w:tc>
        <w:tc>
          <w:tcPr>
            <w:tcW w:w="740" w:type="dxa"/>
            <w:vAlign w:val="bottom"/>
            <w:tcBorders>
              <w:bottom w:val="single" w:sz="8" w:color="BCBEC0"/>
            </w:tcBorders>
          </w:tcPr>
          <w:p>
            <w:pPr>
              <w:spacing w:after="0"/>
              <w:rPr>
                <w:sz w:val="2"/>
                <w:szCs w:val="2"/>
                <w:color w:val="auto"/>
              </w:rPr>
            </w:pPr>
          </w:p>
        </w:tc>
        <w:tc>
          <w:tcPr>
            <w:tcW w:w="920" w:type="dxa"/>
            <w:vAlign w:val="bottom"/>
            <w:tcBorders>
              <w:bottom w:val="single" w:sz="8" w:color="BCBEC0"/>
            </w:tcBorders>
          </w:tcPr>
          <w:p>
            <w:pPr>
              <w:spacing w:after="0"/>
              <w:rPr>
                <w:sz w:val="2"/>
                <w:szCs w:val="2"/>
                <w:color w:val="auto"/>
              </w:rPr>
            </w:pPr>
          </w:p>
        </w:tc>
        <w:tc>
          <w:tcPr>
            <w:tcW w:w="660" w:type="dxa"/>
            <w:vAlign w:val="bottom"/>
            <w:tcBorders>
              <w:bottom w:val="single" w:sz="8" w:color="BCBEC0"/>
            </w:tcBorders>
          </w:tcPr>
          <w:p>
            <w:pPr>
              <w:spacing w:after="0"/>
              <w:rPr>
                <w:sz w:val="2"/>
                <w:szCs w:val="2"/>
                <w:color w:val="auto"/>
              </w:rPr>
            </w:pPr>
          </w:p>
        </w:tc>
        <w:tc>
          <w:tcPr>
            <w:tcW w:w="820" w:type="dxa"/>
            <w:vAlign w:val="bottom"/>
            <w:tcBorders>
              <w:bottom w:val="single" w:sz="8" w:color="BCBEC0"/>
            </w:tcBorders>
          </w:tcPr>
          <w:p>
            <w:pPr>
              <w:spacing w:after="0"/>
              <w:rPr>
                <w:sz w:val="2"/>
                <w:szCs w:val="2"/>
                <w:color w:val="auto"/>
              </w:rPr>
            </w:pPr>
          </w:p>
        </w:tc>
        <w:tc>
          <w:tcPr>
            <w:tcW w:w="880" w:type="dxa"/>
            <w:vAlign w:val="bottom"/>
            <w:tcBorders>
              <w:bottom w:val="single" w:sz="8" w:color="BCBEC0"/>
            </w:tcBorders>
          </w:tcPr>
          <w:p>
            <w:pPr>
              <w:spacing w:after="0"/>
              <w:rPr>
                <w:sz w:val="2"/>
                <w:szCs w:val="2"/>
                <w:color w:val="auto"/>
              </w:rPr>
            </w:pPr>
          </w:p>
        </w:tc>
        <w:tc>
          <w:tcPr>
            <w:tcW w:w="980" w:type="dxa"/>
            <w:vAlign w:val="bottom"/>
            <w:tcBorders>
              <w:bottom w:val="single" w:sz="8" w:color="BCBEC0"/>
            </w:tcBorders>
          </w:tcPr>
          <w:p>
            <w:pPr>
              <w:spacing w:after="0"/>
              <w:rPr>
                <w:sz w:val="2"/>
                <w:szCs w:val="2"/>
                <w:color w:val="auto"/>
              </w:rPr>
            </w:pPr>
          </w:p>
        </w:tc>
        <w:tc>
          <w:tcPr>
            <w:tcW w:w="800" w:type="dxa"/>
            <w:vAlign w:val="bottom"/>
            <w:tcBorders>
              <w:bottom w:val="single" w:sz="8" w:color="BCBEC0"/>
            </w:tcBorders>
          </w:tcPr>
          <w:p>
            <w:pPr>
              <w:spacing w:after="0"/>
              <w:rPr>
                <w:sz w:val="2"/>
                <w:szCs w:val="2"/>
                <w:color w:val="auto"/>
              </w:rPr>
            </w:pPr>
          </w:p>
        </w:tc>
        <w:tc>
          <w:tcPr>
            <w:tcW w:w="760" w:type="dxa"/>
            <w:vAlign w:val="bottom"/>
            <w:tcBorders>
              <w:bottom w:val="single" w:sz="8" w:color="BCBEC0"/>
            </w:tcBorders>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8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00" w:type="dxa"/>
            <w:vAlign w:val="bottom"/>
          </w:tcPr>
          <w:p>
            <w:pPr>
              <w:jc w:val="right"/>
              <w:ind w:right="76"/>
              <w:spacing w:after="0"/>
              <w:rPr>
                <w:sz w:val="20"/>
                <w:szCs w:val="20"/>
                <w:color w:val="auto"/>
              </w:rPr>
            </w:pPr>
            <w:r>
              <w:rPr>
                <w:rFonts w:ascii="Arial" w:cs="Arial" w:eastAsia="Arial" w:hAnsi="Arial"/>
                <w:sz w:val="13"/>
                <w:szCs w:val="13"/>
                <w:color w:val="auto"/>
              </w:rPr>
              <w:t>270,000</w:t>
            </w:r>
          </w:p>
        </w:tc>
        <w:tc>
          <w:tcPr>
            <w:tcW w:w="800" w:type="dxa"/>
            <w:vAlign w:val="bottom"/>
          </w:tcPr>
          <w:p>
            <w:pPr>
              <w:jc w:val="right"/>
              <w:ind w:right="97"/>
              <w:spacing w:after="0"/>
              <w:rPr>
                <w:sz w:val="20"/>
                <w:szCs w:val="20"/>
                <w:color w:val="auto"/>
              </w:rPr>
            </w:pPr>
            <w:r>
              <w:rPr>
                <w:rFonts w:ascii="Arial" w:cs="Arial" w:eastAsia="Arial" w:hAnsi="Arial"/>
                <w:sz w:val="13"/>
                <w:szCs w:val="13"/>
                <w:color w:val="auto"/>
              </w:rPr>
              <w:t>540,000</w:t>
            </w:r>
          </w:p>
        </w:tc>
        <w:tc>
          <w:tcPr>
            <w:tcW w:w="740" w:type="dxa"/>
            <w:vAlign w:val="bottom"/>
          </w:tcPr>
          <w:p>
            <w:pPr>
              <w:jc w:val="right"/>
              <w:ind w:right="17"/>
              <w:spacing w:after="0"/>
              <w:rPr>
                <w:sz w:val="20"/>
                <w:szCs w:val="20"/>
                <w:color w:val="auto"/>
              </w:rPr>
            </w:pPr>
            <w:r>
              <w:rPr>
                <w:rFonts w:ascii="Arial" w:cs="Arial" w:eastAsia="Arial" w:hAnsi="Arial"/>
                <w:sz w:val="13"/>
                <w:szCs w:val="13"/>
                <w:color w:val="auto"/>
              </w:rPr>
              <w:t>1,080,000</w:t>
            </w:r>
          </w:p>
        </w:tc>
        <w:tc>
          <w:tcPr>
            <w:tcW w:w="92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157"/>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137"/>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8"/>
        </w:trPr>
        <w:tc>
          <w:tcPr>
            <w:tcW w:w="880" w:type="dxa"/>
            <w:vAlign w:val="bottom"/>
            <w:vMerge w:val="restart"/>
          </w:tcPr>
          <w:p>
            <w:pPr>
              <w:ind w:left="20"/>
              <w:spacing w:after="0"/>
              <w:rPr>
                <w:sz w:val="20"/>
                <w:szCs w:val="20"/>
                <w:color w:val="auto"/>
              </w:rPr>
            </w:pPr>
            <w:r>
              <w:rPr>
                <w:rFonts w:ascii="Arial" w:cs="Arial" w:eastAsia="Arial" w:hAnsi="Arial"/>
                <w:sz w:val="13"/>
                <w:szCs w:val="13"/>
                <w:b w:val="1"/>
                <w:bCs w:val="1"/>
                <w:color w:val="0C3471"/>
              </w:rPr>
              <w:t>De'Mon L.</w:t>
            </w:r>
          </w:p>
        </w:tc>
        <w:tc>
          <w:tcPr>
            <w:tcW w:w="1000" w:type="dxa"/>
            <w:vAlign w:val="bottom"/>
            <w:tcBorders>
              <w:bottom w:val="single" w:sz="8" w:color="BCBEC0"/>
            </w:tcBorders>
          </w:tcPr>
          <w:p>
            <w:pPr>
              <w:spacing w:after="0"/>
              <w:rPr>
                <w:sz w:val="2"/>
                <w:szCs w:val="2"/>
                <w:color w:val="auto"/>
              </w:rPr>
            </w:pPr>
          </w:p>
        </w:tc>
        <w:tc>
          <w:tcPr>
            <w:tcW w:w="1100" w:type="dxa"/>
            <w:vAlign w:val="bottom"/>
            <w:tcBorders>
              <w:bottom w:val="single" w:sz="8" w:color="BCBEC0"/>
            </w:tcBorders>
          </w:tcPr>
          <w:p>
            <w:pPr>
              <w:spacing w:after="0"/>
              <w:rPr>
                <w:sz w:val="2"/>
                <w:szCs w:val="2"/>
                <w:color w:val="auto"/>
              </w:rPr>
            </w:pPr>
          </w:p>
        </w:tc>
        <w:tc>
          <w:tcPr>
            <w:tcW w:w="900" w:type="dxa"/>
            <w:vAlign w:val="bottom"/>
            <w:tcBorders>
              <w:bottom w:val="single" w:sz="8" w:color="BCBEC0"/>
            </w:tcBorders>
          </w:tcPr>
          <w:p>
            <w:pPr>
              <w:spacing w:after="0"/>
              <w:rPr>
                <w:sz w:val="2"/>
                <w:szCs w:val="2"/>
                <w:color w:val="auto"/>
              </w:rPr>
            </w:pPr>
          </w:p>
        </w:tc>
        <w:tc>
          <w:tcPr>
            <w:tcW w:w="800" w:type="dxa"/>
            <w:vAlign w:val="bottom"/>
            <w:tcBorders>
              <w:bottom w:val="single" w:sz="8" w:color="BCBEC0"/>
            </w:tcBorders>
          </w:tcPr>
          <w:p>
            <w:pPr>
              <w:spacing w:after="0"/>
              <w:rPr>
                <w:sz w:val="2"/>
                <w:szCs w:val="2"/>
                <w:color w:val="auto"/>
              </w:rPr>
            </w:pPr>
          </w:p>
        </w:tc>
        <w:tc>
          <w:tcPr>
            <w:tcW w:w="740" w:type="dxa"/>
            <w:vAlign w:val="bottom"/>
            <w:tcBorders>
              <w:bottom w:val="single" w:sz="8" w:color="BCBEC0"/>
            </w:tcBorders>
          </w:tcPr>
          <w:p>
            <w:pPr>
              <w:spacing w:after="0"/>
              <w:rPr>
                <w:sz w:val="2"/>
                <w:szCs w:val="2"/>
                <w:color w:val="auto"/>
              </w:rPr>
            </w:pPr>
          </w:p>
        </w:tc>
        <w:tc>
          <w:tcPr>
            <w:tcW w:w="920" w:type="dxa"/>
            <w:vAlign w:val="bottom"/>
            <w:tcBorders>
              <w:bottom w:val="single" w:sz="8" w:color="BCBEC0"/>
            </w:tcBorders>
          </w:tcPr>
          <w:p>
            <w:pPr>
              <w:spacing w:after="0"/>
              <w:rPr>
                <w:sz w:val="2"/>
                <w:szCs w:val="2"/>
                <w:color w:val="auto"/>
              </w:rPr>
            </w:pPr>
          </w:p>
        </w:tc>
        <w:tc>
          <w:tcPr>
            <w:tcW w:w="660" w:type="dxa"/>
            <w:vAlign w:val="bottom"/>
            <w:tcBorders>
              <w:bottom w:val="single" w:sz="8" w:color="BCBEC0"/>
            </w:tcBorders>
          </w:tcPr>
          <w:p>
            <w:pPr>
              <w:spacing w:after="0"/>
              <w:rPr>
                <w:sz w:val="2"/>
                <w:szCs w:val="2"/>
                <w:color w:val="auto"/>
              </w:rPr>
            </w:pPr>
          </w:p>
        </w:tc>
        <w:tc>
          <w:tcPr>
            <w:tcW w:w="820" w:type="dxa"/>
            <w:vAlign w:val="bottom"/>
            <w:tcBorders>
              <w:bottom w:val="single" w:sz="8" w:color="BCBEC0"/>
            </w:tcBorders>
          </w:tcPr>
          <w:p>
            <w:pPr>
              <w:spacing w:after="0"/>
              <w:rPr>
                <w:sz w:val="2"/>
                <w:szCs w:val="2"/>
                <w:color w:val="auto"/>
              </w:rPr>
            </w:pPr>
          </w:p>
        </w:tc>
        <w:tc>
          <w:tcPr>
            <w:tcW w:w="880" w:type="dxa"/>
            <w:vAlign w:val="bottom"/>
            <w:tcBorders>
              <w:bottom w:val="single" w:sz="8" w:color="BCBEC0"/>
            </w:tcBorders>
          </w:tcPr>
          <w:p>
            <w:pPr>
              <w:spacing w:after="0"/>
              <w:rPr>
                <w:sz w:val="2"/>
                <w:szCs w:val="2"/>
                <w:color w:val="auto"/>
              </w:rPr>
            </w:pPr>
          </w:p>
        </w:tc>
        <w:tc>
          <w:tcPr>
            <w:tcW w:w="980" w:type="dxa"/>
            <w:vAlign w:val="bottom"/>
            <w:tcBorders>
              <w:bottom w:val="single" w:sz="8" w:color="BCBEC0"/>
            </w:tcBorders>
          </w:tcPr>
          <w:p>
            <w:pPr>
              <w:spacing w:after="0"/>
              <w:rPr>
                <w:sz w:val="2"/>
                <w:szCs w:val="2"/>
                <w:color w:val="auto"/>
              </w:rPr>
            </w:pPr>
          </w:p>
        </w:tc>
        <w:tc>
          <w:tcPr>
            <w:tcW w:w="800" w:type="dxa"/>
            <w:vAlign w:val="bottom"/>
            <w:tcBorders>
              <w:bottom w:val="single" w:sz="8" w:color="BCBEC0"/>
            </w:tcBorders>
          </w:tcPr>
          <w:p>
            <w:pPr>
              <w:spacing w:after="0"/>
              <w:rPr>
                <w:sz w:val="2"/>
                <w:szCs w:val="2"/>
                <w:color w:val="auto"/>
              </w:rPr>
            </w:pPr>
          </w:p>
        </w:tc>
        <w:tc>
          <w:tcPr>
            <w:tcW w:w="760" w:type="dxa"/>
            <w:vAlign w:val="bottom"/>
            <w:tcBorders>
              <w:bottom w:val="single" w:sz="8" w:color="BCBEC0"/>
            </w:tcBorders>
          </w:tcPr>
          <w:p>
            <w:pPr>
              <w:spacing w:after="0"/>
              <w:rPr>
                <w:sz w:val="2"/>
                <w:szCs w:val="2"/>
                <w:color w:val="auto"/>
              </w:rPr>
            </w:pPr>
          </w:p>
        </w:tc>
        <w:tc>
          <w:tcPr>
            <w:tcW w:w="0" w:type="dxa"/>
            <w:vAlign w:val="bottom"/>
          </w:tcPr>
          <w:p>
            <w:pPr>
              <w:spacing w:after="0"/>
              <w:rPr>
                <w:sz w:val="1"/>
                <w:szCs w:val="1"/>
                <w:color w:val="auto"/>
              </w:rPr>
            </w:pPr>
          </w:p>
        </w:tc>
      </w:tr>
      <w:tr>
        <w:trPr>
          <w:trHeight w:val="138"/>
        </w:trPr>
        <w:tc>
          <w:tcPr>
            <w:tcW w:w="880" w:type="dxa"/>
            <w:vAlign w:val="bottom"/>
            <w:vMerge w:val="continue"/>
          </w:tcPr>
          <w:p>
            <w:pPr>
              <w:spacing w:after="0"/>
              <w:rPr>
                <w:sz w:val="11"/>
                <w:szCs w:val="11"/>
                <w:color w:val="auto"/>
              </w:rPr>
            </w:pPr>
          </w:p>
        </w:tc>
        <w:tc>
          <w:tcPr>
            <w:tcW w:w="1000" w:type="dxa"/>
            <w:vAlign w:val="bottom"/>
          </w:tcPr>
          <w:p>
            <w:pPr>
              <w:jc w:val="right"/>
              <w:ind w:right="116"/>
              <w:spacing w:after="0" w:line="138" w:lineRule="exact"/>
              <w:rPr>
                <w:sz w:val="20"/>
                <w:szCs w:val="20"/>
                <w:color w:val="auto"/>
              </w:rPr>
            </w:pPr>
            <w:r>
              <w:rPr>
                <w:rFonts w:ascii="Arial" w:cs="Arial" w:eastAsia="Arial" w:hAnsi="Arial"/>
                <w:sz w:val="13"/>
                <w:szCs w:val="13"/>
                <w:color w:val="auto"/>
              </w:rPr>
              <w:t>1/2/2025</w:t>
            </w:r>
          </w:p>
        </w:tc>
        <w:tc>
          <w:tcPr>
            <w:tcW w:w="1100" w:type="dxa"/>
            <w:vAlign w:val="bottom"/>
          </w:tcPr>
          <w:p>
            <w:pPr>
              <w:jc w:val="right"/>
              <w:spacing w:after="0" w:line="138" w:lineRule="exact"/>
              <w:rPr>
                <w:sz w:val="20"/>
                <w:szCs w:val="20"/>
                <w:color w:val="auto"/>
              </w:rPr>
            </w:pPr>
            <w:r>
              <w:rPr>
                <w:rFonts w:ascii="Arial" w:cs="Arial" w:eastAsia="Arial" w:hAnsi="Arial"/>
                <w:sz w:val="13"/>
                <w:szCs w:val="13"/>
                <w:color w:val="auto"/>
              </w:rPr>
              <w:t>12/16/2024</w:t>
            </w:r>
          </w:p>
        </w:tc>
        <w:tc>
          <w:tcPr>
            <w:tcW w:w="900" w:type="dxa"/>
            <w:vAlign w:val="bottom"/>
          </w:tcPr>
          <w:p>
            <w:pPr>
              <w:jc w:val="right"/>
              <w:ind w:right="76"/>
              <w:spacing w:after="0" w:line="138" w:lineRule="exact"/>
              <w:rPr>
                <w:sz w:val="20"/>
                <w:szCs w:val="20"/>
                <w:color w:val="auto"/>
              </w:rPr>
            </w:pPr>
            <w:r>
              <w:rPr>
                <w:rFonts w:ascii="Arial" w:cs="Arial" w:eastAsia="Arial" w:hAnsi="Arial"/>
                <w:sz w:val="13"/>
                <w:szCs w:val="13"/>
                <w:color w:val="auto"/>
              </w:rPr>
              <w:t>—</w:t>
            </w:r>
          </w:p>
        </w:tc>
        <w:tc>
          <w:tcPr>
            <w:tcW w:w="800" w:type="dxa"/>
            <w:vAlign w:val="bottom"/>
          </w:tcPr>
          <w:p>
            <w:pPr>
              <w:jc w:val="right"/>
              <w:ind w:right="97"/>
              <w:spacing w:after="0" w:line="138" w:lineRule="exact"/>
              <w:rPr>
                <w:sz w:val="20"/>
                <w:szCs w:val="20"/>
                <w:color w:val="auto"/>
              </w:rPr>
            </w:pPr>
            <w:r>
              <w:rPr>
                <w:rFonts w:ascii="Arial" w:cs="Arial" w:eastAsia="Arial" w:hAnsi="Arial"/>
                <w:sz w:val="13"/>
                <w:szCs w:val="13"/>
                <w:color w:val="auto"/>
              </w:rPr>
              <w:t>—</w:t>
            </w:r>
          </w:p>
        </w:tc>
        <w:tc>
          <w:tcPr>
            <w:tcW w:w="740" w:type="dxa"/>
            <w:vAlign w:val="bottom"/>
          </w:tcPr>
          <w:p>
            <w:pPr>
              <w:jc w:val="right"/>
              <w:ind w:right="17"/>
              <w:spacing w:after="0" w:line="138" w:lineRule="exact"/>
              <w:rPr>
                <w:sz w:val="20"/>
                <w:szCs w:val="20"/>
                <w:color w:val="auto"/>
              </w:rPr>
            </w:pPr>
            <w:r>
              <w:rPr>
                <w:rFonts w:ascii="Arial" w:cs="Arial" w:eastAsia="Arial" w:hAnsi="Arial"/>
                <w:sz w:val="13"/>
                <w:szCs w:val="13"/>
                <w:color w:val="auto"/>
              </w:rPr>
              <w:t>—</w:t>
            </w:r>
          </w:p>
        </w:tc>
        <w:tc>
          <w:tcPr>
            <w:tcW w:w="920" w:type="dxa"/>
            <w:vAlign w:val="bottom"/>
          </w:tcPr>
          <w:p>
            <w:pPr>
              <w:jc w:val="right"/>
              <w:ind w:right="76"/>
              <w:spacing w:after="0" w:line="138" w:lineRule="exact"/>
              <w:rPr>
                <w:sz w:val="20"/>
                <w:szCs w:val="20"/>
                <w:color w:val="auto"/>
              </w:rPr>
            </w:pPr>
            <w:r>
              <w:rPr>
                <w:rFonts w:ascii="Arial" w:cs="Arial" w:eastAsia="Arial" w:hAnsi="Arial"/>
                <w:sz w:val="13"/>
                <w:szCs w:val="13"/>
                <w:color w:val="auto"/>
              </w:rPr>
              <w:t>3,362</w:t>
            </w:r>
          </w:p>
        </w:tc>
        <w:tc>
          <w:tcPr>
            <w:tcW w:w="660" w:type="dxa"/>
            <w:vAlign w:val="bottom"/>
          </w:tcPr>
          <w:p>
            <w:pPr>
              <w:jc w:val="right"/>
              <w:ind w:right="97"/>
              <w:spacing w:after="0" w:line="138" w:lineRule="exact"/>
              <w:rPr>
                <w:sz w:val="20"/>
                <w:szCs w:val="20"/>
                <w:color w:val="auto"/>
              </w:rPr>
            </w:pPr>
            <w:r>
              <w:rPr>
                <w:rFonts w:ascii="Arial" w:cs="Arial" w:eastAsia="Arial" w:hAnsi="Arial"/>
                <w:sz w:val="13"/>
                <w:szCs w:val="13"/>
                <w:color w:val="auto"/>
              </w:rPr>
              <w:t>6,723</w:t>
            </w:r>
          </w:p>
        </w:tc>
        <w:tc>
          <w:tcPr>
            <w:tcW w:w="820" w:type="dxa"/>
            <w:vAlign w:val="bottom"/>
          </w:tcPr>
          <w:p>
            <w:pPr>
              <w:jc w:val="right"/>
              <w:ind w:right="97"/>
              <w:spacing w:after="0" w:line="138" w:lineRule="exact"/>
              <w:rPr>
                <w:sz w:val="20"/>
                <w:szCs w:val="20"/>
                <w:color w:val="auto"/>
              </w:rPr>
            </w:pPr>
            <w:r>
              <w:rPr>
                <w:rFonts w:ascii="Arial" w:cs="Arial" w:eastAsia="Arial" w:hAnsi="Arial"/>
                <w:sz w:val="13"/>
                <w:szCs w:val="13"/>
                <w:color w:val="auto"/>
              </w:rPr>
              <w:t>13,446</w:t>
            </w:r>
          </w:p>
        </w:tc>
        <w:tc>
          <w:tcPr>
            <w:tcW w:w="880" w:type="dxa"/>
            <w:vAlign w:val="bottom"/>
          </w:tcPr>
          <w:p>
            <w:pPr>
              <w:jc w:val="right"/>
              <w:ind w:right="157"/>
              <w:spacing w:after="0" w:line="138" w:lineRule="exact"/>
              <w:rPr>
                <w:sz w:val="20"/>
                <w:szCs w:val="20"/>
                <w:color w:val="auto"/>
              </w:rPr>
            </w:pPr>
            <w:r>
              <w:rPr>
                <w:rFonts w:ascii="Arial" w:cs="Arial" w:eastAsia="Arial" w:hAnsi="Arial"/>
                <w:sz w:val="13"/>
                <w:szCs w:val="13"/>
                <w:color w:val="auto"/>
              </w:rPr>
              <w:t>—</w:t>
            </w:r>
          </w:p>
        </w:tc>
        <w:tc>
          <w:tcPr>
            <w:tcW w:w="980" w:type="dxa"/>
            <w:vAlign w:val="bottom"/>
          </w:tcPr>
          <w:p>
            <w:pPr>
              <w:jc w:val="right"/>
              <w:ind w:right="117"/>
              <w:spacing w:after="0" w:line="138" w:lineRule="exact"/>
              <w:rPr>
                <w:sz w:val="20"/>
                <w:szCs w:val="20"/>
                <w:color w:val="auto"/>
              </w:rPr>
            </w:pPr>
            <w:r>
              <w:rPr>
                <w:rFonts w:ascii="Arial" w:cs="Arial" w:eastAsia="Arial" w:hAnsi="Arial"/>
                <w:sz w:val="13"/>
                <w:szCs w:val="13"/>
                <w:color w:val="auto"/>
              </w:rPr>
              <w:t>—</w:t>
            </w:r>
          </w:p>
        </w:tc>
        <w:tc>
          <w:tcPr>
            <w:tcW w:w="800" w:type="dxa"/>
            <w:vAlign w:val="bottom"/>
          </w:tcPr>
          <w:p>
            <w:pPr>
              <w:jc w:val="right"/>
              <w:ind w:right="137"/>
              <w:spacing w:after="0" w:line="138" w:lineRule="exact"/>
              <w:rPr>
                <w:sz w:val="20"/>
                <w:szCs w:val="20"/>
                <w:color w:val="auto"/>
              </w:rPr>
            </w:pPr>
            <w:r>
              <w:rPr>
                <w:rFonts w:ascii="Arial" w:cs="Arial" w:eastAsia="Arial" w:hAnsi="Arial"/>
                <w:sz w:val="13"/>
                <w:szCs w:val="13"/>
                <w:color w:val="auto"/>
              </w:rPr>
              <w:t>—</w:t>
            </w:r>
          </w:p>
        </w:tc>
        <w:tc>
          <w:tcPr>
            <w:tcW w:w="760" w:type="dxa"/>
            <w:vAlign w:val="bottom"/>
          </w:tcPr>
          <w:p>
            <w:pPr>
              <w:jc w:val="right"/>
              <w:spacing w:after="0" w:line="138" w:lineRule="exact"/>
              <w:rPr>
                <w:sz w:val="20"/>
                <w:szCs w:val="20"/>
                <w:color w:val="auto"/>
              </w:rPr>
            </w:pPr>
            <w:r>
              <w:rPr>
                <w:rFonts w:ascii="Arial" w:cs="Arial" w:eastAsia="Arial" w:hAnsi="Arial"/>
                <w:sz w:val="13"/>
                <w:szCs w:val="13"/>
                <w:color w:val="auto"/>
              </w:rPr>
              <w:t>674,989</w:t>
            </w:r>
          </w:p>
        </w:tc>
        <w:tc>
          <w:tcPr>
            <w:tcW w:w="0" w:type="dxa"/>
            <w:vAlign w:val="bottom"/>
          </w:tcPr>
          <w:p>
            <w:pPr>
              <w:spacing w:after="0"/>
              <w:rPr>
                <w:sz w:val="1"/>
                <w:szCs w:val="1"/>
                <w:color w:val="auto"/>
              </w:rPr>
            </w:pPr>
          </w:p>
        </w:tc>
      </w:tr>
      <w:tr>
        <w:trPr>
          <w:trHeight w:val="58"/>
        </w:trPr>
        <w:tc>
          <w:tcPr>
            <w:tcW w:w="880" w:type="dxa"/>
            <w:vAlign w:val="bottom"/>
            <w:vMerge w:val="restart"/>
          </w:tcPr>
          <w:p>
            <w:pPr>
              <w:ind w:left="20"/>
              <w:spacing w:after="0"/>
              <w:rPr>
                <w:sz w:val="20"/>
                <w:szCs w:val="20"/>
                <w:color w:val="auto"/>
              </w:rPr>
            </w:pPr>
            <w:r>
              <w:rPr>
                <w:rFonts w:ascii="Arial" w:cs="Arial" w:eastAsia="Arial" w:hAnsi="Arial"/>
                <w:sz w:val="13"/>
                <w:szCs w:val="13"/>
                <w:b w:val="1"/>
                <w:bCs w:val="1"/>
                <w:color w:val="0C3471"/>
              </w:rPr>
              <w:t>Wiggins</w:t>
            </w:r>
          </w:p>
        </w:tc>
        <w:tc>
          <w:tcPr>
            <w:tcW w:w="1000" w:type="dxa"/>
            <w:vAlign w:val="bottom"/>
            <w:tcBorders>
              <w:bottom w:val="single" w:sz="8" w:color="BCBEC0"/>
            </w:tcBorders>
          </w:tcPr>
          <w:p>
            <w:pPr>
              <w:spacing w:after="0"/>
              <w:rPr>
                <w:sz w:val="5"/>
                <w:szCs w:val="5"/>
                <w:color w:val="auto"/>
              </w:rPr>
            </w:pPr>
          </w:p>
        </w:tc>
        <w:tc>
          <w:tcPr>
            <w:tcW w:w="1100" w:type="dxa"/>
            <w:vAlign w:val="bottom"/>
            <w:tcBorders>
              <w:bottom w:val="single" w:sz="8" w:color="BCBEC0"/>
            </w:tcBorders>
          </w:tcPr>
          <w:p>
            <w:pPr>
              <w:spacing w:after="0"/>
              <w:rPr>
                <w:sz w:val="5"/>
                <w:szCs w:val="5"/>
                <w:color w:val="auto"/>
              </w:rPr>
            </w:pPr>
          </w:p>
        </w:tc>
        <w:tc>
          <w:tcPr>
            <w:tcW w:w="900" w:type="dxa"/>
            <w:vAlign w:val="bottom"/>
            <w:tcBorders>
              <w:bottom w:val="single" w:sz="8" w:color="BCBEC0"/>
            </w:tcBorders>
          </w:tcPr>
          <w:p>
            <w:pPr>
              <w:spacing w:after="0"/>
              <w:rPr>
                <w:sz w:val="5"/>
                <w:szCs w:val="5"/>
                <w:color w:val="auto"/>
              </w:rPr>
            </w:pPr>
          </w:p>
        </w:tc>
        <w:tc>
          <w:tcPr>
            <w:tcW w:w="800" w:type="dxa"/>
            <w:vAlign w:val="bottom"/>
            <w:tcBorders>
              <w:bottom w:val="single" w:sz="8" w:color="BCBEC0"/>
            </w:tcBorders>
          </w:tcPr>
          <w:p>
            <w:pPr>
              <w:spacing w:after="0"/>
              <w:rPr>
                <w:sz w:val="5"/>
                <w:szCs w:val="5"/>
                <w:color w:val="auto"/>
              </w:rPr>
            </w:pPr>
          </w:p>
        </w:tc>
        <w:tc>
          <w:tcPr>
            <w:tcW w:w="740" w:type="dxa"/>
            <w:vAlign w:val="bottom"/>
            <w:tcBorders>
              <w:bottom w:val="single" w:sz="8" w:color="BCBEC0"/>
            </w:tcBorders>
          </w:tcPr>
          <w:p>
            <w:pPr>
              <w:spacing w:after="0"/>
              <w:rPr>
                <w:sz w:val="5"/>
                <w:szCs w:val="5"/>
                <w:color w:val="auto"/>
              </w:rPr>
            </w:pPr>
          </w:p>
        </w:tc>
        <w:tc>
          <w:tcPr>
            <w:tcW w:w="920" w:type="dxa"/>
            <w:vAlign w:val="bottom"/>
            <w:tcBorders>
              <w:bottom w:val="single" w:sz="8" w:color="BCBEC0"/>
            </w:tcBorders>
          </w:tcPr>
          <w:p>
            <w:pPr>
              <w:spacing w:after="0"/>
              <w:rPr>
                <w:sz w:val="5"/>
                <w:szCs w:val="5"/>
                <w:color w:val="auto"/>
              </w:rPr>
            </w:pPr>
          </w:p>
        </w:tc>
        <w:tc>
          <w:tcPr>
            <w:tcW w:w="660" w:type="dxa"/>
            <w:vAlign w:val="bottom"/>
            <w:tcBorders>
              <w:bottom w:val="single" w:sz="8" w:color="BCBEC0"/>
            </w:tcBorders>
          </w:tcPr>
          <w:p>
            <w:pPr>
              <w:spacing w:after="0"/>
              <w:rPr>
                <w:sz w:val="5"/>
                <w:szCs w:val="5"/>
                <w:color w:val="auto"/>
              </w:rPr>
            </w:pPr>
          </w:p>
        </w:tc>
        <w:tc>
          <w:tcPr>
            <w:tcW w:w="820" w:type="dxa"/>
            <w:vAlign w:val="bottom"/>
            <w:tcBorders>
              <w:bottom w:val="single" w:sz="8" w:color="BCBEC0"/>
            </w:tcBorders>
          </w:tcPr>
          <w:p>
            <w:pPr>
              <w:spacing w:after="0"/>
              <w:rPr>
                <w:sz w:val="5"/>
                <w:szCs w:val="5"/>
                <w:color w:val="auto"/>
              </w:rPr>
            </w:pPr>
          </w:p>
        </w:tc>
        <w:tc>
          <w:tcPr>
            <w:tcW w:w="880" w:type="dxa"/>
            <w:vAlign w:val="bottom"/>
            <w:tcBorders>
              <w:bottom w:val="single" w:sz="8" w:color="BCBEC0"/>
            </w:tcBorders>
          </w:tcPr>
          <w:p>
            <w:pPr>
              <w:spacing w:after="0"/>
              <w:rPr>
                <w:sz w:val="5"/>
                <w:szCs w:val="5"/>
                <w:color w:val="auto"/>
              </w:rPr>
            </w:pPr>
          </w:p>
        </w:tc>
        <w:tc>
          <w:tcPr>
            <w:tcW w:w="980" w:type="dxa"/>
            <w:vAlign w:val="bottom"/>
            <w:tcBorders>
              <w:bottom w:val="single" w:sz="8" w:color="BCBEC0"/>
            </w:tcBorders>
          </w:tcPr>
          <w:p>
            <w:pPr>
              <w:spacing w:after="0"/>
              <w:rPr>
                <w:sz w:val="5"/>
                <w:szCs w:val="5"/>
                <w:color w:val="auto"/>
              </w:rPr>
            </w:pPr>
          </w:p>
        </w:tc>
        <w:tc>
          <w:tcPr>
            <w:tcW w:w="800" w:type="dxa"/>
            <w:vAlign w:val="bottom"/>
            <w:tcBorders>
              <w:bottom w:val="single" w:sz="8" w:color="BCBEC0"/>
            </w:tcBorders>
          </w:tcPr>
          <w:p>
            <w:pPr>
              <w:spacing w:after="0"/>
              <w:rPr>
                <w:sz w:val="5"/>
                <w:szCs w:val="5"/>
                <w:color w:val="auto"/>
              </w:rPr>
            </w:pPr>
          </w:p>
        </w:tc>
        <w:tc>
          <w:tcPr>
            <w:tcW w:w="760" w:type="dxa"/>
            <w:vAlign w:val="bottom"/>
            <w:tcBorders>
              <w:bottom w:val="single" w:sz="8" w:color="BCBEC0"/>
            </w:tcBorders>
          </w:tcPr>
          <w:p>
            <w:pPr>
              <w:spacing w:after="0"/>
              <w:rPr>
                <w:sz w:val="5"/>
                <w:szCs w:val="5"/>
                <w:color w:val="auto"/>
              </w:rPr>
            </w:pPr>
          </w:p>
        </w:tc>
        <w:tc>
          <w:tcPr>
            <w:tcW w:w="0" w:type="dxa"/>
            <w:vAlign w:val="bottom"/>
          </w:tcPr>
          <w:p>
            <w:pPr>
              <w:spacing w:after="0"/>
              <w:rPr>
                <w:sz w:val="1"/>
                <w:szCs w:val="1"/>
                <w:color w:val="auto"/>
              </w:rPr>
            </w:pPr>
          </w:p>
        </w:tc>
      </w:tr>
      <w:tr>
        <w:trPr>
          <w:trHeight w:val="93"/>
        </w:trPr>
        <w:tc>
          <w:tcPr>
            <w:tcW w:w="880" w:type="dxa"/>
            <w:vAlign w:val="bottom"/>
            <w:vMerge w:val="continue"/>
          </w:tcPr>
          <w:p>
            <w:pPr>
              <w:spacing w:after="0"/>
              <w:rPr>
                <w:sz w:val="8"/>
                <w:szCs w:val="8"/>
                <w:color w:val="auto"/>
              </w:rPr>
            </w:pPr>
          </w:p>
        </w:tc>
        <w:tc>
          <w:tcPr>
            <w:tcW w:w="1000" w:type="dxa"/>
            <w:vAlign w:val="bottom"/>
            <w:vMerge w:val="restart"/>
          </w:tcPr>
          <w:p>
            <w:pPr>
              <w:jc w:val="right"/>
              <w:ind w:right="116"/>
              <w:spacing w:after="0"/>
              <w:rPr>
                <w:sz w:val="20"/>
                <w:szCs w:val="20"/>
                <w:color w:val="auto"/>
              </w:rPr>
            </w:pPr>
            <w:r>
              <w:rPr>
                <w:rFonts w:ascii="Arial" w:cs="Arial" w:eastAsia="Arial" w:hAnsi="Arial"/>
                <w:sz w:val="13"/>
                <w:szCs w:val="13"/>
                <w:color w:val="auto"/>
              </w:rPr>
              <w:t>1/2/2025</w:t>
            </w:r>
          </w:p>
        </w:tc>
        <w:tc>
          <w:tcPr>
            <w:tcW w:w="1100" w:type="dxa"/>
            <w:vAlign w:val="bottom"/>
            <w:vMerge w:val="restart"/>
          </w:tcPr>
          <w:p>
            <w:pPr>
              <w:jc w:val="right"/>
              <w:spacing w:after="0"/>
              <w:rPr>
                <w:sz w:val="20"/>
                <w:szCs w:val="20"/>
                <w:color w:val="auto"/>
              </w:rPr>
            </w:pPr>
            <w:r>
              <w:rPr>
                <w:rFonts w:ascii="Arial" w:cs="Arial" w:eastAsia="Arial" w:hAnsi="Arial"/>
                <w:sz w:val="13"/>
                <w:szCs w:val="13"/>
                <w:color w:val="auto"/>
              </w:rPr>
              <w:t>12/16/2024</w:t>
            </w:r>
          </w:p>
        </w:tc>
        <w:tc>
          <w:tcPr>
            <w:tcW w:w="900" w:type="dxa"/>
            <w:vAlign w:val="bottom"/>
            <w:vMerge w:val="restart"/>
          </w:tcPr>
          <w:p>
            <w:pPr>
              <w:jc w:val="right"/>
              <w:ind w:right="76"/>
              <w:spacing w:after="0"/>
              <w:rPr>
                <w:sz w:val="20"/>
                <w:szCs w:val="20"/>
                <w:color w:val="auto"/>
              </w:rPr>
            </w:pPr>
            <w:r>
              <w:rPr>
                <w:rFonts w:ascii="Arial" w:cs="Arial" w:eastAsia="Arial" w:hAnsi="Arial"/>
                <w:sz w:val="13"/>
                <w:szCs w:val="13"/>
                <w:color w:val="auto"/>
              </w:rPr>
              <w:t>—</w:t>
            </w:r>
          </w:p>
        </w:tc>
        <w:tc>
          <w:tcPr>
            <w:tcW w:w="800" w:type="dxa"/>
            <w:vAlign w:val="bottom"/>
            <w:vMerge w:val="restart"/>
          </w:tcPr>
          <w:p>
            <w:pPr>
              <w:jc w:val="right"/>
              <w:ind w:right="97"/>
              <w:spacing w:after="0"/>
              <w:rPr>
                <w:sz w:val="20"/>
                <w:szCs w:val="20"/>
                <w:color w:val="auto"/>
              </w:rPr>
            </w:pPr>
            <w:r>
              <w:rPr>
                <w:rFonts w:ascii="Arial" w:cs="Arial" w:eastAsia="Arial" w:hAnsi="Arial"/>
                <w:sz w:val="13"/>
                <w:szCs w:val="13"/>
                <w:color w:val="auto"/>
              </w:rPr>
              <w:t>—</w:t>
            </w:r>
          </w:p>
        </w:tc>
        <w:tc>
          <w:tcPr>
            <w:tcW w:w="740" w:type="dxa"/>
            <w:vAlign w:val="bottom"/>
            <w:vMerge w:val="restart"/>
          </w:tcPr>
          <w:p>
            <w:pPr>
              <w:jc w:val="right"/>
              <w:ind w:right="17"/>
              <w:spacing w:after="0"/>
              <w:rPr>
                <w:sz w:val="20"/>
                <w:szCs w:val="20"/>
                <w:color w:val="auto"/>
              </w:rPr>
            </w:pPr>
            <w:r>
              <w:rPr>
                <w:rFonts w:ascii="Arial" w:cs="Arial" w:eastAsia="Arial" w:hAnsi="Arial"/>
                <w:sz w:val="13"/>
                <w:szCs w:val="13"/>
                <w:color w:val="auto"/>
              </w:rPr>
              <w:t>—</w:t>
            </w:r>
          </w:p>
        </w:tc>
        <w:tc>
          <w:tcPr>
            <w:tcW w:w="920" w:type="dxa"/>
            <w:vAlign w:val="bottom"/>
            <w:vMerge w:val="restart"/>
          </w:tcPr>
          <w:p>
            <w:pPr>
              <w:jc w:val="right"/>
              <w:ind w:right="76"/>
              <w:spacing w:after="0"/>
              <w:rPr>
                <w:sz w:val="20"/>
                <w:szCs w:val="20"/>
                <w:color w:val="auto"/>
              </w:rPr>
            </w:pPr>
            <w:r>
              <w:rPr>
                <w:rFonts w:ascii="Arial" w:cs="Arial" w:eastAsia="Arial" w:hAnsi="Arial"/>
                <w:sz w:val="13"/>
                <w:szCs w:val="13"/>
                <w:color w:val="auto"/>
              </w:rPr>
              <w:t>—</w:t>
            </w:r>
          </w:p>
        </w:tc>
        <w:tc>
          <w:tcPr>
            <w:tcW w:w="660" w:type="dxa"/>
            <w:vAlign w:val="bottom"/>
            <w:vMerge w:val="restart"/>
          </w:tcPr>
          <w:p>
            <w:pPr>
              <w:jc w:val="right"/>
              <w:ind w:right="97"/>
              <w:spacing w:after="0"/>
              <w:rPr>
                <w:sz w:val="20"/>
                <w:szCs w:val="20"/>
                <w:color w:val="auto"/>
              </w:rPr>
            </w:pPr>
            <w:r>
              <w:rPr>
                <w:rFonts w:ascii="Arial" w:cs="Arial" w:eastAsia="Arial" w:hAnsi="Arial"/>
                <w:sz w:val="13"/>
                <w:szCs w:val="13"/>
                <w:color w:val="auto"/>
              </w:rPr>
              <w:t>—</w:t>
            </w:r>
          </w:p>
        </w:tc>
        <w:tc>
          <w:tcPr>
            <w:tcW w:w="820" w:type="dxa"/>
            <w:vAlign w:val="bottom"/>
            <w:vMerge w:val="restart"/>
          </w:tcPr>
          <w:p>
            <w:pPr>
              <w:jc w:val="right"/>
              <w:ind w:right="97"/>
              <w:spacing w:after="0"/>
              <w:rPr>
                <w:sz w:val="20"/>
                <w:szCs w:val="20"/>
                <w:color w:val="auto"/>
              </w:rPr>
            </w:pPr>
            <w:r>
              <w:rPr>
                <w:rFonts w:ascii="Arial" w:cs="Arial" w:eastAsia="Arial" w:hAnsi="Arial"/>
                <w:sz w:val="13"/>
                <w:szCs w:val="13"/>
                <w:color w:val="auto"/>
              </w:rPr>
              <w:t>—</w:t>
            </w:r>
          </w:p>
        </w:tc>
        <w:tc>
          <w:tcPr>
            <w:tcW w:w="880" w:type="dxa"/>
            <w:vAlign w:val="bottom"/>
            <w:vMerge w:val="restart"/>
          </w:tcPr>
          <w:p>
            <w:pPr>
              <w:jc w:val="right"/>
              <w:ind w:right="157"/>
              <w:spacing w:after="0"/>
              <w:rPr>
                <w:sz w:val="20"/>
                <w:szCs w:val="20"/>
                <w:color w:val="auto"/>
              </w:rPr>
            </w:pPr>
            <w:r>
              <w:rPr>
                <w:rFonts w:ascii="Arial" w:cs="Arial" w:eastAsia="Arial" w:hAnsi="Arial"/>
                <w:sz w:val="13"/>
                <w:szCs w:val="13"/>
                <w:color w:val="auto"/>
              </w:rPr>
              <w:t>3,362</w:t>
            </w:r>
          </w:p>
        </w:tc>
        <w:tc>
          <w:tcPr>
            <w:tcW w:w="980" w:type="dxa"/>
            <w:vAlign w:val="bottom"/>
            <w:vMerge w:val="restart"/>
          </w:tcPr>
          <w:p>
            <w:pPr>
              <w:jc w:val="right"/>
              <w:ind w:right="117"/>
              <w:spacing w:after="0"/>
              <w:rPr>
                <w:sz w:val="20"/>
                <w:szCs w:val="20"/>
                <w:color w:val="auto"/>
              </w:rPr>
            </w:pPr>
            <w:r>
              <w:rPr>
                <w:rFonts w:ascii="Arial" w:cs="Arial" w:eastAsia="Arial" w:hAnsi="Arial"/>
                <w:sz w:val="13"/>
                <w:szCs w:val="13"/>
                <w:color w:val="auto"/>
              </w:rPr>
              <w:t>—</w:t>
            </w:r>
          </w:p>
        </w:tc>
        <w:tc>
          <w:tcPr>
            <w:tcW w:w="800" w:type="dxa"/>
            <w:vAlign w:val="bottom"/>
            <w:vMerge w:val="restart"/>
          </w:tcPr>
          <w:p>
            <w:pPr>
              <w:jc w:val="right"/>
              <w:ind w:right="137"/>
              <w:spacing w:after="0"/>
              <w:rPr>
                <w:sz w:val="20"/>
                <w:szCs w:val="20"/>
                <w:color w:val="auto"/>
              </w:rPr>
            </w:pPr>
            <w:r>
              <w:rPr>
                <w:rFonts w:ascii="Arial" w:cs="Arial" w:eastAsia="Arial" w:hAnsi="Arial"/>
                <w:sz w:val="13"/>
                <w:szCs w:val="13"/>
                <w:color w:val="auto"/>
              </w:rPr>
              <w:t>—</w:t>
            </w: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337,545</w:t>
            </w:r>
          </w:p>
        </w:tc>
        <w:tc>
          <w:tcPr>
            <w:tcW w:w="0" w:type="dxa"/>
            <w:vAlign w:val="bottom"/>
          </w:tcPr>
          <w:p>
            <w:pPr>
              <w:spacing w:after="0"/>
              <w:rPr>
                <w:sz w:val="1"/>
                <w:szCs w:val="1"/>
                <w:color w:val="auto"/>
              </w:rPr>
            </w:pPr>
          </w:p>
        </w:tc>
      </w:tr>
      <w:tr>
        <w:trPr>
          <w:trHeight w:val="75"/>
        </w:trPr>
        <w:tc>
          <w:tcPr>
            <w:tcW w:w="88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92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820" w:type="dxa"/>
            <w:vAlign w:val="bottom"/>
            <w:vMerge w:val="continue"/>
          </w:tcPr>
          <w:p>
            <w:pPr>
              <w:spacing w:after="0"/>
              <w:rPr>
                <w:sz w:val="6"/>
                <w:szCs w:val="6"/>
                <w:color w:val="auto"/>
              </w:rPr>
            </w:pPr>
          </w:p>
        </w:tc>
        <w:tc>
          <w:tcPr>
            <w:tcW w:w="880" w:type="dxa"/>
            <w:vAlign w:val="bottom"/>
            <w:vMerge w:val="continue"/>
          </w:tcPr>
          <w:p>
            <w:pPr>
              <w:spacing w:after="0"/>
              <w:rPr>
                <w:sz w:val="6"/>
                <w:szCs w:val="6"/>
                <w:color w:val="auto"/>
              </w:rPr>
            </w:pPr>
          </w:p>
        </w:tc>
        <w:tc>
          <w:tcPr>
            <w:tcW w:w="98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8"/>
        </w:trPr>
        <w:tc>
          <w:tcPr>
            <w:tcW w:w="880" w:type="dxa"/>
            <w:vAlign w:val="bottom"/>
          </w:tcPr>
          <w:p>
            <w:pPr>
              <w:spacing w:after="0"/>
              <w:rPr>
                <w:sz w:val="2"/>
                <w:szCs w:val="2"/>
                <w:color w:val="auto"/>
              </w:rPr>
            </w:pPr>
          </w:p>
        </w:tc>
        <w:tc>
          <w:tcPr>
            <w:tcW w:w="1000" w:type="dxa"/>
            <w:vAlign w:val="bottom"/>
            <w:tcBorders>
              <w:bottom w:val="single" w:sz="8" w:color="BCBEC0"/>
            </w:tcBorders>
          </w:tcPr>
          <w:p>
            <w:pPr>
              <w:spacing w:after="0"/>
              <w:rPr>
                <w:sz w:val="2"/>
                <w:szCs w:val="2"/>
                <w:color w:val="auto"/>
              </w:rPr>
            </w:pPr>
          </w:p>
        </w:tc>
        <w:tc>
          <w:tcPr>
            <w:tcW w:w="1100" w:type="dxa"/>
            <w:vAlign w:val="bottom"/>
            <w:tcBorders>
              <w:bottom w:val="single" w:sz="8" w:color="BCBEC0"/>
            </w:tcBorders>
          </w:tcPr>
          <w:p>
            <w:pPr>
              <w:spacing w:after="0"/>
              <w:rPr>
                <w:sz w:val="2"/>
                <w:szCs w:val="2"/>
                <w:color w:val="auto"/>
              </w:rPr>
            </w:pPr>
          </w:p>
        </w:tc>
        <w:tc>
          <w:tcPr>
            <w:tcW w:w="900" w:type="dxa"/>
            <w:vAlign w:val="bottom"/>
            <w:tcBorders>
              <w:bottom w:val="single" w:sz="8" w:color="BCBEC0"/>
            </w:tcBorders>
          </w:tcPr>
          <w:p>
            <w:pPr>
              <w:spacing w:after="0"/>
              <w:rPr>
                <w:sz w:val="2"/>
                <w:szCs w:val="2"/>
                <w:color w:val="auto"/>
              </w:rPr>
            </w:pPr>
          </w:p>
        </w:tc>
        <w:tc>
          <w:tcPr>
            <w:tcW w:w="800" w:type="dxa"/>
            <w:vAlign w:val="bottom"/>
            <w:tcBorders>
              <w:bottom w:val="single" w:sz="8" w:color="BCBEC0"/>
            </w:tcBorders>
          </w:tcPr>
          <w:p>
            <w:pPr>
              <w:spacing w:after="0"/>
              <w:rPr>
                <w:sz w:val="2"/>
                <w:szCs w:val="2"/>
                <w:color w:val="auto"/>
              </w:rPr>
            </w:pPr>
          </w:p>
        </w:tc>
        <w:tc>
          <w:tcPr>
            <w:tcW w:w="740" w:type="dxa"/>
            <w:vAlign w:val="bottom"/>
            <w:tcBorders>
              <w:bottom w:val="single" w:sz="8" w:color="BCBEC0"/>
            </w:tcBorders>
          </w:tcPr>
          <w:p>
            <w:pPr>
              <w:spacing w:after="0"/>
              <w:rPr>
                <w:sz w:val="2"/>
                <w:szCs w:val="2"/>
                <w:color w:val="auto"/>
              </w:rPr>
            </w:pPr>
          </w:p>
        </w:tc>
        <w:tc>
          <w:tcPr>
            <w:tcW w:w="920" w:type="dxa"/>
            <w:vAlign w:val="bottom"/>
            <w:tcBorders>
              <w:bottom w:val="single" w:sz="8" w:color="BCBEC0"/>
            </w:tcBorders>
          </w:tcPr>
          <w:p>
            <w:pPr>
              <w:spacing w:after="0"/>
              <w:rPr>
                <w:sz w:val="2"/>
                <w:szCs w:val="2"/>
                <w:color w:val="auto"/>
              </w:rPr>
            </w:pPr>
          </w:p>
        </w:tc>
        <w:tc>
          <w:tcPr>
            <w:tcW w:w="660" w:type="dxa"/>
            <w:vAlign w:val="bottom"/>
            <w:tcBorders>
              <w:bottom w:val="single" w:sz="8" w:color="BCBEC0"/>
            </w:tcBorders>
          </w:tcPr>
          <w:p>
            <w:pPr>
              <w:spacing w:after="0"/>
              <w:rPr>
                <w:sz w:val="2"/>
                <w:szCs w:val="2"/>
                <w:color w:val="auto"/>
              </w:rPr>
            </w:pPr>
          </w:p>
        </w:tc>
        <w:tc>
          <w:tcPr>
            <w:tcW w:w="820" w:type="dxa"/>
            <w:vAlign w:val="bottom"/>
            <w:tcBorders>
              <w:bottom w:val="single" w:sz="8" w:color="BCBEC0"/>
            </w:tcBorders>
          </w:tcPr>
          <w:p>
            <w:pPr>
              <w:spacing w:after="0"/>
              <w:rPr>
                <w:sz w:val="2"/>
                <w:szCs w:val="2"/>
                <w:color w:val="auto"/>
              </w:rPr>
            </w:pPr>
          </w:p>
        </w:tc>
        <w:tc>
          <w:tcPr>
            <w:tcW w:w="880" w:type="dxa"/>
            <w:vAlign w:val="bottom"/>
            <w:tcBorders>
              <w:bottom w:val="single" w:sz="8" w:color="BCBEC0"/>
            </w:tcBorders>
          </w:tcPr>
          <w:p>
            <w:pPr>
              <w:spacing w:after="0"/>
              <w:rPr>
                <w:sz w:val="2"/>
                <w:szCs w:val="2"/>
                <w:color w:val="auto"/>
              </w:rPr>
            </w:pPr>
          </w:p>
        </w:tc>
        <w:tc>
          <w:tcPr>
            <w:tcW w:w="980" w:type="dxa"/>
            <w:vAlign w:val="bottom"/>
            <w:tcBorders>
              <w:bottom w:val="single" w:sz="8" w:color="BCBEC0"/>
            </w:tcBorders>
          </w:tcPr>
          <w:p>
            <w:pPr>
              <w:spacing w:after="0"/>
              <w:rPr>
                <w:sz w:val="2"/>
                <w:szCs w:val="2"/>
                <w:color w:val="auto"/>
              </w:rPr>
            </w:pPr>
          </w:p>
        </w:tc>
        <w:tc>
          <w:tcPr>
            <w:tcW w:w="800" w:type="dxa"/>
            <w:vAlign w:val="bottom"/>
            <w:tcBorders>
              <w:bottom w:val="single" w:sz="8" w:color="BCBEC0"/>
            </w:tcBorders>
          </w:tcPr>
          <w:p>
            <w:pPr>
              <w:spacing w:after="0"/>
              <w:rPr>
                <w:sz w:val="2"/>
                <w:szCs w:val="2"/>
                <w:color w:val="auto"/>
              </w:rPr>
            </w:pPr>
          </w:p>
        </w:tc>
        <w:tc>
          <w:tcPr>
            <w:tcW w:w="760" w:type="dxa"/>
            <w:vAlign w:val="bottom"/>
            <w:tcBorders>
              <w:bottom w:val="single" w:sz="8" w:color="BCBEC0"/>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880" w:type="dxa"/>
            <w:vAlign w:val="bottom"/>
          </w:tcPr>
          <w:p>
            <w:pPr>
              <w:spacing w:after="0"/>
              <w:rPr>
                <w:sz w:val="14"/>
                <w:szCs w:val="14"/>
                <w:color w:val="auto"/>
              </w:rPr>
            </w:pPr>
          </w:p>
        </w:tc>
        <w:tc>
          <w:tcPr>
            <w:tcW w:w="1000" w:type="dxa"/>
            <w:vAlign w:val="bottom"/>
          </w:tcPr>
          <w:p>
            <w:pPr>
              <w:jc w:val="right"/>
              <w:ind w:right="116"/>
              <w:spacing w:after="0"/>
              <w:rPr>
                <w:sz w:val="20"/>
                <w:szCs w:val="20"/>
                <w:color w:val="auto"/>
              </w:rPr>
            </w:pPr>
            <w:r>
              <w:rPr>
                <w:rFonts w:ascii="Arial" w:cs="Arial" w:eastAsia="Arial" w:hAnsi="Arial"/>
                <w:sz w:val="13"/>
                <w:szCs w:val="13"/>
                <w:color w:val="auto"/>
              </w:rPr>
              <w:t>1/2/2025</w:t>
            </w:r>
          </w:p>
        </w:tc>
        <w:tc>
          <w:tcPr>
            <w:tcW w:w="1100" w:type="dxa"/>
            <w:vAlign w:val="bottom"/>
          </w:tcPr>
          <w:p>
            <w:pPr>
              <w:jc w:val="right"/>
              <w:spacing w:after="0"/>
              <w:rPr>
                <w:sz w:val="20"/>
                <w:szCs w:val="20"/>
                <w:color w:val="auto"/>
              </w:rPr>
            </w:pPr>
            <w:r>
              <w:rPr>
                <w:rFonts w:ascii="Arial" w:cs="Arial" w:eastAsia="Arial" w:hAnsi="Arial"/>
                <w:sz w:val="13"/>
                <w:szCs w:val="13"/>
                <w:color w:val="auto"/>
              </w:rPr>
              <w:t>12/16/2024</w:t>
            </w:r>
          </w:p>
        </w:tc>
        <w:tc>
          <w:tcPr>
            <w:tcW w:w="90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157"/>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117"/>
              <w:spacing w:after="0"/>
              <w:rPr>
                <w:sz w:val="20"/>
                <w:szCs w:val="20"/>
                <w:color w:val="auto"/>
              </w:rPr>
            </w:pPr>
            <w:r>
              <w:rPr>
                <w:rFonts w:ascii="Arial" w:cs="Arial" w:eastAsia="Arial" w:hAnsi="Arial"/>
                <w:sz w:val="13"/>
                <w:szCs w:val="13"/>
                <w:color w:val="auto"/>
              </w:rPr>
              <w:t>9,188</w:t>
            </w:r>
          </w:p>
        </w:tc>
        <w:tc>
          <w:tcPr>
            <w:tcW w:w="800" w:type="dxa"/>
            <w:vAlign w:val="bottom"/>
          </w:tcPr>
          <w:p>
            <w:pPr>
              <w:jc w:val="right"/>
              <w:ind w:right="137"/>
              <w:spacing w:after="0"/>
              <w:rPr>
                <w:sz w:val="20"/>
                <w:szCs w:val="20"/>
                <w:color w:val="auto"/>
              </w:rPr>
            </w:pPr>
            <w:r>
              <w:rPr>
                <w:rFonts w:ascii="Arial" w:cs="Arial" w:eastAsia="Arial" w:hAnsi="Arial"/>
                <w:sz w:val="13"/>
                <w:szCs w:val="13"/>
                <w:color w:val="auto"/>
              </w:rPr>
              <w:t>100.40</w:t>
            </w:r>
          </w:p>
        </w:tc>
        <w:tc>
          <w:tcPr>
            <w:tcW w:w="760" w:type="dxa"/>
            <w:vAlign w:val="bottom"/>
          </w:tcPr>
          <w:p>
            <w:pPr>
              <w:jc w:val="right"/>
              <w:spacing w:after="0"/>
              <w:rPr>
                <w:sz w:val="20"/>
                <w:szCs w:val="20"/>
                <w:color w:val="auto"/>
              </w:rPr>
            </w:pPr>
            <w:r>
              <w:rPr>
                <w:rFonts w:ascii="Arial" w:cs="Arial" w:eastAsia="Arial" w:hAnsi="Arial"/>
                <w:sz w:val="13"/>
                <w:szCs w:val="13"/>
                <w:color w:val="auto"/>
              </w:rPr>
              <w:t>337,492</w:t>
            </w:r>
          </w:p>
        </w:tc>
        <w:tc>
          <w:tcPr>
            <w:tcW w:w="0" w:type="dxa"/>
            <w:vAlign w:val="bottom"/>
          </w:tcPr>
          <w:p>
            <w:pPr>
              <w:spacing w:after="0"/>
              <w:rPr>
                <w:sz w:val="1"/>
                <w:szCs w:val="1"/>
                <w:color w:val="auto"/>
              </w:rPr>
            </w:pPr>
          </w:p>
        </w:tc>
      </w:tr>
      <w:tr>
        <w:trPr>
          <w:trHeight w:val="28"/>
        </w:trPr>
        <w:tc>
          <w:tcPr>
            <w:tcW w:w="880" w:type="dxa"/>
            <w:vAlign w:val="bottom"/>
          </w:tcPr>
          <w:p>
            <w:pPr>
              <w:spacing w:after="0"/>
              <w:rPr>
                <w:sz w:val="2"/>
                <w:szCs w:val="2"/>
                <w:color w:val="auto"/>
              </w:rPr>
            </w:pPr>
          </w:p>
        </w:tc>
        <w:tc>
          <w:tcPr>
            <w:tcW w:w="1000" w:type="dxa"/>
            <w:vAlign w:val="bottom"/>
            <w:tcBorders>
              <w:bottom w:val="single" w:sz="8" w:color="BCBEC0"/>
            </w:tcBorders>
          </w:tcPr>
          <w:p>
            <w:pPr>
              <w:spacing w:after="0"/>
              <w:rPr>
                <w:sz w:val="2"/>
                <w:szCs w:val="2"/>
                <w:color w:val="auto"/>
              </w:rPr>
            </w:pPr>
          </w:p>
        </w:tc>
        <w:tc>
          <w:tcPr>
            <w:tcW w:w="1100" w:type="dxa"/>
            <w:vAlign w:val="bottom"/>
            <w:tcBorders>
              <w:bottom w:val="single" w:sz="8" w:color="BCBEC0"/>
            </w:tcBorders>
          </w:tcPr>
          <w:p>
            <w:pPr>
              <w:spacing w:after="0"/>
              <w:rPr>
                <w:sz w:val="2"/>
                <w:szCs w:val="2"/>
                <w:color w:val="auto"/>
              </w:rPr>
            </w:pPr>
          </w:p>
        </w:tc>
        <w:tc>
          <w:tcPr>
            <w:tcW w:w="900" w:type="dxa"/>
            <w:vAlign w:val="bottom"/>
            <w:tcBorders>
              <w:bottom w:val="single" w:sz="8" w:color="BCBEC0"/>
            </w:tcBorders>
          </w:tcPr>
          <w:p>
            <w:pPr>
              <w:spacing w:after="0"/>
              <w:rPr>
                <w:sz w:val="2"/>
                <w:szCs w:val="2"/>
                <w:color w:val="auto"/>
              </w:rPr>
            </w:pPr>
          </w:p>
        </w:tc>
        <w:tc>
          <w:tcPr>
            <w:tcW w:w="800" w:type="dxa"/>
            <w:vAlign w:val="bottom"/>
            <w:tcBorders>
              <w:bottom w:val="single" w:sz="8" w:color="BCBEC0"/>
            </w:tcBorders>
          </w:tcPr>
          <w:p>
            <w:pPr>
              <w:spacing w:after="0"/>
              <w:rPr>
                <w:sz w:val="2"/>
                <w:szCs w:val="2"/>
                <w:color w:val="auto"/>
              </w:rPr>
            </w:pPr>
          </w:p>
        </w:tc>
        <w:tc>
          <w:tcPr>
            <w:tcW w:w="740" w:type="dxa"/>
            <w:vAlign w:val="bottom"/>
            <w:tcBorders>
              <w:bottom w:val="single" w:sz="8" w:color="BCBEC0"/>
            </w:tcBorders>
          </w:tcPr>
          <w:p>
            <w:pPr>
              <w:spacing w:after="0"/>
              <w:rPr>
                <w:sz w:val="2"/>
                <w:szCs w:val="2"/>
                <w:color w:val="auto"/>
              </w:rPr>
            </w:pPr>
          </w:p>
        </w:tc>
        <w:tc>
          <w:tcPr>
            <w:tcW w:w="920" w:type="dxa"/>
            <w:vAlign w:val="bottom"/>
            <w:tcBorders>
              <w:bottom w:val="single" w:sz="8" w:color="BCBEC0"/>
            </w:tcBorders>
          </w:tcPr>
          <w:p>
            <w:pPr>
              <w:spacing w:after="0"/>
              <w:rPr>
                <w:sz w:val="2"/>
                <w:szCs w:val="2"/>
                <w:color w:val="auto"/>
              </w:rPr>
            </w:pPr>
          </w:p>
        </w:tc>
        <w:tc>
          <w:tcPr>
            <w:tcW w:w="660" w:type="dxa"/>
            <w:vAlign w:val="bottom"/>
            <w:tcBorders>
              <w:bottom w:val="single" w:sz="8" w:color="BCBEC0"/>
            </w:tcBorders>
          </w:tcPr>
          <w:p>
            <w:pPr>
              <w:spacing w:after="0"/>
              <w:rPr>
                <w:sz w:val="2"/>
                <w:szCs w:val="2"/>
                <w:color w:val="auto"/>
              </w:rPr>
            </w:pPr>
          </w:p>
        </w:tc>
        <w:tc>
          <w:tcPr>
            <w:tcW w:w="820" w:type="dxa"/>
            <w:vAlign w:val="bottom"/>
            <w:tcBorders>
              <w:bottom w:val="single" w:sz="8" w:color="BCBEC0"/>
            </w:tcBorders>
          </w:tcPr>
          <w:p>
            <w:pPr>
              <w:spacing w:after="0"/>
              <w:rPr>
                <w:sz w:val="2"/>
                <w:szCs w:val="2"/>
                <w:color w:val="auto"/>
              </w:rPr>
            </w:pPr>
          </w:p>
        </w:tc>
        <w:tc>
          <w:tcPr>
            <w:tcW w:w="880" w:type="dxa"/>
            <w:vAlign w:val="bottom"/>
            <w:tcBorders>
              <w:bottom w:val="single" w:sz="8" w:color="BCBEC0"/>
            </w:tcBorders>
          </w:tcPr>
          <w:p>
            <w:pPr>
              <w:spacing w:after="0"/>
              <w:rPr>
                <w:sz w:val="2"/>
                <w:szCs w:val="2"/>
                <w:color w:val="auto"/>
              </w:rPr>
            </w:pPr>
          </w:p>
        </w:tc>
        <w:tc>
          <w:tcPr>
            <w:tcW w:w="980" w:type="dxa"/>
            <w:vAlign w:val="bottom"/>
            <w:tcBorders>
              <w:bottom w:val="single" w:sz="8" w:color="BCBEC0"/>
            </w:tcBorders>
          </w:tcPr>
          <w:p>
            <w:pPr>
              <w:spacing w:after="0"/>
              <w:rPr>
                <w:sz w:val="2"/>
                <w:szCs w:val="2"/>
                <w:color w:val="auto"/>
              </w:rPr>
            </w:pPr>
          </w:p>
        </w:tc>
        <w:tc>
          <w:tcPr>
            <w:tcW w:w="800" w:type="dxa"/>
            <w:vAlign w:val="bottom"/>
            <w:tcBorders>
              <w:bottom w:val="single" w:sz="8" w:color="BCBEC0"/>
            </w:tcBorders>
          </w:tcPr>
          <w:p>
            <w:pPr>
              <w:spacing w:after="0"/>
              <w:rPr>
                <w:sz w:val="2"/>
                <w:szCs w:val="2"/>
                <w:color w:val="auto"/>
              </w:rPr>
            </w:pPr>
          </w:p>
        </w:tc>
        <w:tc>
          <w:tcPr>
            <w:tcW w:w="760" w:type="dxa"/>
            <w:vAlign w:val="bottom"/>
            <w:tcBorders>
              <w:bottom w:val="single" w:sz="8" w:color="BCBEC0"/>
            </w:tcBorders>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8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00" w:type="dxa"/>
            <w:vAlign w:val="bottom"/>
          </w:tcPr>
          <w:p>
            <w:pPr>
              <w:jc w:val="right"/>
              <w:ind w:right="76"/>
              <w:spacing w:after="0"/>
              <w:rPr>
                <w:sz w:val="20"/>
                <w:szCs w:val="20"/>
                <w:color w:val="auto"/>
              </w:rPr>
            </w:pPr>
            <w:r>
              <w:rPr>
                <w:rFonts w:ascii="Arial" w:cs="Arial" w:eastAsia="Arial" w:hAnsi="Arial"/>
                <w:sz w:val="13"/>
                <w:szCs w:val="13"/>
                <w:color w:val="auto"/>
              </w:rPr>
              <w:t>240,000</w:t>
            </w:r>
          </w:p>
        </w:tc>
        <w:tc>
          <w:tcPr>
            <w:tcW w:w="800" w:type="dxa"/>
            <w:vAlign w:val="bottom"/>
          </w:tcPr>
          <w:p>
            <w:pPr>
              <w:jc w:val="right"/>
              <w:ind w:right="97"/>
              <w:spacing w:after="0"/>
              <w:rPr>
                <w:sz w:val="20"/>
                <w:szCs w:val="20"/>
                <w:color w:val="auto"/>
              </w:rPr>
            </w:pPr>
            <w:r>
              <w:rPr>
                <w:rFonts w:ascii="Arial" w:cs="Arial" w:eastAsia="Arial" w:hAnsi="Arial"/>
                <w:sz w:val="13"/>
                <w:szCs w:val="13"/>
                <w:color w:val="auto"/>
              </w:rPr>
              <w:t>480,000</w:t>
            </w:r>
          </w:p>
        </w:tc>
        <w:tc>
          <w:tcPr>
            <w:tcW w:w="740" w:type="dxa"/>
            <w:vAlign w:val="bottom"/>
          </w:tcPr>
          <w:p>
            <w:pPr>
              <w:jc w:val="right"/>
              <w:ind w:right="17"/>
              <w:spacing w:after="0"/>
              <w:rPr>
                <w:sz w:val="20"/>
                <w:szCs w:val="20"/>
                <w:color w:val="auto"/>
              </w:rPr>
            </w:pPr>
            <w:r>
              <w:rPr>
                <w:rFonts w:ascii="Arial" w:cs="Arial" w:eastAsia="Arial" w:hAnsi="Arial"/>
                <w:sz w:val="13"/>
                <w:szCs w:val="13"/>
                <w:color w:val="auto"/>
              </w:rPr>
              <w:t>960,000</w:t>
            </w:r>
          </w:p>
        </w:tc>
        <w:tc>
          <w:tcPr>
            <w:tcW w:w="92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157"/>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137"/>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8"/>
        </w:trPr>
        <w:tc>
          <w:tcPr>
            <w:tcW w:w="880" w:type="dxa"/>
            <w:vAlign w:val="bottom"/>
            <w:vMerge w:val="restart"/>
          </w:tcPr>
          <w:p>
            <w:pPr>
              <w:ind w:left="20"/>
              <w:spacing w:after="0"/>
              <w:rPr>
                <w:sz w:val="20"/>
                <w:szCs w:val="20"/>
                <w:color w:val="auto"/>
              </w:rPr>
            </w:pPr>
            <w:r>
              <w:rPr>
                <w:rFonts w:ascii="Arial" w:cs="Arial" w:eastAsia="Arial" w:hAnsi="Arial"/>
                <w:sz w:val="13"/>
                <w:szCs w:val="13"/>
                <w:b w:val="1"/>
                <w:bCs w:val="1"/>
                <w:color w:val="0C3471"/>
              </w:rPr>
              <w:t>Adrian C.</w:t>
            </w:r>
          </w:p>
        </w:tc>
        <w:tc>
          <w:tcPr>
            <w:tcW w:w="1000" w:type="dxa"/>
            <w:vAlign w:val="bottom"/>
            <w:tcBorders>
              <w:bottom w:val="single" w:sz="8" w:color="BCBEC0"/>
            </w:tcBorders>
          </w:tcPr>
          <w:p>
            <w:pPr>
              <w:spacing w:after="0"/>
              <w:rPr>
                <w:sz w:val="2"/>
                <w:szCs w:val="2"/>
                <w:color w:val="auto"/>
              </w:rPr>
            </w:pPr>
          </w:p>
        </w:tc>
        <w:tc>
          <w:tcPr>
            <w:tcW w:w="1100" w:type="dxa"/>
            <w:vAlign w:val="bottom"/>
            <w:tcBorders>
              <w:bottom w:val="single" w:sz="8" w:color="BCBEC0"/>
            </w:tcBorders>
          </w:tcPr>
          <w:p>
            <w:pPr>
              <w:spacing w:after="0"/>
              <w:rPr>
                <w:sz w:val="2"/>
                <w:szCs w:val="2"/>
                <w:color w:val="auto"/>
              </w:rPr>
            </w:pPr>
          </w:p>
        </w:tc>
        <w:tc>
          <w:tcPr>
            <w:tcW w:w="900" w:type="dxa"/>
            <w:vAlign w:val="bottom"/>
            <w:tcBorders>
              <w:bottom w:val="single" w:sz="8" w:color="BCBEC0"/>
            </w:tcBorders>
          </w:tcPr>
          <w:p>
            <w:pPr>
              <w:spacing w:after="0"/>
              <w:rPr>
                <w:sz w:val="2"/>
                <w:szCs w:val="2"/>
                <w:color w:val="auto"/>
              </w:rPr>
            </w:pPr>
          </w:p>
        </w:tc>
        <w:tc>
          <w:tcPr>
            <w:tcW w:w="800" w:type="dxa"/>
            <w:vAlign w:val="bottom"/>
            <w:tcBorders>
              <w:bottom w:val="single" w:sz="8" w:color="BCBEC0"/>
            </w:tcBorders>
          </w:tcPr>
          <w:p>
            <w:pPr>
              <w:spacing w:after="0"/>
              <w:rPr>
                <w:sz w:val="2"/>
                <w:szCs w:val="2"/>
                <w:color w:val="auto"/>
              </w:rPr>
            </w:pPr>
          </w:p>
        </w:tc>
        <w:tc>
          <w:tcPr>
            <w:tcW w:w="740" w:type="dxa"/>
            <w:vAlign w:val="bottom"/>
            <w:tcBorders>
              <w:bottom w:val="single" w:sz="8" w:color="BCBEC0"/>
            </w:tcBorders>
          </w:tcPr>
          <w:p>
            <w:pPr>
              <w:spacing w:after="0"/>
              <w:rPr>
                <w:sz w:val="2"/>
                <w:szCs w:val="2"/>
                <w:color w:val="auto"/>
              </w:rPr>
            </w:pPr>
          </w:p>
        </w:tc>
        <w:tc>
          <w:tcPr>
            <w:tcW w:w="920" w:type="dxa"/>
            <w:vAlign w:val="bottom"/>
            <w:tcBorders>
              <w:bottom w:val="single" w:sz="8" w:color="BCBEC0"/>
            </w:tcBorders>
          </w:tcPr>
          <w:p>
            <w:pPr>
              <w:spacing w:after="0"/>
              <w:rPr>
                <w:sz w:val="2"/>
                <w:szCs w:val="2"/>
                <w:color w:val="auto"/>
              </w:rPr>
            </w:pPr>
          </w:p>
        </w:tc>
        <w:tc>
          <w:tcPr>
            <w:tcW w:w="660" w:type="dxa"/>
            <w:vAlign w:val="bottom"/>
            <w:tcBorders>
              <w:bottom w:val="single" w:sz="8" w:color="BCBEC0"/>
            </w:tcBorders>
          </w:tcPr>
          <w:p>
            <w:pPr>
              <w:spacing w:after="0"/>
              <w:rPr>
                <w:sz w:val="2"/>
                <w:szCs w:val="2"/>
                <w:color w:val="auto"/>
              </w:rPr>
            </w:pPr>
          </w:p>
        </w:tc>
        <w:tc>
          <w:tcPr>
            <w:tcW w:w="820" w:type="dxa"/>
            <w:vAlign w:val="bottom"/>
            <w:tcBorders>
              <w:bottom w:val="single" w:sz="8" w:color="BCBEC0"/>
            </w:tcBorders>
          </w:tcPr>
          <w:p>
            <w:pPr>
              <w:spacing w:after="0"/>
              <w:rPr>
                <w:sz w:val="2"/>
                <w:szCs w:val="2"/>
                <w:color w:val="auto"/>
              </w:rPr>
            </w:pPr>
          </w:p>
        </w:tc>
        <w:tc>
          <w:tcPr>
            <w:tcW w:w="880" w:type="dxa"/>
            <w:vAlign w:val="bottom"/>
            <w:tcBorders>
              <w:bottom w:val="single" w:sz="8" w:color="BCBEC0"/>
            </w:tcBorders>
          </w:tcPr>
          <w:p>
            <w:pPr>
              <w:spacing w:after="0"/>
              <w:rPr>
                <w:sz w:val="2"/>
                <w:szCs w:val="2"/>
                <w:color w:val="auto"/>
              </w:rPr>
            </w:pPr>
          </w:p>
        </w:tc>
        <w:tc>
          <w:tcPr>
            <w:tcW w:w="980" w:type="dxa"/>
            <w:vAlign w:val="bottom"/>
            <w:tcBorders>
              <w:bottom w:val="single" w:sz="8" w:color="BCBEC0"/>
            </w:tcBorders>
          </w:tcPr>
          <w:p>
            <w:pPr>
              <w:spacing w:after="0"/>
              <w:rPr>
                <w:sz w:val="2"/>
                <w:szCs w:val="2"/>
                <w:color w:val="auto"/>
              </w:rPr>
            </w:pPr>
          </w:p>
        </w:tc>
        <w:tc>
          <w:tcPr>
            <w:tcW w:w="800" w:type="dxa"/>
            <w:vAlign w:val="bottom"/>
            <w:tcBorders>
              <w:bottom w:val="single" w:sz="8" w:color="BCBEC0"/>
            </w:tcBorders>
          </w:tcPr>
          <w:p>
            <w:pPr>
              <w:spacing w:after="0"/>
              <w:rPr>
                <w:sz w:val="2"/>
                <w:szCs w:val="2"/>
                <w:color w:val="auto"/>
              </w:rPr>
            </w:pPr>
          </w:p>
        </w:tc>
        <w:tc>
          <w:tcPr>
            <w:tcW w:w="760" w:type="dxa"/>
            <w:vAlign w:val="bottom"/>
            <w:tcBorders>
              <w:bottom w:val="single" w:sz="8" w:color="BCBEC0"/>
            </w:tcBorders>
          </w:tcPr>
          <w:p>
            <w:pPr>
              <w:spacing w:after="0"/>
              <w:rPr>
                <w:sz w:val="2"/>
                <w:szCs w:val="2"/>
                <w:color w:val="auto"/>
              </w:rPr>
            </w:pPr>
          </w:p>
        </w:tc>
        <w:tc>
          <w:tcPr>
            <w:tcW w:w="0" w:type="dxa"/>
            <w:vAlign w:val="bottom"/>
          </w:tcPr>
          <w:p>
            <w:pPr>
              <w:spacing w:after="0"/>
              <w:rPr>
                <w:sz w:val="1"/>
                <w:szCs w:val="1"/>
                <w:color w:val="auto"/>
              </w:rPr>
            </w:pPr>
          </w:p>
        </w:tc>
      </w:tr>
      <w:tr>
        <w:trPr>
          <w:trHeight w:val="138"/>
        </w:trPr>
        <w:tc>
          <w:tcPr>
            <w:tcW w:w="880" w:type="dxa"/>
            <w:vAlign w:val="bottom"/>
            <w:vMerge w:val="continue"/>
          </w:tcPr>
          <w:p>
            <w:pPr>
              <w:spacing w:after="0"/>
              <w:rPr>
                <w:sz w:val="11"/>
                <w:szCs w:val="11"/>
                <w:color w:val="auto"/>
              </w:rPr>
            </w:pPr>
          </w:p>
        </w:tc>
        <w:tc>
          <w:tcPr>
            <w:tcW w:w="1000" w:type="dxa"/>
            <w:vAlign w:val="bottom"/>
          </w:tcPr>
          <w:p>
            <w:pPr>
              <w:jc w:val="right"/>
              <w:ind w:right="116"/>
              <w:spacing w:after="0" w:line="138" w:lineRule="exact"/>
              <w:rPr>
                <w:sz w:val="20"/>
                <w:szCs w:val="20"/>
                <w:color w:val="auto"/>
              </w:rPr>
            </w:pPr>
            <w:r>
              <w:rPr>
                <w:rFonts w:ascii="Arial" w:cs="Arial" w:eastAsia="Arial" w:hAnsi="Arial"/>
                <w:sz w:val="13"/>
                <w:szCs w:val="13"/>
                <w:color w:val="auto"/>
              </w:rPr>
              <w:t>1/2/2025</w:t>
            </w:r>
          </w:p>
        </w:tc>
        <w:tc>
          <w:tcPr>
            <w:tcW w:w="1100" w:type="dxa"/>
            <w:vAlign w:val="bottom"/>
          </w:tcPr>
          <w:p>
            <w:pPr>
              <w:jc w:val="right"/>
              <w:spacing w:after="0" w:line="138" w:lineRule="exact"/>
              <w:rPr>
                <w:sz w:val="20"/>
                <w:szCs w:val="20"/>
                <w:color w:val="auto"/>
              </w:rPr>
            </w:pPr>
            <w:r>
              <w:rPr>
                <w:rFonts w:ascii="Arial" w:cs="Arial" w:eastAsia="Arial" w:hAnsi="Arial"/>
                <w:sz w:val="13"/>
                <w:szCs w:val="13"/>
                <w:color w:val="auto"/>
              </w:rPr>
              <w:t>12/16/2024</w:t>
            </w:r>
          </w:p>
        </w:tc>
        <w:tc>
          <w:tcPr>
            <w:tcW w:w="900" w:type="dxa"/>
            <w:vAlign w:val="bottom"/>
          </w:tcPr>
          <w:p>
            <w:pPr>
              <w:jc w:val="right"/>
              <w:ind w:right="76"/>
              <w:spacing w:after="0" w:line="138" w:lineRule="exact"/>
              <w:rPr>
                <w:sz w:val="20"/>
                <w:szCs w:val="20"/>
                <w:color w:val="auto"/>
              </w:rPr>
            </w:pPr>
            <w:r>
              <w:rPr>
                <w:rFonts w:ascii="Arial" w:cs="Arial" w:eastAsia="Arial" w:hAnsi="Arial"/>
                <w:sz w:val="13"/>
                <w:szCs w:val="13"/>
                <w:color w:val="auto"/>
              </w:rPr>
              <w:t>—</w:t>
            </w:r>
          </w:p>
        </w:tc>
        <w:tc>
          <w:tcPr>
            <w:tcW w:w="800" w:type="dxa"/>
            <w:vAlign w:val="bottom"/>
          </w:tcPr>
          <w:p>
            <w:pPr>
              <w:jc w:val="right"/>
              <w:ind w:right="97"/>
              <w:spacing w:after="0" w:line="138" w:lineRule="exact"/>
              <w:rPr>
                <w:sz w:val="20"/>
                <w:szCs w:val="20"/>
                <w:color w:val="auto"/>
              </w:rPr>
            </w:pPr>
            <w:r>
              <w:rPr>
                <w:rFonts w:ascii="Arial" w:cs="Arial" w:eastAsia="Arial" w:hAnsi="Arial"/>
                <w:sz w:val="13"/>
                <w:szCs w:val="13"/>
                <w:color w:val="auto"/>
              </w:rPr>
              <w:t>—</w:t>
            </w:r>
          </w:p>
        </w:tc>
        <w:tc>
          <w:tcPr>
            <w:tcW w:w="740" w:type="dxa"/>
            <w:vAlign w:val="bottom"/>
          </w:tcPr>
          <w:p>
            <w:pPr>
              <w:jc w:val="right"/>
              <w:ind w:right="17"/>
              <w:spacing w:after="0" w:line="138" w:lineRule="exact"/>
              <w:rPr>
                <w:sz w:val="20"/>
                <w:szCs w:val="20"/>
                <w:color w:val="auto"/>
              </w:rPr>
            </w:pPr>
            <w:r>
              <w:rPr>
                <w:rFonts w:ascii="Arial" w:cs="Arial" w:eastAsia="Arial" w:hAnsi="Arial"/>
                <w:sz w:val="13"/>
                <w:szCs w:val="13"/>
                <w:color w:val="auto"/>
              </w:rPr>
              <w:t>—</w:t>
            </w:r>
          </w:p>
        </w:tc>
        <w:tc>
          <w:tcPr>
            <w:tcW w:w="920" w:type="dxa"/>
            <w:vAlign w:val="bottom"/>
          </w:tcPr>
          <w:p>
            <w:pPr>
              <w:jc w:val="right"/>
              <w:ind w:right="76"/>
              <w:spacing w:after="0" w:line="138" w:lineRule="exact"/>
              <w:rPr>
                <w:sz w:val="20"/>
                <w:szCs w:val="20"/>
                <w:color w:val="auto"/>
              </w:rPr>
            </w:pPr>
            <w:r>
              <w:rPr>
                <w:rFonts w:ascii="Arial" w:cs="Arial" w:eastAsia="Arial" w:hAnsi="Arial"/>
                <w:sz w:val="13"/>
                <w:szCs w:val="13"/>
                <w:color w:val="auto"/>
              </w:rPr>
              <w:t>3,362</w:t>
            </w:r>
          </w:p>
        </w:tc>
        <w:tc>
          <w:tcPr>
            <w:tcW w:w="660" w:type="dxa"/>
            <w:vAlign w:val="bottom"/>
          </w:tcPr>
          <w:p>
            <w:pPr>
              <w:jc w:val="right"/>
              <w:ind w:right="97"/>
              <w:spacing w:after="0" w:line="138" w:lineRule="exact"/>
              <w:rPr>
                <w:sz w:val="20"/>
                <w:szCs w:val="20"/>
                <w:color w:val="auto"/>
              </w:rPr>
            </w:pPr>
            <w:r>
              <w:rPr>
                <w:rFonts w:ascii="Arial" w:cs="Arial" w:eastAsia="Arial" w:hAnsi="Arial"/>
                <w:sz w:val="13"/>
                <w:szCs w:val="13"/>
                <w:color w:val="auto"/>
              </w:rPr>
              <w:t>6,723</w:t>
            </w:r>
          </w:p>
        </w:tc>
        <w:tc>
          <w:tcPr>
            <w:tcW w:w="820" w:type="dxa"/>
            <w:vAlign w:val="bottom"/>
          </w:tcPr>
          <w:p>
            <w:pPr>
              <w:jc w:val="right"/>
              <w:ind w:right="97"/>
              <w:spacing w:after="0" w:line="138" w:lineRule="exact"/>
              <w:rPr>
                <w:sz w:val="20"/>
                <w:szCs w:val="20"/>
                <w:color w:val="auto"/>
              </w:rPr>
            </w:pPr>
            <w:r>
              <w:rPr>
                <w:rFonts w:ascii="Arial" w:cs="Arial" w:eastAsia="Arial" w:hAnsi="Arial"/>
                <w:sz w:val="13"/>
                <w:szCs w:val="13"/>
                <w:color w:val="auto"/>
              </w:rPr>
              <w:t>13,446</w:t>
            </w:r>
          </w:p>
        </w:tc>
        <w:tc>
          <w:tcPr>
            <w:tcW w:w="880" w:type="dxa"/>
            <w:vAlign w:val="bottom"/>
          </w:tcPr>
          <w:p>
            <w:pPr>
              <w:jc w:val="right"/>
              <w:ind w:right="157"/>
              <w:spacing w:after="0" w:line="138" w:lineRule="exact"/>
              <w:rPr>
                <w:sz w:val="20"/>
                <w:szCs w:val="20"/>
                <w:color w:val="auto"/>
              </w:rPr>
            </w:pPr>
            <w:r>
              <w:rPr>
                <w:rFonts w:ascii="Arial" w:cs="Arial" w:eastAsia="Arial" w:hAnsi="Arial"/>
                <w:sz w:val="13"/>
                <w:szCs w:val="13"/>
                <w:color w:val="auto"/>
              </w:rPr>
              <w:t>—</w:t>
            </w:r>
          </w:p>
        </w:tc>
        <w:tc>
          <w:tcPr>
            <w:tcW w:w="980" w:type="dxa"/>
            <w:vAlign w:val="bottom"/>
          </w:tcPr>
          <w:p>
            <w:pPr>
              <w:jc w:val="right"/>
              <w:ind w:right="117"/>
              <w:spacing w:after="0" w:line="138" w:lineRule="exact"/>
              <w:rPr>
                <w:sz w:val="20"/>
                <w:szCs w:val="20"/>
                <w:color w:val="auto"/>
              </w:rPr>
            </w:pPr>
            <w:r>
              <w:rPr>
                <w:rFonts w:ascii="Arial" w:cs="Arial" w:eastAsia="Arial" w:hAnsi="Arial"/>
                <w:sz w:val="13"/>
                <w:szCs w:val="13"/>
                <w:color w:val="auto"/>
              </w:rPr>
              <w:t>—</w:t>
            </w:r>
          </w:p>
        </w:tc>
        <w:tc>
          <w:tcPr>
            <w:tcW w:w="800" w:type="dxa"/>
            <w:vAlign w:val="bottom"/>
          </w:tcPr>
          <w:p>
            <w:pPr>
              <w:jc w:val="right"/>
              <w:ind w:right="137"/>
              <w:spacing w:after="0" w:line="138" w:lineRule="exact"/>
              <w:rPr>
                <w:sz w:val="20"/>
                <w:szCs w:val="20"/>
                <w:color w:val="auto"/>
              </w:rPr>
            </w:pPr>
            <w:r>
              <w:rPr>
                <w:rFonts w:ascii="Arial" w:cs="Arial" w:eastAsia="Arial" w:hAnsi="Arial"/>
                <w:sz w:val="13"/>
                <w:szCs w:val="13"/>
                <w:color w:val="auto"/>
              </w:rPr>
              <w:t>—</w:t>
            </w:r>
          </w:p>
        </w:tc>
        <w:tc>
          <w:tcPr>
            <w:tcW w:w="760" w:type="dxa"/>
            <w:vAlign w:val="bottom"/>
          </w:tcPr>
          <w:p>
            <w:pPr>
              <w:jc w:val="right"/>
              <w:spacing w:after="0" w:line="138" w:lineRule="exact"/>
              <w:rPr>
                <w:sz w:val="20"/>
                <w:szCs w:val="20"/>
                <w:color w:val="auto"/>
              </w:rPr>
            </w:pPr>
            <w:r>
              <w:rPr>
                <w:rFonts w:ascii="Arial" w:cs="Arial" w:eastAsia="Arial" w:hAnsi="Arial"/>
                <w:sz w:val="13"/>
                <w:szCs w:val="13"/>
                <w:color w:val="auto"/>
              </w:rPr>
              <w:t>674,989</w:t>
            </w:r>
          </w:p>
        </w:tc>
        <w:tc>
          <w:tcPr>
            <w:tcW w:w="0" w:type="dxa"/>
            <w:vAlign w:val="bottom"/>
          </w:tcPr>
          <w:p>
            <w:pPr>
              <w:spacing w:after="0"/>
              <w:rPr>
                <w:sz w:val="1"/>
                <w:szCs w:val="1"/>
                <w:color w:val="auto"/>
              </w:rPr>
            </w:pPr>
          </w:p>
        </w:tc>
      </w:tr>
      <w:tr>
        <w:trPr>
          <w:trHeight w:val="58"/>
        </w:trPr>
        <w:tc>
          <w:tcPr>
            <w:tcW w:w="880" w:type="dxa"/>
            <w:vAlign w:val="bottom"/>
            <w:vMerge w:val="restart"/>
          </w:tcPr>
          <w:p>
            <w:pPr>
              <w:ind w:left="20"/>
              <w:spacing w:after="0"/>
              <w:rPr>
                <w:sz w:val="20"/>
                <w:szCs w:val="20"/>
                <w:color w:val="auto"/>
              </w:rPr>
            </w:pPr>
            <w:r>
              <w:rPr>
                <w:rFonts w:ascii="Arial" w:cs="Arial" w:eastAsia="Arial" w:hAnsi="Arial"/>
                <w:sz w:val="13"/>
                <w:szCs w:val="13"/>
                <w:b w:val="1"/>
                <w:bCs w:val="1"/>
                <w:color w:val="0C3471"/>
              </w:rPr>
              <w:t>Chiu</w:t>
            </w:r>
          </w:p>
        </w:tc>
        <w:tc>
          <w:tcPr>
            <w:tcW w:w="1000" w:type="dxa"/>
            <w:vAlign w:val="bottom"/>
            <w:tcBorders>
              <w:bottom w:val="single" w:sz="8" w:color="BCBEC0"/>
            </w:tcBorders>
          </w:tcPr>
          <w:p>
            <w:pPr>
              <w:spacing w:after="0"/>
              <w:rPr>
                <w:sz w:val="5"/>
                <w:szCs w:val="5"/>
                <w:color w:val="auto"/>
              </w:rPr>
            </w:pPr>
          </w:p>
        </w:tc>
        <w:tc>
          <w:tcPr>
            <w:tcW w:w="1100" w:type="dxa"/>
            <w:vAlign w:val="bottom"/>
            <w:tcBorders>
              <w:bottom w:val="single" w:sz="8" w:color="BCBEC0"/>
            </w:tcBorders>
          </w:tcPr>
          <w:p>
            <w:pPr>
              <w:spacing w:after="0"/>
              <w:rPr>
                <w:sz w:val="5"/>
                <w:szCs w:val="5"/>
                <w:color w:val="auto"/>
              </w:rPr>
            </w:pPr>
          </w:p>
        </w:tc>
        <w:tc>
          <w:tcPr>
            <w:tcW w:w="900" w:type="dxa"/>
            <w:vAlign w:val="bottom"/>
            <w:tcBorders>
              <w:bottom w:val="single" w:sz="8" w:color="BCBEC0"/>
            </w:tcBorders>
          </w:tcPr>
          <w:p>
            <w:pPr>
              <w:spacing w:after="0"/>
              <w:rPr>
                <w:sz w:val="5"/>
                <w:szCs w:val="5"/>
                <w:color w:val="auto"/>
              </w:rPr>
            </w:pPr>
          </w:p>
        </w:tc>
        <w:tc>
          <w:tcPr>
            <w:tcW w:w="800" w:type="dxa"/>
            <w:vAlign w:val="bottom"/>
            <w:tcBorders>
              <w:bottom w:val="single" w:sz="8" w:color="BCBEC0"/>
            </w:tcBorders>
          </w:tcPr>
          <w:p>
            <w:pPr>
              <w:spacing w:after="0"/>
              <w:rPr>
                <w:sz w:val="5"/>
                <w:szCs w:val="5"/>
                <w:color w:val="auto"/>
              </w:rPr>
            </w:pPr>
          </w:p>
        </w:tc>
        <w:tc>
          <w:tcPr>
            <w:tcW w:w="740" w:type="dxa"/>
            <w:vAlign w:val="bottom"/>
            <w:tcBorders>
              <w:bottom w:val="single" w:sz="8" w:color="BCBEC0"/>
            </w:tcBorders>
          </w:tcPr>
          <w:p>
            <w:pPr>
              <w:spacing w:after="0"/>
              <w:rPr>
                <w:sz w:val="5"/>
                <w:szCs w:val="5"/>
                <w:color w:val="auto"/>
              </w:rPr>
            </w:pPr>
          </w:p>
        </w:tc>
        <w:tc>
          <w:tcPr>
            <w:tcW w:w="920" w:type="dxa"/>
            <w:vAlign w:val="bottom"/>
            <w:tcBorders>
              <w:bottom w:val="single" w:sz="8" w:color="BCBEC0"/>
            </w:tcBorders>
          </w:tcPr>
          <w:p>
            <w:pPr>
              <w:spacing w:after="0"/>
              <w:rPr>
                <w:sz w:val="5"/>
                <w:szCs w:val="5"/>
                <w:color w:val="auto"/>
              </w:rPr>
            </w:pPr>
          </w:p>
        </w:tc>
        <w:tc>
          <w:tcPr>
            <w:tcW w:w="660" w:type="dxa"/>
            <w:vAlign w:val="bottom"/>
            <w:tcBorders>
              <w:bottom w:val="single" w:sz="8" w:color="BCBEC0"/>
            </w:tcBorders>
          </w:tcPr>
          <w:p>
            <w:pPr>
              <w:spacing w:after="0"/>
              <w:rPr>
                <w:sz w:val="5"/>
                <w:szCs w:val="5"/>
                <w:color w:val="auto"/>
              </w:rPr>
            </w:pPr>
          </w:p>
        </w:tc>
        <w:tc>
          <w:tcPr>
            <w:tcW w:w="820" w:type="dxa"/>
            <w:vAlign w:val="bottom"/>
            <w:tcBorders>
              <w:bottom w:val="single" w:sz="8" w:color="BCBEC0"/>
            </w:tcBorders>
          </w:tcPr>
          <w:p>
            <w:pPr>
              <w:spacing w:after="0"/>
              <w:rPr>
                <w:sz w:val="5"/>
                <w:szCs w:val="5"/>
                <w:color w:val="auto"/>
              </w:rPr>
            </w:pPr>
          </w:p>
        </w:tc>
        <w:tc>
          <w:tcPr>
            <w:tcW w:w="880" w:type="dxa"/>
            <w:vAlign w:val="bottom"/>
            <w:tcBorders>
              <w:bottom w:val="single" w:sz="8" w:color="BCBEC0"/>
            </w:tcBorders>
          </w:tcPr>
          <w:p>
            <w:pPr>
              <w:spacing w:after="0"/>
              <w:rPr>
                <w:sz w:val="5"/>
                <w:szCs w:val="5"/>
                <w:color w:val="auto"/>
              </w:rPr>
            </w:pPr>
          </w:p>
        </w:tc>
        <w:tc>
          <w:tcPr>
            <w:tcW w:w="980" w:type="dxa"/>
            <w:vAlign w:val="bottom"/>
            <w:tcBorders>
              <w:bottom w:val="single" w:sz="8" w:color="BCBEC0"/>
            </w:tcBorders>
          </w:tcPr>
          <w:p>
            <w:pPr>
              <w:spacing w:after="0"/>
              <w:rPr>
                <w:sz w:val="5"/>
                <w:szCs w:val="5"/>
                <w:color w:val="auto"/>
              </w:rPr>
            </w:pPr>
          </w:p>
        </w:tc>
        <w:tc>
          <w:tcPr>
            <w:tcW w:w="800" w:type="dxa"/>
            <w:vAlign w:val="bottom"/>
            <w:tcBorders>
              <w:bottom w:val="single" w:sz="8" w:color="BCBEC0"/>
            </w:tcBorders>
          </w:tcPr>
          <w:p>
            <w:pPr>
              <w:spacing w:after="0"/>
              <w:rPr>
                <w:sz w:val="5"/>
                <w:szCs w:val="5"/>
                <w:color w:val="auto"/>
              </w:rPr>
            </w:pPr>
          </w:p>
        </w:tc>
        <w:tc>
          <w:tcPr>
            <w:tcW w:w="760" w:type="dxa"/>
            <w:vAlign w:val="bottom"/>
            <w:tcBorders>
              <w:bottom w:val="single" w:sz="8" w:color="BCBEC0"/>
            </w:tcBorders>
          </w:tcPr>
          <w:p>
            <w:pPr>
              <w:spacing w:after="0"/>
              <w:rPr>
                <w:sz w:val="5"/>
                <w:szCs w:val="5"/>
                <w:color w:val="auto"/>
              </w:rPr>
            </w:pPr>
          </w:p>
        </w:tc>
        <w:tc>
          <w:tcPr>
            <w:tcW w:w="0" w:type="dxa"/>
            <w:vAlign w:val="bottom"/>
          </w:tcPr>
          <w:p>
            <w:pPr>
              <w:spacing w:after="0"/>
              <w:rPr>
                <w:sz w:val="1"/>
                <w:szCs w:val="1"/>
                <w:color w:val="auto"/>
              </w:rPr>
            </w:pPr>
          </w:p>
        </w:tc>
      </w:tr>
      <w:tr>
        <w:trPr>
          <w:trHeight w:val="93"/>
        </w:trPr>
        <w:tc>
          <w:tcPr>
            <w:tcW w:w="880" w:type="dxa"/>
            <w:vAlign w:val="bottom"/>
            <w:vMerge w:val="continue"/>
          </w:tcPr>
          <w:p>
            <w:pPr>
              <w:spacing w:after="0"/>
              <w:rPr>
                <w:sz w:val="8"/>
                <w:szCs w:val="8"/>
                <w:color w:val="auto"/>
              </w:rPr>
            </w:pPr>
          </w:p>
        </w:tc>
        <w:tc>
          <w:tcPr>
            <w:tcW w:w="1000" w:type="dxa"/>
            <w:vAlign w:val="bottom"/>
            <w:vMerge w:val="restart"/>
          </w:tcPr>
          <w:p>
            <w:pPr>
              <w:jc w:val="right"/>
              <w:ind w:right="116"/>
              <w:spacing w:after="0"/>
              <w:rPr>
                <w:sz w:val="20"/>
                <w:szCs w:val="20"/>
                <w:color w:val="auto"/>
              </w:rPr>
            </w:pPr>
            <w:r>
              <w:rPr>
                <w:rFonts w:ascii="Arial" w:cs="Arial" w:eastAsia="Arial" w:hAnsi="Arial"/>
                <w:sz w:val="13"/>
                <w:szCs w:val="13"/>
                <w:color w:val="auto"/>
              </w:rPr>
              <w:t>1/2/2025</w:t>
            </w:r>
          </w:p>
        </w:tc>
        <w:tc>
          <w:tcPr>
            <w:tcW w:w="1100" w:type="dxa"/>
            <w:vAlign w:val="bottom"/>
            <w:vMerge w:val="restart"/>
          </w:tcPr>
          <w:p>
            <w:pPr>
              <w:jc w:val="right"/>
              <w:spacing w:after="0"/>
              <w:rPr>
                <w:sz w:val="20"/>
                <w:szCs w:val="20"/>
                <w:color w:val="auto"/>
              </w:rPr>
            </w:pPr>
            <w:r>
              <w:rPr>
                <w:rFonts w:ascii="Arial" w:cs="Arial" w:eastAsia="Arial" w:hAnsi="Arial"/>
                <w:sz w:val="13"/>
                <w:szCs w:val="13"/>
                <w:color w:val="auto"/>
              </w:rPr>
              <w:t>12/16/2024</w:t>
            </w:r>
          </w:p>
        </w:tc>
        <w:tc>
          <w:tcPr>
            <w:tcW w:w="900" w:type="dxa"/>
            <w:vAlign w:val="bottom"/>
            <w:vMerge w:val="restart"/>
          </w:tcPr>
          <w:p>
            <w:pPr>
              <w:jc w:val="right"/>
              <w:ind w:right="76"/>
              <w:spacing w:after="0"/>
              <w:rPr>
                <w:sz w:val="20"/>
                <w:szCs w:val="20"/>
                <w:color w:val="auto"/>
              </w:rPr>
            </w:pPr>
            <w:r>
              <w:rPr>
                <w:rFonts w:ascii="Arial" w:cs="Arial" w:eastAsia="Arial" w:hAnsi="Arial"/>
                <w:sz w:val="13"/>
                <w:szCs w:val="13"/>
                <w:color w:val="auto"/>
              </w:rPr>
              <w:t>—</w:t>
            </w:r>
          </w:p>
        </w:tc>
        <w:tc>
          <w:tcPr>
            <w:tcW w:w="800" w:type="dxa"/>
            <w:vAlign w:val="bottom"/>
            <w:vMerge w:val="restart"/>
          </w:tcPr>
          <w:p>
            <w:pPr>
              <w:jc w:val="right"/>
              <w:ind w:right="97"/>
              <w:spacing w:after="0"/>
              <w:rPr>
                <w:sz w:val="20"/>
                <w:szCs w:val="20"/>
                <w:color w:val="auto"/>
              </w:rPr>
            </w:pPr>
            <w:r>
              <w:rPr>
                <w:rFonts w:ascii="Arial" w:cs="Arial" w:eastAsia="Arial" w:hAnsi="Arial"/>
                <w:sz w:val="13"/>
                <w:szCs w:val="13"/>
                <w:color w:val="auto"/>
              </w:rPr>
              <w:t>—</w:t>
            </w:r>
          </w:p>
        </w:tc>
        <w:tc>
          <w:tcPr>
            <w:tcW w:w="740" w:type="dxa"/>
            <w:vAlign w:val="bottom"/>
            <w:vMerge w:val="restart"/>
          </w:tcPr>
          <w:p>
            <w:pPr>
              <w:jc w:val="right"/>
              <w:ind w:right="17"/>
              <w:spacing w:after="0"/>
              <w:rPr>
                <w:sz w:val="20"/>
                <w:szCs w:val="20"/>
                <w:color w:val="auto"/>
              </w:rPr>
            </w:pPr>
            <w:r>
              <w:rPr>
                <w:rFonts w:ascii="Arial" w:cs="Arial" w:eastAsia="Arial" w:hAnsi="Arial"/>
                <w:sz w:val="13"/>
                <w:szCs w:val="13"/>
                <w:color w:val="auto"/>
              </w:rPr>
              <w:t>—</w:t>
            </w:r>
          </w:p>
        </w:tc>
        <w:tc>
          <w:tcPr>
            <w:tcW w:w="920" w:type="dxa"/>
            <w:vAlign w:val="bottom"/>
            <w:vMerge w:val="restart"/>
          </w:tcPr>
          <w:p>
            <w:pPr>
              <w:jc w:val="right"/>
              <w:ind w:right="76"/>
              <w:spacing w:after="0"/>
              <w:rPr>
                <w:sz w:val="20"/>
                <w:szCs w:val="20"/>
                <w:color w:val="auto"/>
              </w:rPr>
            </w:pPr>
            <w:r>
              <w:rPr>
                <w:rFonts w:ascii="Arial" w:cs="Arial" w:eastAsia="Arial" w:hAnsi="Arial"/>
                <w:sz w:val="13"/>
                <w:szCs w:val="13"/>
                <w:color w:val="auto"/>
              </w:rPr>
              <w:t>—</w:t>
            </w:r>
          </w:p>
        </w:tc>
        <w:tc>
          <w:tcPr>
            <w:tcW w:w="660" w:type="dxa"/>
            <w:vAlign w:val="bottom"/>
            <w:vMerge w:val="restart"/>
          </w:tcPr>
          <w:p>
            <w:pPr>
              <w:jc w:val="right"/>
              <w:ind w:right="97"/>
              <w:spacing w:after="0"/>
              <w:rPr>
                <w:sz w:val="20"/>
                <w:szCs w:val="20"/>
                <w:color w:val="auto"/>
              </w:rPr>
            </w:pPr>
            <w:r>
              <w:rPr>
                <w:rFonts w:ascii="Arial" w:cs="Arial" w:eastAsia="Arial" w:hAnsi="Arial"/>
                <w:sz w:val="13"/>
                <w:szCs w:val="13"/>
                <w:color w:val="auto"/>
              </w:rPr>
              <w:t>—</w:t>
            </w:r>
          </w:p>
        </w:tc>
        <w:tc>
          <w:tcPr>
            <w:tcW w:w="820" w:type="dxa"/>
            <w:vAlign w:val="bottom"/>
            <w:vMerge w:val="restart"/>
          </w:tcPr>
          <w:p>
            <w:pPr>
              <w:jc w:val="right"/>
              <w:ind w:right="97"/>
              <w:spacing w:after="0"/>
              <w:rPr>
                <w:sz w:val="20"/>
                <w:szCs w:val="20"/>
                <w:color w:val="auto"/>
              </w:rPr>
            </w:pPr>
            <w:r>
              <w:rPr>
                <w:rFonts w:ascii="Arial" w:cs="Arial" w:eastAsia="Arial" w:hAnsi="Arial"/>
                <w:sz w:val="13"/>
                <w:szCs w:val="13"/>
                <w:color w:val="auto"/>
              </w:rPr>
              <w:t>—</w:t>
            </w:r>
          </w:p>
        </w:tc>
        <w:tc>
          <w:tcPr>
            <w:tcW w:w="880" w:type="dxa"/>
            <w:vAlign w:val="bottom"/>
            <w:vMerge w:val="restart"/>
          </w:tcPr>
          <w:p>
            <w:pPr>
              <w:jc w:val="right"/>
              <w:ind w:right="157"/>
              <w:spacing w:after="0"/>
              <w:rPr>
                <w:sz w:val="20"/>
                <w:szCs w:val="20"/>
                <w:color w:val="auto"/>
              </w:rPr>
            </w:pPr>
            <w:r>
              <w:rPr>
                <w:rFonts w:ascii="Arial" w:cs="Arial" w:eastAsia="Arial" w:hAnsi="Arial"/>
                <w:sz w:val="13"/>
                <w:szCs w:val="13"/>
                <w:color w:val="auto"/>
              </w:rPr>
              <w:t>3,362</w:t>
            </w:r>
          </w:p>
        </w:tc>
        <w:tc>
          <w:tcPr>
            <w:tcW w:w="980" w:type="dxa"/>
            <w:vAlign w:val="bottom"/>
            <w:vMerge w:val="restart"/>
          </w:tcPr>
          <w:p>
            <w:pPr>
              <w:jc w:val="right"/>
              <w:ind w:right="117"/>
              <w:spacing w:after="0"/>
              <w:rPr>
                <w:sz w:val="20"/>
                <w:szCs w:val="20"/>
                <w:color w:val="auto"/>
              </w:rPr>
            </w:pPr>
            <w:r>
              <w:rPr>
                <w:rFonts w:ascii="Arial" w:cs="Arial" w:eastAsia="Arial" w:hAnsi="Arial"/>
                <w:sz w:val="13"/>
                <w:szCs w:val="13"/>
                <w:color w:val="auto"/>
              </w:rPr>
              <w:t>—</w:t>
            </w:r>
          </w:p>
        </w:tc>
        <w:tc>
          <w:tcPr>
            <w:tcW w:w="800" w:type="dxa"/>
            <w:vAlign w:val="bottom"/>
            <w:vMerge w:val="restart"/>
          </w:tcPr>
          <w:p>
            <w:pPr>
              <w:jc w:val="right"/>
              <w:ind w:right="137"/>
              <w:spacing w:after="0"/>
              <w:rPr>
                <w:sz w:val="20"/>
                <w:szCs w:val="20"/>
                <w:color w:val="auto"/>
              </w:rPr>
            </w:pPr>
            <w:r>
              <w:rPr>
                <w:rFonts w:ascii="Arial" w:cs="Arial" w:eastAsia="Arial" w:hAnsi="Arial"/>
                <w:sz w:val="13"/>
                <w:szCs w:val="13"/>
                <w:color w:val="auto"/>
              </w:rPr>
              <w:t>—</w:t>
            </w: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337,545</w:t>
            </w:r>
          </w:p>
        </w:tc>
        <w:tc>
          <w:tcPr>
            <w:tcW w:w="0" w:type="dxa"/>
            <w:vAlign w:val="bottom"/>
          </w:tcPr>
          <w:p>
            <w:pPr>
              <w:spacing w:after="0"/>
              <w:rPr>
                <w:sz w:val="1"/>
                <w:szCs w:val="1"/>
                <w:color w:val="auto"/>
              </w:rPr>
            </w:pPr>
          </w:p>
        </w:tc>
      </w:tr>
      <w:tr>
        <w:trPr>
          <w:trHeight w:val="75"/>
        </w:trPr>
        <w:tc>
          <w:tcPr>
            <w:tcW w:w="88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92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820" w:type="dxa"/>
            <w:vAlign w:val="bottom"/>
            <w:vMerge w:val="continue"/>
          </w:tcPr>
          <w:p>
            <w:pPr>
              <w:spacing w:after="0"/>
              <w:rPr>
                <w:sz w:val="6"/>
                <w:szCs w:val="6"/>
                <w:color w:val="auto"/>
              </w:rPr>
            </w:pPr>
          </w:p>
        </w:tc>
        <w:tc>
          <w:tcPr>
            <w:tcW w:w="880" w:type="dxa"/>
            <w:vAlign w:val="bottom"/>
            <w:vMerge w:val="continue"/>
          </w:tcPr>
          <w:p>
            <w:pPr>
              <w:spacing w:after="0"/>
              <w:rPr>
                <w:sz w:val="6"/>
                <w:szCs w:val="6"/>
                <w:color w:val="auto"/>
              </w:rPr>
            </w:pPr>
          </w:p>
        </w:tc>
        <w:tc>
          <w:tcPr>
            <w:tcW w:w="98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8"/>
        </w:trPr>
        <w:tc>
          <w:tcPr>
            <w:tcW w:w="880" w:type="dxa"/>
            <w:vAlign w:val="bottom"/>
          </w:tcPr>
          <w:p>
            <w:pPr>
              <w:spacing w:after="0"/>
              <w:rPr>
                <w:sz w:val="2"/>
                <w:szCs w:val="2"/>
                <w:color w:val="auto"/>
              </w:rPr>
            </w:pPr>
          </w:p>
        </w:tc>
        <w:tc>
          <w:tcPr>
            <w:tcW w:w="1000" w:type="dxa"/>
            <w:vAlign w:val="bottom"/>
            <w:tcBorders>
              <w:bottom w:val="single" w:sz="8" w:color="BCBEC0"/>
            </w:tcBorders>
          </w:tcPr>
          <w:p>
            <w:pPr>
              <w:spacing w:after="0"/>
              <w:rPr>
                <w:sz w:val="2"/>
                <w:szCs w:val="2"/>
                <w:color w:val="auto"/>
              </w:rPr>
            </w:pPr>
          </w:p>
        </w:tc>
        <w:tc>
          <w:tcPr>
            <w:tcW w:w="1100" w:type="dxa"/>
            <w:vAlign w:val="bottom"/>
            <w:tcBorders>
              <w:bottom w:val="single" w:sz="8" w:color="BCBEC0"/>
            </w:tcBorders>
          </w:tcPr>
          <w:p>
            <w:pPr>
              <w:spacing w:after="0"/>
              <w:rPr>
                <w:sz w:val="2"/>
                <w:szCs w:val="2"/>
                <w:color w:val="auto"/>
              </w:rPr>
            </w:pPr>
          </w:p>
        </w:tc>
        <w:tc>
          <w:tcPr>
            <w:tcW w:w="900" w:type="dxa"/>
            <w:vAlign w:val="bottom"/>
            <w:tcBorders>
              <w:bottom w:val="single" w:sz="8" w:color="BCBEC0"/>
            </w:tcBorders>
          </w:tcPr>
          <w:p>
            <w:pPr>
              <w:spacing w:after="0"/>
              <w:rPr>
                <w:sz w:val="2"/>
                <w:szCs w:val="2"/>
                <w:color w:val="auto"/>
              </w:rPr>
            </w:pPr>
          </w:p>
        </w:tc>
        <w:tc>
          <w:tcPr>
            <w:tcW w:w="800" w:type="dxa"/>
            <w:vAlign w:val="bottom"/>
            <w:tcBorders>
              <w:bottom w:val="single" w:sz="8" w:color="BCBEC0"/>
            </w:tcBorders>
          </w:tcPr>
          <w:p>
            <w:pPr>
              <w:spacing w:after="0"/>
              <w:rPr>
                <w:sz w:val="2"/>
                <w:szCs w:val="2"/>
                <w:color w:val="auto"/>
              </w:rPr>
            </w:pPr>
          </w:p>
        </w:tc>
        <w:tc>
          <w:tcPr>
            <w:tcW w:w="740" w:type="dxa"/>
            <w:vAlign w:val="bottom"/>
            <w:tcBorders>
              <w:bottom w:val="single" w:sz="8" w:color="BCBEC0"/>
            </w:tcBorders>
          </w:tcPr>
          <w:p>
            <w:pPr>
              <w:spacing w:after="0"/>
              <w:rPr>
                <w:sz w:val="2"/>
                <w:szCs w:val="2"/>
                <w:color w:val="auto"/>
              </w:rPr>
            </w:pPr>
          </w:p>
        </w:tc>
        <w:tc>
          <w:tcPr>
            <w:tcW w:w="920" w:type="dxa"/>
            <w:vAlign w:val="bottom"/>
            <w:tcBorders>
              <w:bottom w:val="single" w:sz="8" w:color="BCBEC0"/>
            </w:tcBorders>
          </w:tcPr>
          <w:p>
            <w:pPr>
              <w:spacing w:after="0"/>
              <w:rPr>
                <w:sz w:val="2"/>
                <w:szCs w:val="2"/>
                <w:color w:val="auto"/>
              </w:rPr>
            </w:pPr>
          </w:p>
        </w:tc>
        <w:tc>
          <w:tcPr>
            <w:tcW w:w="660" w:type="dxa"/>
            <w:vAlign w:val="bottom"/>
            <w:tcBorders>
              <w:bottom w:val="single" w:sz="8" w:color="BCBEC0"/>
            </w:tcBorders>
          </w:tcPr>
          <w:p>
            <w:pPr>
              <w:spacing w:after="0"/>
              <w:rPr>
                <w:sz w:val="2"/>
                <w:szCs w:val="2"/>
                <w:color w:val="auto"/>
              </w:rPr>
            </w:pPr>
          </w:p>
        </w:tc>
        <w:tc>
          <w:tcPr>
            <w:tcW w:w="820" w:type="dxa"/>
            <w:vAlign w:val="bottom"/>
            <w:tcBorders>
              <w:bottom w:val="single" w:sz="8" w:color="BCBEC0"/>
            </w:tcBorders>
          </w:tcPr>
          <w:p>
            <w:pPr>
              <w:spacing w:after="0"/>
              <w:rPr>
                <w:sz w:val="2"/>
                <w:szCs w:val="2"/>
                <w:color w:val="auto"/>
              </w:rPr>
            </w:pPr>
          </w:p>
        </w:tc>
        <w:tc>
          <w:tcPr>
            <w:tcW w:w="880" w:type="dxa"/>
            <w:vAlign w:val="bottom"/>
            <w:tcBorders>
              <w:bottom w:val="single" w:sz="8" w:color="BCBEC0"/>
            </w:tcBorders>
          </w:tcPr>
          <w:p>
            <w:pPr>
              <w:spacing w:after="0"/>
              <w:rPr>
                <w:sz w:val="2"/>
                <w:szCs w:val="2"/>
                <w:color w:val="auto"/>
              </w:rPr>
            </w:pPr>
          </w:p>
        </w:tc>
        <w:tc>
          <w:tcPr>
            <w:tcW w:w="980" w:type="dxa"/>
            <w:vAlign w:val="bottom"/>
            <w:tcBorders>
              <w:bottom w:val="single" w:sz="8" w:color="BCBEC0"/>
            </w:tcBorders>
          </w:tcPr>
          <w:p>
            <w:pPr>
              <w:spacing w:after="0"/>
              <w:rPr>
                <w:sz w:val="2"/>
                <w:szCs w:val="2"/>
                <w:color w:val="auto"/>
              </w:rPr>
            </w:pPr>
          </w:p>
        </w:tc>
        <w:tc>
          <w:tcPr>
            <w:tcW w:w="800" w:type="dxa"/>
            <w:vAlign w:val="bottom"/>
            <w:tcBorders>
              <w:bottom w:val="single" w:sz="8" w:color="BCBEC0"/>
            </w:tcBorders>
          </w:tcPr>
          <w:p>
            <w:pPr>
              <w:spacing w:after="0"/>
              <w:rPr>
                <w:sz w:val="2"/>
                <w:szCs w:val="2"/>
                <w:color w:val="auto"/>
              </w:rPr>
            </w:pPr>
          </w:p>
        </w:tc>
        <w:tc>
          <w:tcPr>
            <w:tcW w:w="760" w:type="dxa"/>
            <w:vAlign w:val="bottom"/>
            <w:tcBorders>
              <w:bottom w:val="single" w:sz="8" w:color="BCBEC0"/>
            </w:tcBorders>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880" w:type="dxa"/>
            <w:vAlign w:val="bottom"/>
          </w:tcPr>
          <w:p>
            <w:pPr>
              <w:spacing w:after="0"/>
              <w:rPr>
                <w:sz w:val="14"/>
                <w:szCs w:val="14"/>
                <w:color w:val="auto"/>
              </w:rPr>
            </w:pPr>
          </w:p>
        </w:tc>
        <w:tc>
          <w:tcPr>
            <w:tcW w:w="1000" w:type="dxa"/>
            <w:vAlign w:val="bottom"/>
          </w:tcPr>
          <w:p>
            <w:pPr>
              <w:jc w:val="right"/>
              <w:ind w:right="116"/>
              <w:spacing w:after="0"/>
              <w:rPr>
                <w:sz w:val="20"/>
                <w:szCs w:val="20"/>
                <w:color w:val="auto"/>
              </w:rPr>
            </w:pPr>
            <w:r>
              <w:rPr>
                <w:rFonts w:ascii="Arial" w:cs="Arial" w:eastAsia="Arial" w:hAnsi="Arial"/>
                <w:sz w:val="13"/>
                <w:szCs w:val="13"/>
                <w:color w:val="auto"/>
              </w:rPr>
              <w:t>1/2/2025</w:t>
            </w:r>
          </w:p>
        </w:tc>
        <w:tc>
          <w:tcPr>
            <w:tcW w:w="1100" w:type="dxa"/>
            <w:vAlign w:val="bottom"/>
          </w:tcPr>
          <w:p>
            <w:pPr>
              <w:jc w:val="right"/>
              <w:spacing w:after="0"/>
              <w:rPr>
                <w:sz w:val="20"/>
                <w:szCs w:val="20"/>
                <w:color w:val="auto"/>
              </w:rPr>
            </w:pPr>
            <w:r>
              <w:rPr>
                <w:rFonts w:ascii="Arial" w:cs="Arial" w:eastAsia="Arial" w:hAnsi="Arial"/>
                <w:sz w:val="13"/>
                <w:szCs w:val="13"/>
                <w:color w:val="auto"/>
              </w:rPr>
              <w:t>12/16/2024</w:t>
            </w:r>
          </w:p>
        </w:tc>
        <w:tc>
          <w:tcPr>
            <w:tcW w:w="90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157"/>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117"/>
              <w:spacing w:after="0"/>
              <w:rPr>
                <w:sz w:val="20"/>
                <w:szCs w:val="20"/>
                <w:color w:val="auto"/>
              </w:rPr>
            </w:pPr>
            <w:r>
              <w:rPr>
                <w:rFonts w:ascii="Arial" w:cs="Arial" w:eastAsia="Arial" w:hAnsi="Arial"/>
                <w:sz w:val="13"/>
                <w:szCs w:val="13"/>
                <w:color w:val="auto"/>
              </w:rPr>
              <w:t>9,188</w:t>
            </w:r>
          </w:p>
        </w:tc>
        <w:tc>
          <w:tcPr>
            <w:tcW w:w="800" w:type="dxa"/>
            <w:vAlign w:val="bottom"/>
          </w:tcPr>
          <w:p>
            <w:pPr>
              <w:jc w:val="right"/>
              <w:ind w:right="137"/>
              <w:spacing w:after="0"/>
              <w:rPr>
                <w:sz w:val="20"/>
                <w:szCs w:val="20"/>
                <w:color w:val="auto"/>
              </w:rPr>
            </w:pPr>
            <w:r>
              <w:rPr>
                <w:rFonts w:ascii="Arial" w:cs="Arial" w:eastAsia="Arial" w:hAnsi="Arial"/>
                <w:sz w:val="13"/>
                <w:szCs w:val="13"/>
                <w:color w:val="auto"/>
              </w:rPr>
              <w:t>100.40</w:t>
            </w:r>
          </w:p>
        </w:tc>
        <w:tc>
          <w:tcPr>
            <w:tcW w:w="760" w:type="dxa"/>
            <w:vAlign w:val="bottom"/>
          </w:tcPr>
          <w:p>
            <w:pPr>
              <w:jc w:val="right"/>
              <w:spacing w:after="0"/>
              <w:rPr>
                <w:sz w:val="20"/>
                <w:szCs w:val="20"/>
                <w:color w:val="auto"/>
              </w:rPr>
            </w:pPr>
            <w:r>
              <w:rPr>
                <w:rFonts w:ascii="Arial" w:cs="Arial" w:eastAsia="Arial" w:hAnsi="Arial"/>
                <w:sz w:val="13"/>
                <w:szCs w:val="13"/>
                <w:color w:val="auto"/>
              </w:rPr>
              <w:t>337,492</w:t>
            </w:r>
          </w:p>
        </w:tc>
        <w:tc>
          <w:tcPr>
            <w:tcW w:w="0" w:type="dxa"/>
            <w:vAlign w:val="bottom"/>
          </w:tcPr>
          <w:p>
            <w:pPr>
              <w:spacing w:after="0"/>
              <w:rPr>
                <w:sz w:val="1"/>
                <w:szCs w:val="1"/>
                <w:color w:val="auto"/>
              </w:rPr>
            </w:pPr>
          </w:p>
        </w:tc>
      </w:tr>
      <w:tr>
        <w:trPr>
          <w:trHeight w:val="28"/>
        </w:trPr>
        <w:tc>
          <w:tcPr>
            <w:tcW w:w="880" w:type="dxa"/>
            <w:vAlign w:val="bottom"/>
          </w:tcPr>
          <w:p>
            <w:pPr>
              <w:spacing w:after="0"/>
              <w:rPr>
                <w:sz w:val="2"/>
                <w:szCs w:val="2"/>
                <w:color w:val="auto"/>
              </w:rPr>
            </w:pPr>
          </w:p>
        </w:tc>
        <w:tc>
          <w:tcPr>
            <w:tcW w:w="1000" w:type="dxa"/>
            <w:vAlign w:val="bottom"/>
            <w:tcBorders>
              <w:bottom w:val="single" w:sz="8" w:color="BCBEC0"/>
            </w:tcBorders>
          </w:tcPr>
          <w:p>
            <w:pPr>
              <w:spacing w:after="0"/>
              <w:rPr>
                <w:sz w:val="2"/>
                <w:szCs w:val="2"/>
                <w:color w:val="auto"/>
              </w:rPr>
            </w:pPr>
          </w:p>
        </w:tc>
        <w:tc>
          <w:tcPr>
            <w:tcW w:w="1100" w:type="dxa"/>
            <w:vAlign w:val="bottom"/>
            <w:tcBorders>
              <w:bottom w:val="single" w:sz="8" w:color="BCBEC0"/>
            </w:tcBorders>
          </w:tcPr>
          <w:p>
            <w:pPr>
              <w:spacing w:after="0"/>
              <w:rPr>
                <w:sz w:val="2"/>
                <w:szCs w:val="2"/>
                <w:color w:val="auto"/>
              </w:rPr>
            </w:pPr>
          </w:p>
        </w:tc>
        <w:tc>
          <w:tcPr>
            <w:tcW w:w="900" w:type="dxa"/>
            <w:vAlign w:val="bottom"/>
            <w:tcBorders>
              <w:bottom w:val="single" w:sz="8" w:color="BCBEC0"/>
            </w:tcBorders>
          </w:tcPr>
          <w:p>
            <w:pPr>
              <w:spacing w:after="0"/>
              <w:rPr>
                <w:sz w:val="2"/>
                <w:szCs w:val="2"/>
                <w:color w:val="auto"/>
              </w:rPr>
            </w:pPr>
          </w:p>
        </w:tc>
        <w:tc>
          <w:tcPr>
            <w:tcW w:w="800" w:type="dxa"/>
            <w:vAlign w:val="bottom"/>
            <w:tcBorders>
              <w:bottom w:val="single" w:sz="8" w:color="BCBEC0"/>
            </w:tcBorders>
          </w:tcPr>
          <w:p>
            <w:pPr>
              <w:spacing w:after="0"/>
              <w:rPr>
                <w:sz w:val="2"/>
                <w:szCs w:val="2"/>
                <w:color w:val="auto"/>
              </w:rPr>
            </w:pPr>
          </w:p>
        </w:tc>
        <w:tc>
          <w:tcPr>
            <w:tcW w:w="740" w:type="dxa"/>
            <w:vAlign w:val="bottom"/>
            <w:tcBorders>
              <w:bottom w:val="single" w:sz="8" w:color="BCBEC0"/>
            </w:tcBorders>
          </w:tcPr>
          <w:p>
            <w:pPr>
              <w:spacing w:after="0"/>
              <w:rPr>
                <w:sz w:val="2"/>
                <w:szCs w:val="2"/>
                <w:color w:val="auto"/>
              </w:rPr>
            </w:pPr>
          </w:p>
        </w:tc>
        <w:tc>
          <w:tcPr>
            <w:tcW w:w="920" w:type="dxa"/>
            <w:vAlign w:val="bottom"/>
            <w:tcBorders>
              <w:bottom w:val="single" w:sz="8" w:color="BCBEC0"/>
            </w:tcBorders>
          </w:tcPr>
          <w:p>
            <w:pPr>
              <w:spacing w:after="0"/>
              <w:rPr>
                <w:sz w:val="2"/>
                <w:szCs w:val="2"/>
                <w:color w:val="auto"/>
              </w:rPr>
            </w:pPr>
          </w:p>
        </w:tc>
        <w:tc>
          <w:tcPr>
            <w:tcW w:w="660" w:type="dxa"/>
            <w:vAlign w:val="bottom"/>
            <w:tcBorders>
              <w:bottom w:val="single" w:sz="8" w:color="BCBEC0"/>
            </w:tcBorders>
          </w:tcPr>
          <w:p>
            <w:pPr>
              <w:spacing w:after="0"/>
              <w:rPr>
                <w:sz w:val="2"/>
                <w:szCs w:val="2"/>
                <w:color w:val="auto"/>
              </w:rPr>
            </w:pPr>
          </w:p>
        </w:tc>
        <w:tc>
          <w:tcPr>
            <w:tcW w:w="820" w:type="dxa"/>
            <w:vAlign w:val="bottom"/>
            <w:tcBorders>
              <w:bottom w:val="single" w:sz="8" w:color="BCBEC0"/>
            </w:tcBorders>
          </w:tcPr>
          <w:p>
            <w:pPr>
              <w:spacing w:after="0"/>
              <w:rPr>
                <w:sz w:val="2"/>
                <w:szCs w:val="2"/>
                <w:color w:val="auto"/>
              </w:rPr>
            </w:pPr>
          </w:p>
        </w:tc>
        <w:tc>
          <w:tcPr>
            <w:tcW w:w="880" w:type="dxa"/>
            <w:vAlign w:val="bottom"/>
            <w:tcBorders>
              <w:bottom w:val="single" w:sz="8" w:color="BCBEC0"/>
            </w:tcBorders>
          </w:tcPr>
          <w:p>
            <w:pPr>
              <w:spacing w:after="0"/>
              <w:rPr>
                <w:sz w:val="2"/>
                <w:szCs w:val="2"/>
                <w:color w:val="auto"/>
              </w:rPr>
            </w:pPr>
          </w:p>
        </w:tc>
        <w:tc>
          <w:tcPr>
            <w:tcW w:w="980" w:type="dxa"/>
            <w:vAlign w:val="bottom"/>
            <w:tcBorders>
              <w:bottom w:val="single" w:sz="8" w:color="BCBEC0"/>
            </w:tcBorders>
          </w:tcPr>
          <w:p>
            <w:pPr>
              <w:spacing w:after="0"/>
              <w:rPr>
                <w:sz w:val="2"/>
                <w:szCs w:val="2"/>
                <w:color w:val="auto"/>
              </w:rPr>
            </w:pPr>
          </w:p>
        </w:tc>
        <w:tc>
          <w:tcPr>
            <w:tcW w:w="800" w:type="dxa"/>
            <w:vAlign w:val="bottom"/>
            <w:tcBorders>
              <w:bottom w:val="single" w:sz="8" w:color="BCBEC0"/>
            </w:tcBorders>
          </w:tcPr>
          <w:p>
            <w:pPr>
              <w:spacing w:after="0"/>
              <w:rPr>
                <w:sz w:val="2"/>
                <w:szCs w:val="2"/>
                <w:color w:val="auto"/>
              </w:rPr>
            </w:pPr>
          </w:p>
        </w:tc>
        <w:tc>
          <w:tcPr>
            <w:tcW w:w="760" w:type="dxa"/>
            <w:vAlign w:val="bottom"/>
            <w:tcBorders>
              <w:bottom w:val="single" w:sz="8" w:color="BCBEC0"/>
            </w:tcBorders>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8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00" w:type="dxa"/>
            <w:vAlign w:val="bottom"/>
          </w:tcPr>
          <w:p>
            <w:pPr>
              <w:jc w:val="right"/>
              <w:ind w:right="76"/>
              <w:spacing w:after="0"/>
              <w:rPr>
                <w:sz w:val="20"/>
                <w:szCs w:val="20"/>
                <w:color w:val="auto"/>
              </w:rPr>
            </w:pPr>
            <w:r>
              <w:rPr>
                <w:rFonts w:ascii="Arial" w:cs="Arial" w:eastAsia="Arial" w:hAnsi="Arial"/>
                <w:sz w:val="13"/>
                <w:szCs w:val="13"/>
                <w:color w:val="auto"/>
              </w:rPr>
              <w:t>240,000</w:t>
            </w:r>
          </w:p>
        </w:tc>
        <w:tc>
          <w:tcPr>
            <w:tcW w:w="800" w:type="dxa"/>
            <w:vAlign w:val="bottom"/>
          </w:tcPr>
          <w:p>
            <w:pPr>
              <w:jc w:val="right"/>
              <w:ind w:right="97"/>
              <w:spacing w:after="0"/>
              <w:rPr>
                <w:sz w:val="20"/>
                <w:szCs w:val="20"/>
                <w:color w:val="auto"/>
              </w:rPr>
            </w:pPr>
            <w:r>
              <w:rPr>
                <w:rFonts w:ascii="Arial" w:cs="Arial" w:eastAsia="Arial" w:hAnsi="Arial"/>
                <w:sz w:val="13"/>
                <w:szCs w:val="13"/>
                <w:color w:val="auto"/>
              </w:rPr>
              <w:t>480,000</w:t>
            </w:r>
          </w:p>
        </w:tc>
        <w:tc>
          <w:tcPr>
            <w:tcW w:w="740" w:type="dxa"/>
            <w:vAlign w:val="bottom"/>
          </w:tcPr>
          <w:p>
            <w:pPr>
              <w:jc w:val="right"/>
              <w:ind w:right="17"/>
              <w:spacing w:after="0"/>
              <w:rPr>
                <w:sz w:val="20"/>
                <w:szCs w:val="20"/>
                <w:color w:val="auto"/>
              </w:rPr>
            </w:pPr>
            <w:r>
              <w:rPr>
                <w:rFonts w:ascii="Arial" w:cs="Arial" w:eastAsia="Arial" w:hAnsi="Arial"/>
                <w:sz w:val="13"/>
                <w:szCs w:val="13"/>
                <w:color w:val="auto"/>
              </w:rPr>
              <w:t>960,000</w:t>
            </w:r>
          </w:p>
        </w:tc>
        <w:tc>
          <w:tcPr>
            <w:tcW w:w="92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157"/>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137"/>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8"/>
        </w:trPr>
        <w:tc>
          <w:tcPr>
            <w:tcW w:w="880" w:type="dxa"/>
            <w:vAlign w:val="bottom"/>
            <w:tcBorders>
              <w:bottom w:val="single" w:sz="8" w:color="0C3471"/>
            </w:tcBorders>
          </w:tcPr>
          <w:p>
            <w:pPr>
              <w:spacing w:after="0"/>
              <w:rPr>
                <w:sz w:val="2"/>
                <w:szCs w:val="2"/>
                <w:color w:val="auto"/>
              </w:rPr>
            </w:pPr>
          </w:p>
        </w:tc>
        <w:tc>
          <w:tcPr>
            <w:tcW w:w="1000" w:type="dxa"/>
            <w:vAlign w:val="bottom"/>
            <w:tcBorders>
              <w:bottom w:val="single" w:sz="8" w:color="0C3471"/>
            </w:tcBorders>
          </w:tcPr>
          <w:p>
            <w:pPr>
              <w:spacing w:after="0"/>
              <w:rPr>
                <w:sz w:val="2"/>
                <w:szCs w:val="2"/>
                <w:color w:val="auto"/>
              </w:rPr>
            </w:pPr>
          </w:p>
        </w:tc>
        <w:tc>
          <w:tcPr>
            <w:tcW w:w="1100" w:type="dxa"/>
            <w:vAlign w:val="bottom"/>
            <w:tcBorders>
              <w:bottom w:val="single" w:sz="8" w:color="0C3471"/>
            </w:tcBorders>
          </w:tcPr>
          <w:p>
            <w:pPr>
              <w:spacing w:after="0"/>
              <w:rPr>
                <w:sz w:val="2"/>
                <w:szCs w:val="2"/>
                <w:color w:val="auto"/>
              </w:rPr>
            </w:pPr>
          </w:p>
        </w:tc>
        <w:tc>
          <w:tcPr>
            <w:tcW w:w="900" w:type="dxa"/>
            <w:vAlign w:val="bottom"/>
            <w:tcBorders>
              <w:bottom w:val="single" w:sz="8" w:color="0C3471"/>
            </w:tcBorders>
          </w:tcPr>
          <w:p>
            <w:pPr>
              <w:spacing w:after="0"/>
              <w:rPr>
                <w:sz w:val="2"/>
                <w:szCs w:val="2"/>
                <w:color w:val="auto"/>
              </w:rPr>
            </w:pPr>
          </w:p>
        </w:tc>
        <w:tc>
          <w:tcPr>
            <w:tcW w:w="800" w:type="dxa"/>
            <w:vAlign w:val="bottom"/>
            <w:tcBorders>
              <w:bottom w:val="single" w:sz="8" w:color="0C3471"/>
            </w:tcBorders>
          </w:tcPr>
          <w:p>
            <w:pPr>
              <w:spacing w:after="0"/>
              <w:rPr>
                <w:sz w:val="2"/>
                <w:szCs w:val="2"/>
                <w:color w:val="auto"/>
              </w:rPr>
            </w:pPr>
          </w:p>
        </w:tc>
        <w:tc>
          <w:tcPr>
            <w:tcW w:w="740" w:type="dxa"/>
            <w:vAlign w:val="bottom"/>
            <w:tcBorders>
              <w:bottom w:val="single" w:sz="8" w:color="0C3471"/>
            </w:tcBorders>
          </w:tcPr>
          <w:p>
            <w:pPr>
              <w:spacing w:after="0"/>
              <w:rPr>
                <w:sz w:val="2"/>
                <w:szCs w:val="2"/>
                <w:color w:val="auto"/>
              </w:rPr>
            </w:pPr>
          </w:p>
        </w:tc>
        <w:tc>
          <w:tcPr>
            <w:tcW w:w="920" w:type="dxa"/>
            <w:vAlign w:val="bottom"/>
            <w:tcBorders>
              <w:bottom w:val="single" w:sz="8" w:color="0C3471"/>
            </w:tcBorders>
          </w:tcPr>
          <w:p>
            <w:pPr>
              <w:spacing w:after="0"/>
              <w:rPr>
                <w:sz w:val="2"/>
                <w:szCs w:val="2"/>
                <w:color w:val="auto"/>
              </w:rPr>
            </w:pPr>
          </w:p>
        </w:tc>
        <w:tc>
          <w:tcPr>
            <w:tcW w:w="660" w:type="dxa"/>
            <w:vAlign w:val="bottom"/>
            <w:tcBorders>
              <w:bottom w:val="single" w:sz="8" w:color="0C3471"/>
            </w:tcBorders>
          </w:tcPr>
          <w:p>
            <w:pPr>
              <w:spacing w:after="0"/>
              <w:rPr>
                <w:sz w:val="2"/>
                <w:szCs w:val="2"/>
                <w:color w:val="auto"/>
              </w:rPr>
            </w:pPr>
          </w:p>
        </w:tc>
        <w:tc>
          <w:tcPr>
            <w:tcW w:w="820" w:type="dxa"/>
            <w:vAlign w:val="bottom"/>
            <w:tcBorders>
              <w:bottom w:val="single" w:sz="8" w:color="0C3471"/>
            </w:tcBorders>
          </w:tcPr>
          <w:p>
            <w:pPr>
              <w:spacing w:after="0"/>
              <w:rPr>
                <w:sz w:val="2"/>
                <w:szCs w:val="2"/>
                <w:color w:val="auto"/>
              </w:rPr>
            </w:pPr>
          </w:p>
        </w:tc>
        <w:tc>
          <w:tcPr>
            <w:tcW w:w="880" w:type="dxa"/>
            <w:vAlign w:val="bottom"/>
            <w:tcBorders>
              <w:bottom w:val="single" w:sz="8" w:color="0C3471"/>
            </w:tcBorders>
          </w:tcPr>
          <w:p>
            <w:pPr>
              <w:spacing w:after="0"/>
              <w:rPr>
                <w:sz w:val="2"/>
                <w:szCs w:val="2"/>
                <w:color w:val="auto"/>
              </w:rPr>
            </w:pPr>
          </w:p>
        </w:tc>
        <w:tc>
          <w:tcPr>
            <w:tcW w:w="980" w:type="dxa"/>
            <w:vAlign w:val="bottom"/>
            <w:tcBorders>
              <w:bottom w:val="single" w:sz="8" w:color="0C3471"/>
            </w:tcBorders>
          </w:tcPr>
          <w:p>
            <w:pPr>
              <w:spacing w:after="0"/>
              <w:rPr>
                <w:sz w:val="2"/>
                <w:szCs w:val="2"/>
                <w:color w:val="auto"/>
              </w:rPr>
            </w:pPr>
          </w:p>
        </w:tc>
        <w:tc>
          <w:tcPr>
            <w:tcW w:w="800" w:type="dxa"/>
            <w:vAlign w:val="bottom"/>
            <w:tcBorders>
              <w:bottom w:val="single" w:sz="8" w:color="0C3471"/>
            </w:tcBorders>
          </w:tcPr>
          <w:p>
            <w:pPr>
              <w:spacing w:after="0"/>
              <w:rPr>
                <w:sz w:val="2"/>
                <w:szCs w:val="2"/>
                <w:color w:val="auto"/>
              </w:rPr>
            </w:pPr>
          </w:p>
        </w:tc>
        <w:tc>
          <w:tcPr>
            <w:tcW w:w="760" w:type="dxa"/>
            <w:vAlign w:val="bottom"/>
            <w:tcBorders>
              <w:bottom w:val="single" w:sz="8" w:color="0C3471"/>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jc w:val="both"/>
        <w:ind w:left="200" w:right="120" w:hanging="192"/>
        <w:spacing w:after="0" w:line="303" w:lineRule="auto"/>
        <w:tabs>
          <w:tab w:leader="none" w:pos="228" w:val="left"/>
        </w:tabs>
        <w:numPr>
          <w:ilvl w:val="0"/>
          <w:numId w:val="104"/>
        </w:numPr>
        <w:rPr>
          <w:rFonts w:ascii="Arial" w:cs="Arial" w:eastAsia="Arial" w:hAnsi="Arial"/>
          <w:sz w:val="9"/>
          <w:szCs w:val="9"/>
          <w:color w:val="auto"/>
        </w:rPr>
      </w:pPr>
      <w:r>
        <w:rPr>
          <w:rFonts w:ascii="Arial" w:cs="Arial" w:eastAsia="Arial" w:hAnsi="Arial"/>
          <w:sz w:val="14"/>
          <w:szCs w:val="14"/>
          <w:color w:val="auto"/>
        </w:rPr>
        <w:t>These amounts are based on the Named Executive Officer’s current position and base salary in effect on December 31, 2025. The amounts shown in column (d) reflect the total of the threshold payment levels for each element under our MIP. This amount is 50% of the target amounts shown in column (e). The amounts shown in column (f) are 200% of such target amounts for each Named Executive Officer.</w:t>
      </w:r>
    </w:p>
    <w:p>
      <w:pPr>
        <w:spacing w:after="0" w:line="24" w:lineRule="exact"/>
        <w:rPr>
          <w:rFonts w:ascii="Arial" w:cs="Arial" w:eastAsia="Arial" w:hAnsi="Arial"/>
          <w:sz w:val="9"/>
          <w:szCs w:val="9"/>
          <w:color w:val="auto"/>
        </w:rPr>
      </w:pPr>
    </w:p>
    <w:p>
      <w:pPr>
        <w:ind w:left="200" w:right="40" w:hanging="192"/>
        <w:spacing w:after="0" w:line="303" w:lineRule="auto"/>
        <w:tabs>
          <w:tab w:leader="none" w:pos="214" w:val="left"/>
        </w:tabs>
        <w:numPr>
          <w:ilvl w:val="0"/>
          <w:numId w:val="104"/>
        </w:numPr>
        <w:rPr>
          <w:rFonts w:ascii="Arial" w:cs="Arial" w:eastAsia="Arial" w:hAnsi="Arial"/>
          <w:sz w:val="9"/>
          <w:szCs w:val="9"/>
          <w:color w:val="auto"/>
        </w:rPr>
      </w:pPr>
      <w:r>
        <w:rPr>
          <w:rFonts w:ascii="Arial" w:cs="Arial" w:eastAsia="Arial" w:hAnsi="Arial"/>
          <w:sz w:val="14"/>
          <w:szCs w:val="14"/>
          <w:color w:val="auto"/>
        </w:rPr>
        <w:t>The amounts shown in column (g) reflect the total of the threshold payment levels for 2025-2027 awards of performance share units granted in 2025 under the 2020 Plan set at 50% of the target amounts shown in column (h). The amounts shown in column (i) are 200% of such target amounts. Any amounts payable with respect to performance share units would be paid in February 2028, based on cumulative company performance for the period from 2025 to 2027.</w:t>
      </w:r>
    </w:p>
    <w:p>
      <w:pPr>
        <w:spacing w:after="0" w:line="24" w:lineRule="exact"/>
        <w:rPr>
          <w:rFonts w:ascii="Arial" w:cs="Arial" w:eastAsia="Arial" w:hAnsi="Arial"/>
          <w:sz w:val="9"/>
          <w:szCs w:val="9"/>
          <w:color w:val="auto"/>
        </w:rPr>
      </w:pPr>
    </w:p>
    <w:p>
      <w:pPr>
        <w:ind w:left="200" w:hanging="192"/>
        <w:spacing w:after="0" w:line="325" w:lineRule="auto"/>
        <w:tabs>
          <w:tab w:leader="none" w:pos="214" w:val="left"/>
        </w:tabs>
        <w:numPr>
          <w:ilvl w:val="0"/>
          <w:numId w:val="104"/>
        </w:numPr>
        <w:rPr>
          <w:rFonts w:ascii="Arial" w:cs="Arial" w:eastAsia="Arial" w:hAnsi="Arial"/>
          <w:sz w:val="9"/>
          <w:szCs w:val="9"/>
          <w:color w:val="auto"/>
        </w:rPr>
      </w:pPr>
      <w:r>
        <w:rPr>
          <w:rFonts w:ascii="Arial" w:cs="Arial" w:eastAsia="Arial" w:hAnsi="Arial"/>
          <w:sz w:val="14"/>
          <w:szCs w:val="14"/>
          <w:color w:val="auto"/>
        </w:rPr>
        <w:t>The Compensation Committee’s practices for granting options, performance share units and restricted stock units, including the timing of all grants and approvals thereof, are described under “Compensation Discussion and Analysis — 2025 Long-Term Incentive Compensation.”</w:t>
      </w:r>
    </w:p>
    <w:p>
      <w:pPr>
        <w:spacing w:after="0" w:line="9" w:lineRule="exact"/>
        <w:rPr>
          <w:rFonts w:ascii="Arial" w:cs="Arial" w:eastAsia="Arial" w:hAnsi="Arial"/>
          <w:sz w:val="9"/>
          <w:szCs w:val="9"/>
          <w:color w:val="auto"/>
        </w:rPr>
      </w:pPr>
    </w:p>
    <w:p>
      <w:pPr>
        <w:ind w:left="200" w:hanging="192"/>
        <w:spacing w:after="0"/>
        <w:tabs>
          <w:tab w:leader="none" w:pos="200" w:val="left"/>
        </w:tabs>
        <w:numPr>
          <w:ilvl w:val="0"/>
          <w:numId w:val="104"/>
        </w:numPr>
        <w:rPr>
          <w:rFonts w:ascii="Arial" w:cs="Arial" w:eastAsia="Arial" w:hAnsi="Arial"/>
          <w:sz w:val="9"/>
          <w:szCs w:val="9"/>
          <w:color w:val="auto"/>
        </w:rPr>
      </w:pPr>
      <w:r>
        <w:rPr>
          <w:rFonts w:ascii="Arial" w:cs="Arial" w:eastAsia="Arial" w:hAnsi="Arial"/>
          <w:sz w:val="14"/>
          <w:szCs w:val="14"/>
          <w:color w:val="auto"/>
        </w:rPr>
        <w:t>The amounts shown in column (j) reflect the number of restricted stock units granted to each Named Executive Officer in 2025.</w:t>
      </w:r>
    </w:p>
    <w:p>
      <w:pPr>
        <w:spacing w:after="0" w:line="80" w:lineRule="exact"/>
        <w:rPr>
          <w:rFonts w:ascii="Arial" w:cs="Arial" w:eastAsia="Arial" w:hAnsi="Arial"/>
          <w:sz w:val="9"/>
          <w:szCs w:val="9"/>
          <w:color w:val="auto"/>
        </w:rPr>
      </w:pPr>
    </w:p>
    <w:p>
      <w:pPr>
        <w:ind w:left="220" w:hanging="212"/>
        <w:spacing w:after="0"/>
        <w:tabs>
          <w:tab w:leader="none" w:pos="220" w:val="left"/>
        </w:tabs>
        <w:numPr>
          <w:ilvl w:val="0"/>
          <w:numId w:val="104"/>
        </w:numPr>
        <w:rPr>
          <w:rFonts w:ascii="Arial" w:cs="Arial" w:eastAsia="Arial" w:hAnsi="Arial"/>
          <w:sz w:val="19"/>
          <w:szCs w:val="19"/>
          <w:color w:val="auto"/>
          <w:vertAlign w:val="superscript"/>
        </w:rPr>
      </w:pPr>
      <w:r>
        <w:rPr>
          <w:rFonts w:ascii="Arial" w:cs="Arial" w:eastAsia="Arial" w:hAnsi="Arial"/>
          <w:sz w:val="14"/>
          <w:szCs w:val="14"/>
          <w:color w:val="auto"/>
        </w:rPr>
        <w:t>The amounts shown in column (k) reflect the number of options to purchase ordinary shares granted to each Named Executive Officer in 2025.</w:t>
      </w:r>
    </w:p>
    <w:p>
      <w:pPr>
        <w:spacing w:after="0" w:line="66" w:lineRule="exact"/>
        <w:rPr>
          <w:rFonts w:ascii="Arial" w:cs="Arial" w:eastAsia="Arial" w:hAnsi="Arial"/>
          <w:sz w:val="19"/>
          <w:szCs w:val="19"/>
          <w:color w:val="auto"/>
          <w:vertAlign w:val="superscript"/>
        </w:rPr>
      </w:pPr>
    </w:p>
    <w:p>
      <w:pPr>
        <w:ind w:left="200" w:right="280" w:hanging="192"/>
        <w:spacing w:after="0" w:line="239" w:lineRule="auto"/>
        <w:tabs>
          <w:tab w:leader="none" w:pos="214" w:val="left"/>
        </w:tabs>
        <w:numPr>
          <w:ilvl w:val="0"/>
          <w:numId w:val="104"/>
        </w:numPr>
        <w:rPr>
          <w:rFonts w:ascii="Arial" w:cs="Arial" w:eastAsia="Arial" w:hAnsi="Arial"/>
          <w:sz w:val="19"/>
          <w:szCs w:val="19"/>
          <w:color w:val="auto"/>
          <w:vertAlign w:val="superscript"/>
        </w:rPr>
      </w:pPr>
      <w:r>
        <w:rPr>
          <w:rFonts w:ascii="Arial" w:cs="Arial" w:eastAsia="Arial" w:hAnsi="Arial"/>
          <w:sz w:val="14"/>
          <w:szCs w:val="14"/>
          <w:color w:val="auto"/>
        </w:rPr>
        <w:t>The amounts shown in column (m) reflect the grant date fair value of the awards of restricted stock units, performance share units (at target performance level) and stock options computed in accordance with ASC 718.</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600" w:hanging="574"/>
        <w:spacing w:after="0"/>
        <w:tabs>
          <w:tab w:leader="none" w:pos="600" w:val="left"/>
        </w:tabs>
        <w:numPr>
          <w:ilvl w:val="0"/>
          <w:numId w:val="105"/>
        </w:numPr>
        <w:rPr>
          <w:rFonts w:ascii="Arial" w:cs="Arial" w:eastAsia="Arial" w:hAnsi="Arial"/>
          <w:sz w:val="16"/>
          <w:szCs w:val="16"/>
          <w:b w:val="1"/>
          <w:bCs w:val="1"/>
          <w:color w:val="auto"/>
        </w:rPr>
      </w:pPr>
      <w:r>
        <w:rPr>
          <w:rFonts w:ascii="Arial" w:cs="Arial" w:eastAsia="Arial" w:hAnsi="Arial"/>
          <w:sz w:val="16"/>
          <w:szCs w:val="16"/>
          <w:color w:val="auto"/>
        </w:rPr>
        <w:t xml:space="preserve">Pentair </w:t>
      </w:r>
      <w:r>
        <w:rPr>
          <w:rFonts w:ascii="Arial" w:cs="Arial" w:eastAsia="Arial" w:hAnsi="Arial"/>
          <w:sz w:val="16"/>
          <w:szCs w:val="16"/>
          <w:b w:val="1"/>
          <w:bCs w:val="1"/>
          <w:color w:val="0C3471"/>
        </w:rPr>
        <w:t>|</w:t>
      </w:r>
      <w:r>
        <w:rPr>
          <w:rFonts w:ascii="Arial" w:cs="Arial" w:eastAsia="Arial" w:hAnsi="Arial"/>
          <w:sz w:val="16"/>
          <w:szCs w:val="16"/>
          <w:color w:val="auto"/>
        </w:rPr>
        <w:t xml:space="preserve"> </w:t>
      </w:r>
      <w:r>
        <w:rPr>
          <w:rFonts w:ascii="Arial" w:cs="Arial" w:eastAsia="Arial" w:hAnsi="Arial"/>
          <w:sz w:val="16"/>
          <w:szCs w:val="16"/>
          <w:b w:val="1"/>
          <w:bCs w:val="1"/>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213995</wp:posOffset>
            </wp:positionV>
            <wp:extent cx="7157720" cy="425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60" w:name="page61"/>
    <w:bookmarkEnd w:id="60"/>
    <w:p>
      <w:pPr>
        <w:ind w:left="874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5274310</wp:posOffset>
            </wp:positionH>
            <wp:positionV relativeFrom="page">
              <wp:posOffset>106045</wp:posOffset>
            </wp:positionV>
            <wp:extent cx="102870" cy="11176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clrChange>
                        <a:clrFrom>
                          <a:srgbClr val="FFFFFF"/>
                        </a:clrFrom>
                        <a:clrTo>
                          <a:srgbClr val="FFFFFF">
                            <a:alpha val="0"/>
                          </a:srgbClr>
                        </a:clrTo>
                      </a:clrChange>
                      <a:extLst>
                        <a:ext uri="{28A0092B-C50C-407E-A947-70E740481C1C}"/>
                      </a:extLst>
                    </a:blip>
                    <a:srcRect/>
                    <a:stretch>
                      <a:fillRect/>
                    </a:stretch>
                  </pic:blipFill>
                  <pic:spPr bwMode="auto">
                    <a:xfrm>
                      <a:off x="0" y="0"/>
                      <a:ext cx="102870" cy="111760"/>
                    </a:xfrm>
                    <a:prstGeom prst="rect">
                      <a:avLst/>
                    </a:prstGeom>
                    <a:noFill/>
                  </pic:spPr>
                </pic:pic>
              </a:graphicData>
            </a:graphic>
          </wp:anchor>
        </w:drawing>
        <w:t>Executive Compensation Tables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32"/>
          <w:szCs w:val="32"/>
          <w:color w:val="0C3471"/>
        </w:rPr>
        <w:t>Outstanding Equity Awards at December 31, 2025</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9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20" w:type="dxa"/>
            <w:vAlign w:val="bottom"/>
            <w:gridSpan w:val="2"/>
          </w:tcPr>
          <w:p>
            <w:pPr>
              <w:jc w:val="right"/>
              <w:spacing w:after="0"/>
              <w:rPr>
                <w:sz w:val="20"/>
                <w:szCs w:val="20"/>
                <w:color w:val="auto"/>
              </w:rPr>
            </w:pPr>
            <w:r>
              <w:rPr>
                <w:rFonts w:ascii="Arial" w:cs="Arial" w:eastAsia="Arial" w:hAnsi="Arial"/>
                <w:sz w:val="13"/>
                <w:szCs w:val="13"/>
                <w:b w:val="1"/>
                <w:bCs w:val="1"/>
                <w:color w:val="0C3471"/>
              </w:rPr>
              <w:t>Option Awards</w:t>
            </w:r>
          </w:p>
        </w:tc>
        <w:tc>
          <w:tcPr>
            <w:tcW w:w="8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3"/>
                <w:szCs w:val="13"/>
                <w:b w:val="1"/>
                <w:bCs w:val="1"/>
                <w:color w:val="0C3471"/>
              </w:rPr>
              <w:t>Stock Awards</w:t>
            </w:r>
          </w:p>
        </w:tc>
        <w:tc>
          <w:tcPr>
            <w:tcW w:w="98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22"/>
        </w:trPr>
        <w:tc>
          <w:tcPr>
            <w:tcW w:w="1920" w:type="dxa"/>
            <w:vAlign w:val="bottom"/>
          </w:tcPr>
          <w:p>
            <w:pPr>
              <w:spacing w:after="0" w:line="20" w:lineRule="exact"/>
              <w:rPr>
                <w:sz w:val="1"/>
                <w:szCs w:val="1"/>
                <w:color w:val="auto"/>
              </w:rPr>
            </w:pPr>
          </w:p>
        </w:tc>
        <w:tc>
          <w:tcPr>
            <w:tcW w:w="1340" w:type="dxa"/>
            <w:vAlign w:val="bottom"/>
            <w:tcBorders>
              <w:bottom w:val="single" w:sz="8" w:color="BCBEC0"/>
            </w:tcBorders>
          </w:tcPr>
          <w:p>
            <w:pPr>
              <w:spacing w:after="0" w:line="20" w:lineRule="exact"/>
              <w:rPr>
                <w:sz w:val="1"/>
                <w:szCs w:val="1"/>
                <w:color w:val="auto"/>
              </w:rPr>
            </w:pPr>
          </w:p>
        </w:tc>
        <w:tc>
          <w:tcPr>
            <w:tcW w:w="660" w:type="dxa"/>
            <w:vAlign w:val="bottom"/>
            <w:tcBorders>
              <w:bottom w:val="single" w:sz="8" w:color="BCBEC0"/>
            </w:tcBorders>
          </w:tcPr>
          <w:p>
            <w:pPr>
              <w:spacing w:after="0" w:line="20" w:lineRule="exact"/>
              <w:rPr>
                <w:sz w:val="1"/>
                <w:szCs w:val="1"/>
                <w:color w:val="auto"/>
              </w:rPr>
            </w:pPr>
          </w:p>
        </w:tc>
        <w:tc>
          <w:tcPr>
            <w:tcW w:w="760" w:type="dxa"/>
            <w:vAlign w:val="bottom"/>
            <w:tcBorders>
              <w:bottom w:val="single" w:sz="8" w:color="BCBEC0"/>
            </w:tcBorders>
          </w:tcPr>
          <w:p>
            <w:pPr>
              <w:spacing w:after="0" w:line="20" w:lineRule="exact"/>
              <w:rPr>
                <w:sz w:val="1"/>
                <w:szCs w:val="1"/>
                <w:color w:val="auto"/>
              </w:rPr>
            </w:pPr>
          </w:p>
        </w:tc>
        <w:tc>
          <w:tcPr>
            <w:tcW w:w="860" w:type="dxa"/>
            <w:vAlign w:val="bottom"/>
            <w:tcBorders>
              <w:bottom w:val="single" w:sz="8" w:color="BCBEC0"/>
            </w:tcBorders>
          </w:tcPr>
          <w:p>
            <w:pPr>
              <w:spacing w:after="0" w:line="20" w:lineRule="exact"/>
              <w:rPr>
                <w:sz w:val="1"/>
                <w:szCs w:val="1"/>
                <w:color w:val="auto"/>
              </w:rPr>
            </w:pPr>
          </w:p>
        </w:tc>
        <w:tc>
          <w:tcPr>
            <w:tcW w:w="1120" w:type="dxa"/>
            <w:vAlign w:val="bottom"/>
            <w:tcBorders>
              <w:bottom w:val="single" w:sz="8" w:color="BCBEC0"/>
            </w:tcBorders>
          </w:tcPr>
          <w:p>
            <w:pPr>
              <w:spacing w:after="0" w:line="20" w:lineRule="exact"/>
              <w:rPr>
                <w:sz w:val="1"/>
                <w:szCs w:val="1"/>
                <w:color w:val="auto"/>
              </w:rPr>
            </w:pPr>
          </w:p>
        </w:tc>
        <w:tc>
          <w:tcPr>
            <w:tcW w:w="1140" w:type="dxa"/>
            <w:vAlign w:val="bottom"/>
            <w:tcBorders>
              <w:bottom w:val="single" w:sz="8" w:color="BCBEC0"/>
            </w:tcBorders>
          </w:tcPr>
          <w:p>
            <w:pPr>
              <w:spacing w:after="0" w:line="20" w:lineRule="exact"/>
              <w:rPr>
                <w:sz w:val="1"/>
                <w:szCs w:val="1"/>
                <w:color w:val="auto"/>
              </w:rPr>
            </w:pPr>
          </w:p>
        </w:tc>
        <w:tc>
          <w:tcPr>
            <w:tcW w:w="1440" w:type="dxa"/>
            <w:vAlign w:val="bottom"/>
            <w:tcBorders>
              <w:bottom w:val="single" w:sz="8" w:color="BCBEC0"/>
            </w:tcBorders>
          </w:tcPr>
          <w:p>
            <w:pPr>
              <w:spacing w:after="0" w:line="20" w:lineRule="exact"/>
              <w:rPr>
                <w:sz w:val="1"/>
                <w:szCs w:val="1"/>
                <w:color w:val="auto"/>
              </w:rPr>
            </w:pPr>
          </w:p>
        </w:tc>
        <w:tc>
          <w:tcPr>
            <w:tcW w:w="980" w:type="dxa"/>
            <w:vAlign w:val="bottom"/>
            <w:tcBorders>
              <w:bottom w:val="single" w:sz="8" w:color="BCBEC0"/>
            </w:tcBorders>
          </w:tcPr>
          <w:p>
            <w:pPr>
              <w:spacing w:after="0" w:line="20" w:lineRule="exact"/>
              <w:rPr>
                <w:sz w:val="1"/>
                <w:szCs w:val="1"/>
                <w:color w:val="auto"/>
              </w:rPr>
            </w:pPr>
          </w:p>
        </w:tc>
        <w:tc>
          <w:tcPr>
            <w:tcW w:w="1020" w:type="dxa"/>
            <w:vAlign w:val="bottom"/>
            <w:tcBorders>
              <w:bottom w:val="single" w:sz="8" w:color="BCBEC0"/>
            </w:tcBorders>
          </w:tcPr>
          <w:p>
            <w:pPr>
              <w:spacing w:after="0" w:line="20" w:lineRule="exact"/>
              <w:rPr>
                <w:sz w:val="1"/>
                <w:szCs w:val="1"/>
                <w:color w:val="auto"/>
              </w:rPr>
            </w:pPr>
          </w:p>
        </w:tc>
      </w:tr>
      <w:tr>
        <w:trPr>
          <w:trHeight w:val="151"/>
        </w:trPr>
        <w:tc>
          <w:tcPr>
            <w:tcW w:w="19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3"/>
                <w:szCs w:val="13"/>
                <w:b w:val="1"/>
                <w:bCs w:val="1"/>
                <w:color w:val="auto"/>
              </w:rPr>
              <w:t>Equity</w:t>
            </w:r>
          </w:p>
        </w:tc>
      </w:tr>
      <w:tr>
        <w:trPr>
          <w:trHeight w:val="148"/>
        </w:trPr>
        <w:tc>
          <w:tcPr>
            <w:tcW w:w="19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980" w:type="dxa"/>
            <w:vAlign w:val="bottom"/>
          </w:tcPr>
          <w:p>
            <w:pPr>
              <w:jc w:val="right"/>
              <w:ind w:right="155"/>
              <w:spacing w:after="0"/>
              <w:rPr>
                <w:sz w:val="20"/>
                <w:szCs w:val="20"/>
                <w:color w:val="auto"/>
              </w:rPr>
            </w:pPr>
            <w:r>
              <w:rPr>
                <w:rFonts w:ascii="Arial" w:cs="Arial" w:eastAsia="Arial" w:hAnsi="Arial"/>
                <w:sz w:val="13"/>
                <w:szCs w:val="13"/>
                <w:b w:val="1"/>
                <w:bCs w:val="1"/>
                <w:color w:val="auto"/>
              </w:rPr>
              <w:t>Equity</w:t>
            </w:r>
          </w:p>
        </w:tc>
        <w:tc>
          <w:tcPr>
            <w:tcW w:w="1020" w:type="dxa"/>
            <w:vAlign w:val="bottom"/>
          </w:tcPr>
          <w:p>
            <w:pPr>
              <w:jc w:val="right"/>
              <w:spacing w:after="0"/>
              <w:rPr>
                <w:sz w:val="20"/>
                <w:szCs w:val="20"/>
                <w:color w:val="auto"/>
              </w:rPr>
            </w:pPr>
            <w:r>
              <w:rPr>
                <w:rFonts w:ascii="Arial" w:cs="Arial" w:eastAsia="Arial" w:hAnsi="Arial"/>
                <w:sz w:val="13"/>
                <w:szCs w:val="13"/>
                <w:b w:val="1"/>
                <w:bCs w:val="1"/>
                <w:color w:val="auto"/>
              </w:rPr>
              <w:t>incentive</w:t>
            </w:r>
          </w:p>
        </w:tc>
      </w:tr>
      <w:tr>
        <w:trPr>
          <w:trHeight w:val="149"/>
        </w:trPr>
        <w:tc>
          <w:tcPr>
            <w:tcW w:w="19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980" w:type="dxa"/>
            <w:vAlign w:val="bottom"/>
          </w:tcPr>
          <w:p>
            <w:pPr>
              <w:jc w:val="right"/>
              <w:ind w:right="155"/>
              <w:spacing w:after="0"/>
              <w:rPr>
                <w:sz w:val="20"/>
                <w:szCs w:val="20"/>
                <w:color w:val="auto"/>
              </w:rPr>
            </w:pPr>
            <w:r>
              <w:rPr>
                <w:rFonts w:ascii="Arial" w:cs="Arial" w:eastAsia="Arial" w:hAnsi="Arial"/>
                <w:sz w:val="13"/>
                <w:szCs w:val="13"/>
                <w:b w:val="1"/>
                <w:bCs w:val="1"/>
                <w:color w:val="auto"/>
              </w:rPr>
              <w:t>incentive</w:t>
            </w:r>
          </w:p>
        </w:tc>
        <w:tc>
          <w:tcPr>
            <w:tcW w:w="1020" w:type="dxa"/>
            <w:vAlign w:val="bottom"/>
          </w:tcPr>
          <w:p>
            <w:pPr>
              <w:jc w:val="right"/>
              <w:spacing w:after="0"/>
              <w:rPr>
                <w:sz w:val="20"/>
                <w:szCs w:val="20"/>
                <w:color w:val="auto"/>
              </w:rPr>
            </w:pPr>
            <w:r>
              <w:rPr>
                <w:rFonts w:ascii="Arial" w:cs="Arial" w:eastAsia="Arial" w:hAnsi="Arial"/>
                <w:sz w:val="13"/>
                <w:szCs w:val="13"/>
                <w:b w:val="1"/>
                <w:bCs w:val="1"/>
                <w:color w:val="auto"/>
              </w:rPr>
              <w:t>plan awards:</w:t>
            </w:r>
          </w:p>
        </w:tc>
      </w:tr>
      <w:tr>
        <w:trPr>
          <w:trHeight w:val="148"/>
        </w:trPr>
        <w:tc>
          <w:tcPr>
            <w:tcW w:w="19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140" w:type="dxa"/>
            <w:vAlign w:val="bottom"/>
          </w:tcPr>
          <w:p>
            <w:pPr>
              <w:jc w:val="right"/>
              <w:ind w:right="137"/>
              <w:spacing w:after="0"/>
              <w:rPr>
                <w:sz w:val="20"/>
                <w:szCs w:val="20"/>
                <w:color w:val="auto"/>
              </w:rPr>
            </w:pPr>
            <w:r>
              <w:rPr>
                <w:rFonts w:ascii="Arial" w:cs="Arial" w:eastAsia="Arial" w:hAnsi="Arial"/>
                <w:sz w:val="13"/>
                <w:szCs w:val="13"/>
                <w:b w:val="1"/>
                <w:bCs w:val="1"/>
                <w:color w:val="auto"/>
              </w:rPr>
              <w:t>Number of</w:t>
            </w:r>
          </w:p>
        </w:tc>
        <w:tc>
          <w:tcPr>
            <w:tcW w:w="1440" w:type="dxa"/>
            <w:vAlign w:val="bottom"/>
          </w:tcPr>
          <w:p>
            <w:pPr>
              <w:spacing w:after="0"/>
              <w:rPr>
                <w:sz w:val="12"/>
                <w:szCs w:val="12"/>
                <w:color w:val="auto"/>
              </w:rPr>
            </w:pPr>
          </w:p>
        </w:tc>
        <w:tc>
          <w:tcPr>
            <w:tcW w:w="980" w:type="dxa"/>
            <w:vAlign w:val="bottom"/>
          </w:tcPr>
          <w:p>
            <w:pPr>
              <w:jc w:val="right"/>
              <w:ind w:right="155"/>
              <w:spacing w:after="0"/>
              <w:rPr>
                <w:sz w:val="20"/>
                <w:szCs w:val="20"/>
                <w:color w:val="auto"/>
              </w:rPr>
            </w:pPr>
            <w:r>
              <w:rPr>
                <w:rFonts w:ascii="Arial" w:cs="Arial" w:eastAsia="Arial" w:hAnsi="Arial"/>
                <w:sz w:val="13"/>
                <w:szCs w:val="13"/>
                <w:b w:val="1"/>
                <w:bCs w:val="1"/>
                <w:color w:val="auto"/>
                <w:w w:val="93"/>
              </w:rPr>
              <w:t>plan awards:</w:t>
            </w:r>
          </w:p>
        </w:tc>
        <w:tc>
          <w:tcPr>
            <w:tcW w:w="1020" w:type="dxa"/>
            <w:vAlign w:val="bottom"/>
          </w:tcPr>
          <w:p>
            <w:pPr>
              <w:jc w:val="right"/>
              <w:spacing w:after="0"/>
              <w:rPr>
                <w:sz w:val="20"/>
                <w:szCs w:val="20"/>
                <w:color w:val="auto"/>
              </w:rPr>
            </w:pPr>
            <w:r>
              <w:rPr>
                <w:rFonts w:ascii="Arial" w:cs="Arial" w:eastAsia="Arial" w:hAnsi="Arial"/>
                <w:sz w:val="13"/>
                <w:szCs w:val="13"/>
                <w:b w:val="1"/>
                <w:bCs w:val="1"/>
                <w:color w:val="auto"/>
              </w:rPr>
              <w:t>Market or</w:t>
            </w:r>
          </w:p>
        </w:tc>
      </w:tr>
      <w:tr>
        <w:trPr>
          <w:trHeight w:val="162"/>
        </w:trPr>
        <w:tc>
          <w:tcPr>
            <w:tcW w:w="1920" w:type="dxa"/>
            <w:vAlign w:val="bottom"/>
          </w:tcPr>
          <w:p>
            <w:pPr>
              <w:spacing w:after="0"/>
              <w:rPr>
                <w:sz w:val="14"/>
                <w:szCs w:val="14"/>
                <w:color w:val="auto"/>
              </w:rPr>
            </w:pPr>
          </w:p>
        </w:tc>
        <w:tc>
          <w:tcPr>
            <w:tcW w:w="1340" w:type="dxa"/>
            <w:vAlign w:val="bottom"/>
          </w:tcPr>
          <w:p>
            <w:pPr>
              <w:jc w:val="right"/>
              <w:ind w:right="153"/>
              <w:spacing w:after="0"/>
              <w:rPr>
                <w:sz w:val="20"/>
                <w:szCs w:val="20"/>
                <w:color w:val="auto"/>
              </w:rPr>
            </w:pPr>
            <w:r>
              <w:rPr>
                <w:rFonts w:ascii="Arial" w:cs="Arial" w:eastAsia="Arial" w:hAnsi="Arial"/>
                <w:sz w:val="13"/>
                <w:szCs w:val="13"/>
                <w:b w:val="1"/>
                <w:bCs w:val="1"/>
                <w:color w:val="auto"/>
              </w:rPr>
              <w:t>Number of</w:t>
            </w:r>
          </w:p>
        </w:tc>
        <w:tc>
          <w:tcPr>
            <w:tcW w:w="1420" w:type="dxa"/>
            <w:vAlign w:val="bottom"/>
            <w:gridSpan w:val="2"/>
          </w:tcPr>
          <w:p>
            <w:pPr>
              <w:jc w:val="center"/>
              <w:ind w:left="93"/>
              <w:spacing w:after="0"/>
              <w:rPr>
                <w:sz w:val="20"/>
                <w:szCs w:val="20"/>
                <w:color w:val="auto"/>
              </w:rPr>
            </w:pPr>
            <w:r>
              <w:rPr>
                <w:rFonts w:ascii="Arial" w:cs="Arial" w:eastAsia="Arial" w:hAnsi="Arial"/>
                <w:sz w:val="13"/>
                <w:szCs w:val="13"/>
                <w:b w:val="1"/>
                <w:bCs w:val="1"/>
                <w:color w:val="auto"/>
                <w:w w:val="95"/>
              </w:rPr>
              <w:t>Number of</w:t>
            </w:r>
          </w:p>
        </w:tc>
        <w:tc>
          <w:tcPr>
            <w:tcW w:w="8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40" w:type="dxa"/>
            <w:vAlign w:val="bottom"/>
          </w:tcPr>
          <w:p>
            <w:pPr>
              <w:jc w:val="right"/>
              <w:ind w:right="137"/>
              <w:spacing w:after="0"/>
              <w:rPr>
                <w:sz w:val="20"/>
                <w:szCs w:val="20"/>
                <w:color w:val="auto"/>
              </w:rPr>
            </w:pPr>
            <w:r>
              <w:rPr>
                <w:rFonts w:ascii="Arial" w:cs="Arial" w:eastAsia="Arial" w:hAnsi="Arial"/>
                <w:sz w:val="13"/>
                <w:szCs w:val="13"/>
                <w:b w:val="1"/>
                <w:bCs w:val="1"/>
                <w:color w:val="auto"/>
              </w:rPr>
              <w:t>shares of</w:t>
            </w:r>
          </w:p>
        </w:tc>
        <w:tc>
          <w:tcPr>
            <w:tcW w:w="1440" w:type="dxa"/>
            <w:vAlign w:val="bottom"/>
          </w:tcPr>
          <w:p>
            <w:pPr>
              <w:jc w:val="right"/>
              <w:ind w:right="415"/>
              <w:spacing w:after="0"/>
              <w:rPr>
                <w:sz w:val="20"/>
                <w:szCs w:val="20"/>
                <w:color w:val="auto"/>
              </w:rPr>
            </w:pPr>
            <w:r>
              <w:rPr>
                <w:rFonts w:ascii="Arial" w:cs="Arial" w:eastAsia="Arial" w:hAnsi="Arial"/>
                <w:sz w:val="13"/>
                <w:szCs w:val="13"/>
                <w:b w:val="1"/>
                <w:bCs w:val="1"/>
                <w:color w:val="auto"/>
              </w:rPr>
              <w:t>Market value</w:t>
            </w:r>
          </w:p>
        </w:tc>
        <w:tc>
          <w:tcPr>
            <w:tcW w:w="980" w:type="dxa"/>
            <w:vAlign w:val="bottom"/>
          </w:tcPr>
          <w:p>
            <w:pPr>
              <w:jc w:val="right"/>
              <w:ind w:right="155"/>
              <w:spacing w:after="0"/>
              <w:rPr>
                <w:sz w:val="20"/>
                <w:szCs w:val="20"/>
                <w:color w:val="auto"/>
              </w:rPr>
            </w:pPr>
            <w:r>
              <w:rPr>
                <w:rFonts w:ascii="Arial" w:cs="Arial" w:eastAsia="Arial" w:hAnsi="Arial"/>
                <w:sz w:val="13"/>
                <w:szCs w:val="13"/>
                <w:b w:val="1"/>
                <w:bCs w:val="1"/>
                <w:color w:val="auto"/>
              </w:rPr>
              <w:t>Number of</w:t>
            </w:r>
          </w:p>
        </w:tc>
        <w:tc>
          <w:tcPr>
            <w:tcW w:w="1020" w:type="dxa"/>
            <w:vAlign w:val="bottom"/>
          </w:tcPr>
          <w:p>
            <w:pPr>
              <w:jc w:val="right"/>
              <w:spacing w:after="0"/>
              <w:rPr>
                <w:sz w:val="20"/>
                <w:szCs w:val="20"/>
                <w:color w:val="auto"/>
              </w:rPr>
            </w:pPr>
            <w:r>
              <w:rPr>
                <w:rFonts w:ascii="Arial" w:cs="Arial" w:eastAsia="Arial" w:hAnsi="Arial"/>
                <w:sz w:val="13"/>
                <w:szCs w:val="13"/>
                <w:b w:val="1"/>
                <w:bCs w:val="1"/>
                <w:color w:val="auto"/>
              </w:rPr>
              <w:t>payout value</w:t>
            </w:r>
          </w:p>
        </w:tc>
      </w:tr>
      <w:tr>
        <w:trPr>
          <w:trHeight w:val="148"/>
        </w:trPr>
        <w:tc>
          <w:tcPr>
            <w:tcW w:w="1920" w:type="dxa"/>
            <w:vAlign w:val="bottom"/>
          </w:tcPr>
          <w:p>
            <w:pPr>
              <w:spacing w:after="0"/>
              <w:rPr>
                <w:sz w:val="12"/>
                <w:szCs w:val="12"/>
                <w:color w:val="auto"/>
              </w:rPr>
            </w:pPr>
          </w:p>
        </w:tc>
        <w:tc>
          <w:tcPr>
            <w:tcW w:w="1340" w:type="dxa"/>
            <w:vAlign w:val="bottom"/>
          </w:tcPr>
          <w:p>
            <w:pPr>
              <w:jc w:val="right"/>
              <w:ind w:right="153"/>
              <w:spacing w:after="0"/>
              <w:rPr>
                <w:sz w:val="20"/>
                <w:szCs w:val="20"/>
                <w:color w:val="auto"/>
              </w:rPr>
            </w:pPr>
            <w:r>
              <w:rPr>
                <w:rFonts w:ascii="Arial" w:cs="Arial" w:eastAsia="Arial" w:hAnsi="Arial"/>
                <w:sz w:val="13"/>
                <w:szCs w:val="13"/>
                <w:b w:val="1"/>
                <w:bCs w:val="1"/>
                <w:color w:val="auto"/>
              </w:rPr>
              <w:t>securities</w:t>
            </w:r>
          </w:p>
        </w:tc>
        <w:tc>
          <w:tcPr>
            <w:tcW w:w="1420" w:type="dxa"/>
            <w:vAlign w:val="bottom"/>
            <w:gridSpan w:val="2"/>
          </w:tcPr>
          <w:p>
            <w:pPr>
              <w:jc w:val="right"/>
              <w:ind w:right="253"/>
              <w:spacing w:after="0"/>
              <w:rPr>
                <w:sz w:val="20"/>
                <w:szCs w:val="20"/>
                <w:color w:val="auto"/>
              </w:rPr>
            </w:pPr>
            <w:r>
              <w:rPr>
                <w:rFonts w:ascii="Arial" w:cs="Arial" w:eastAsia="Arial" w:hAnsi="Arial"/>
                <w:sz w:val="13"/>
                <w:szCs w:val="13"/>
                <w:b w:val="1"/>
                <w:bCs w:val="1"/>
                <w:color w:val="auto"/>
              </w:rPr>
              <w:t>securities</w:t>
            </w:r>
          </w:p>
        </w:tc>
        <w:tc>
          <w:tcPr>
            <w:tcW w:w="8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140" w:type="dxa"/>
            <w:vAlign w:val="bottom"/>
          </w:tcPr>
          <w:p>
            <w:pPr>
              <w:jc w:val="right"/>
              <w:ind w:right="137"/>
              <w:spacing w:after="0"/>
              <w:rPr>
                <w:sz w:val="20"/>
                <w:szCs w:val="20"/>
                <w:color w:val="auto"/>
              </w:rPr>
            </w:pPr>
            <w:r>
              <w:rPr>
                <w:rFonts w:ascii="Arial" w:cs="Arial" w:eastAsia="Arial" w:hAnsi="Arial"/>
                <w:sz w:val="13"/>
                <w:szCs w:val="13"/>
                <w:b w:val="1"/>
                <w:bCs w:val="1"/>
                <w:color w:val="auto"/>
              </w:rPr>
              <w:t>stock or</w:t>
            </w:r>
          </w:p>
        </w:tc>
        <w:tc>
          <w:tcPr>
            <w:tcW w:w="1440" w:type="dxa"/>
            <w:vAlign w:val="bottom"/>
          </w:tcPr>
          <w:p>
            <w:pPr>
              <w:jc w:val="right"/>
              <w:ind w:right="415"/>
              <w:spacing w:after="0"/>
              <w:rPr>
                <w:sz w:val="20"/>
                <w:szCs w:val="20"/>
                <w:color w:val="auto"/>
              </w:rPr>
            </w:pPr>
            <w:r>
              <w:rPr>
                <w:rFonts w:ascii="Arial" w:cs="Arial" w:eastAsia="Arial" w:hAnsi="Arial"/>
                <w:sz w:val="13"/>
                <w:szCs w:val="13"/>
                <w:b w:val="1"/>
                <w:bCs w:val="1"/>
                <w:color w:val="auto"/>
              </w:rPr>
              <w:t>of shares of</w:t>
            </w:r>
          </w:p>
        </w:tc>
        <w:tc>
          <w:tcPr>
            <w:tcW w:w="980" w:type="dxa"/>
            <w:vAlign w:val="bottom"/>
          </w:tcPr>
          <w:p>
            <w:pPr>
              <w:jc w:val="right"/>
              <w:ind w:right="155"/>
              <w:spacing w:after="0"/>
              <w:rPr>
                <w:sz w:val="20"/>
                <w:szCs w:val="20"/>
                <w:color w:val="auto"/>
              </w:rPr>
            </w:pPr>
            <w:r>
              <w:rPr>
                <w:rFonts w:ascii="Arial" w:cs="Arial" w:eastAsia="Arial" w:hAnsi="Arial"/>
                <w:sz w:val="13"/>
                <w:szCs w:val="13"/>
                <w:b w:val="1"/>
                <w:bCs w:val="1"/>
                <w:color w:val="auto"/>
              </w:rPr>
              <w:t>unearned</w:t>
            </w:r>
          </w:p>
        </w:tc>
        <w:tc>
          <w:tcPr>
            <w:tcW w:w="1020" w:type="dxa"/>
            <w:vAlign w:val="bottom"/>
          </w:tcPr>
          <w:p>
            <w:pPr>
              <w:jc w:val="right"/>
              <w:spacing w:after="0"/>
              <w:rPr>
                <w:sz w:val="20"/>
                <w:szCs w:val="20"/>
                <w:color w:val="auto"/>
              </w:rPr>
            </w:pPr>
            <w:r>
              <w:rPr>
                <w:rFonts w:ascii="Arial" w:cs="Arial" w:eastAsia="Arial" w:hAnsi="Arial"/>
                <w:sz w:val="13"/>
                <w:szCs w:val="13"/>
                <w:b w:val="1"/>
                <w:bCs w:val="1"/>
                <w:color w:val="auto"/>
              </w:rPr>
              <w:t>of unearned</w:t>
            </w:r>
          </w:p>
        </w:tc>
      </w:tr>
      <w:tr>
        <w:trPr>
          <w:trHeight w:val="149"/>
        </w:trPr>
        <w:tc>
          <w:tcPr>
            <w:tcW w:w="1920" w:type="dxa"/>
            <w:vAlign w:val="bottom"/>
          </w:tcPr>
          <w:p>
            <w:pPr>
              <w:spacing w:after="0"/>
              <w:rPr>
                <w:sz w:val="12"/>
                <w:szCs w:val="12"/>
                <w:color w:val="auto"/>
              </w:rPr>
            </w:pPr>
          </w:p>
        </w:tc>
        <w:tc>
          <w:tcPr>
            <w:tcW w:w="1340" w:type="dxa"/>
            <w:vAlign w:val="bottom"/>
          </w:tcPr>
          <w:p>
            <w:pPr>
              <w:jc w:val="right"/>
              <w:ind w:right="153"/>
              <w:spacing w:after="0"/>
              <w:rPr>
                <w:sz w:val="20"/>
                <w:szCs w:val="20"/>
                <w:color w:val="auto"/>
              </w:rPr>
            </w:pPr>
            <w:r>
              <w:rPr>
                <w:rFonts w:ascii="Arial" w:cs="Arial" w:eastAsia="Arial" w:hAnsi="Arial"/>
                <w:sz w:val="13"/>
                <w:szCs w:val="13"/>
                <w:b w:val="1"/>
                <w:bCs w:val="1"/>
                <w:color w:val="auto"/>
              </w:rPr>
              <w:t>underlying</w:t>
            </w:r>
          </w:p>
        </w:tc>
        <w:tc>
          <w:tcPr>
            <w:tcW w:w="1420" w:type="dxa"/>
            <w:vAlign w:val="bottom"/>
            <w:gridSpan w:val="2"/>
          </w:tcPr>
          <w:p>
            <w:pPr>
              <w:jc w:val="center"/>
              <w:ind w:left="73"/>
              <w:spacing w:after="0"/>
              <w:rPr>
                <w:sz w:val="20"/>
                <w:szCs w:val="20"/>
                <w:color w:val="auto"/>
              </w:rPr>
            </w:pPr>
            <w:r>
              <w:rPr>
                <w:rFonts w:ascii="Arial" w:cs="Arial" w:eastAsia="Arial" w:hAnsi="Arial"/>
                <w:sz w:val="13"/>
                <w:szCs w:val="13"/>
                <w:b w:val="1"/>
                <w:bCs w:val="1"/>
                <w:color w:val="auto"/>
                <w:w w:val="96"/>
              </w:rPr>
              <w:t>underlying</w:t>
            </w:r>
          </w:p>
        </w:tc>
        <w:tc>
          <w:tcPr>
            <w:tcW w:w="860" w:type="dxa"/>
            <w:vAlign w:val="bottom"/>
          </w:tcPr>
          <w:p>
            <w:pPr>
              <w:jc w:val="right"/>
              <w:ind w:right="213"/>
              <w:spacing w:after="0"/>
              <w:rPr>
                <w:sz w:val="20"/>
                <w:szCs w:val="20"/>
                <w:color w:val="auto"/>
              </w:rPr>
            </w:pPr>
            <w:r>
              <w:rPr>
                <w:rFonts w:ascii="Arial" w:cs="Arial" w:eastAsia="Arial" w:hAnsi="Arial"/>
                <w:sz w:val="13"/>
                <w:szCs w:val="13"/>
                <w:b w:val="1"/>
                <w:bCs w:val="1"/>
                <w:color w:val="auto"/>
              </w:rPr>
              <w:t>Option</w:t>
            </w:r>
          </w:p>
        </w:tc>
        <w:tc>
          <w:tcPr>
            <w:tcW w:w="1120" w:type="dxa"/>
            <w:vAlign w:val="bottom"/>
          </w:tcPr>
          <w:p>
            <w:pPr>
              <w:spacing w:after="0"/>
              <w:rPr>
                <w:sz w:val="12"/>
                <w:szCs w:val="12"/>
                <w:color w:val="auto"/>
              </w:rPr>
            </w:pPr>
          </w:p>
        </w:tc>
        <w:tc>
          <w:tcPr>
            <w:tcW w:w="1140" w:type="dxa"/>
            <w:vAlign w:val="bottom"/>
          </w:tcPr>
          <w:p>
            <w:pPr>
              <w:jc w:val="right"/>
              <w:ind w:right="137"/>
              <w:spacing w:after="0"/>
              <w:rPr>
                <w:sz w:val="20"/>
                <w:szCs w:val="20"/>
                <w:color w:val="auto"/>
              </w:rPr>
            </w:pPr>
            <w:r>
              <w:rPr>
                <w:rFonts w:ascii="Arial" w:cs="Arial" w:eastAsia="Arial" w:hAnsi="Arial"/>
                <w:sz w:val="13"/>
                <w:szCs w:val="13"/>
                <w:b w:val="1"/>
                <w:bCs w:val="1"/>
                <w:color w:val="auto"/>
              </w:rPr>
              <w:t>units that</w:t>
            </w:r>
          </w:p>
        </w:tc>
        <w:tc>
          <w:tcPr>
            <w:tcW w:w="1440" w:type="dxa"/>
            <w:vAlign w:val="bottom"/>
          </w:tcPr>
          <w:p>
            <w:pPr>
              <w:jc w:val="right"/>
              <w:ind w:right="415"/>
              <w:spacing w:after="0"/>
              <w:rPr>
                <w:sz w:val="20"/>
                <w:szCs w:val="20"/>
                <w:color w:val="auto"/>
              </w:rPr>
            </w:pPr>
            <w:r>
              <w:rPr>
                <w:rFonts w:ascii="Arial" w:cs="Arial" w:eastAsia="Arial" w:hAnsi="Arial"/>
                <w:sz w:val="13"/>
                <w:szCs w:val="13"/>
                <w:b w:val="1"/>
                <w:bCs w:val="1"/>
                <w:color w:val="auto"/>
              </w:rPr>
              <w:t>stock or</w:t>
            </w:r>
          </w:p>
        </w:tc>
        <w:tc>
          <w:tcPr>
            <w:tcW w:w="980" w:type="dxa"/>
            <w:vAlign w:val="bottom"/>
          </w:tcPr>
          <w:p>
            <w:pPr>
              <w:jc w:val="right"/>
              <w:ind w:right="155"/>
              <w:spacing w:after="0"/>
              <w:rPr>
                <w:sz w:val="20"/>
                <w:szCs w:val="20"/>
                <w:color w:val="auto"/>
              </w:rPr>
            </w:pPr>
            <w:r>
              <w:rPr>
                <w:rFonts w:ascii="Arial" w:cs="Arial" w:eastAsia="Arial" w:hAnsi="Arial"/>
                <w:sz w:val="13"/>
                <w:szCs w:val="13"/>
                <w:b w:val="1"/>
                <w:bCs w:val="1"/>
                <w:color w:val="auto"/>
              </w:rPr>
              <w:t>shares that</w:t>
            </w:r>
          </w:p>
        </w:tc>
        <w:tc>
          <w:tcPr>
            <w:tcW w:w="1020" w:type="dxa"/>
            <w:vAlign w:val="bottom"/>
          </w:tcPr>
          <w:p>
            <w:pPr>
              <w:jc w:val="right"/>
              <w:spacing w:after="0"/>
              <w:rPr>
                <w:sz w:val="20"/>
                <w:szCs w:val="20"/>
                <w:color w:val="auto"/>
              </w:rPr>
            </w:pPr>
            <w:r>
              <w:rPr>
                <w:rFonts w:ascii="Arial" w:cs="Arial" w:eastAsia="Arial" w:hAnsi="Arial"/>
                <w:sz w:val="13"/>
                <w:szCs w:val="13"/>
                <w:b w:val="1"/>
                <w:bCs w:val="1"/>
                <w:color w:val="auto"/>
              </w:rPr>
              <w:t>shares that</w:t>
            </w:r>
          </w:p>
        </w:tc>
      </w:tr>
      <w:tr>
        <w:trPr>
          <w:trHeight w:val="148"/>
        </w:trPr>
        <w:tc>
          <w:tcPr>
            <w:tcW w:w="1920" w:type="dxa"/>
            <w:vAlign w:val="bottom"/>
          </w:tcPr>
          <w:p>
            <w:pPr>
              <w:spacing w:after="0"/>
              <w:rPr>
                <w:sz w:val="12"/>
                <w:szCs w:val="12"/>
                <w:color w:val="auto"/>
              </w:rPr>
            </w:pPr>
          </w:p>
        </w:tc>
        <w:tc>
          <w:tcPr>
            <w:tcW w:w="1340" w:type="dxa"/>
            <w:vAlign w:val="bottom"/>
          </w:tcPr>
          <w:p>
            <w:pPr>
              <w:jc w:val="right"/>
              <w:ind w:right="153"/>
              <w:spacing w:after="0"/>
              <w:rPr>
                <w:sz w:val="20"/>
                <w:szCs w:val="20"/>
                <w:color w:val="auto"/>
              </w:rPr>
            </w:pPr>
            <w:r>
              <w:rPr>
                <w:rFonts w:ascii="Arial" w:cs="Arial" w:eastAsia="Arial" w:hAnsi="Arial"/>
                <w:sz w:val="13"/>
                <w:szCs w:val="13"/>
                <w:b w:val="1"/>
                <w:bCs w:val="1"/>
                <w:color w:val="auto"/>
              </w:rPr>
              <w:t>unexercised</w:t>
            </w:r>
          </w:p>
        </w:tc>
        <w:tc>
          <w:tcPr>
            <w:tcW w:w="1420" w:type="dxa"/>
            <w:vAlign w:val="bottom"/>
            <w:gridSpan w:val="2"/>
          </w:tcPr>
          <w:p>
            <w:pPr>
              <w:jc w:val="right"/>
              <w:ind w:right="253"/>
              <w:spacing w:after="0"/>
              <w:rPr>
                <w:sz w:val="20"/>
                <w:szCs w:val="20"/>
                <w:color w:val="auto"/>
              </w:rPr>
            </w:pPr>
            <w:r>
              <w:rPr>
                <w:rFonts w:ascii="Arial" w:cs="Arial" w:eastAsia="Arial" w:hAnsi="Arial"/>
                <w:sz w:val="13"/>
                <w:szCs w:val="13"/>
                <w:b w:val="1"/>
                <w:bCs w:val="1"/>
                <w:color w:val="auto"/>
              </w:rPr>
              <w:t>unexercised</w:t>
            </w:r>
          </w:p>
        </w:tc>
        <w:tc>
          <w:tcPr>
            <w:tcW w:w="860" w:type="dxa"/>
            <w:vAlign w:val="bottom"/>
          </w:tcPr>
          <w:p>
            <w:pPr>
              <w:jc w:val="right"/>
              <w:ind w:right="213"/>
              <w:spacing w:after="0"/>
              <w:rPr>
                <w:sz w:val="20"/>
                <w:szCs w:val="20"/>
                <w:color w:val="auto"/>
              </w:rPr>
            </w:pPr>
            <w:r>
              <w:rPr>
                <w:rFonts w:ascii="Arial" w:cs="Arial" w:eastAsia="Arial" w:hAnsi="Arial"/>
                <w:sz w:val="13"/>
                <w:szCs w:val="13"/>
                <w:b w:val="1"/>
                <w:bCs w:val="1"/>
                <w:color w:val="auto"/>
              </w:rPr>
              <w:t>exercise</w:t>
            </w:r>
          </w:p>
        </w:tc>
        <w:tc>
          <w:tcPr>
            <w:tcW w:w="1120" w:type="dxa"/>
            <w:vAlign w:val="bottom"/>
          </w:tcPr>
          <w:p>
            <w:pPr>
              <w:jc w:val="right"/>
              <w:ind w:right="153"/>
              <w:spacing w:after="0"/>
              <w:rPr>
                <w:sz w:val="20"/>
                <w:szCs w:val="20"/>
                <w:color w:val="auto"/>
              </w:rPr>
            </w:pPr>
            <w:r>
              <w:rPr>
                <w:rFonts w:ascii="Arial" w:cs="Arial" w:eastAsia="Arial" w:hAnsi="Arial"/>
                <w:sz w:val="13"/>
                <w:szCs w:val="13"/>
                <w:b w:val="1"/>
                <w:bCs w:val="1"/>
                <w:color w:val="auto"/>
              </w:rPr>
              <w:t>Option</w:t>
            </w:r>
          </w:p>
        </w:tc>
        <w:tc>
          <w:tcPr>
            <w:tcW w:w="1140" w:type="dxa"/>
            <w:vAlign w:val="bottom"/>
          </w:tcPr>
          <w:p>
            <w:pPr>
              <w:jc w:val="right"/>
              <w:ind w:right="137"/>
              <w:spacing w:after="0"/>
              <w:rPr>
                <w:sz w:val="20"/>
                <w:szCs w:val="20"/>
                <w:color w:val="auto"/>
              </w:rPr>
            </w:pPr>
            <w:r>
              <w:rPr>
                <w:rFonts w:ascii="Arial" w:cs="Arial" w:eastAsia="Arial" w:hAnsi="Arial"/>
                <w:sz w:val="13"/>
                <w:szCs w:val="13"/>
                <w:b w:val="1"/>
                <w:bCs w:val="1"/>
                <w:color w:val="auto"/>
              </w:rPr>
              <w:t>have not</w:t>
            </w:r>
          </w:p>
        </w:tc>
        <w:tc>
          <w:tcPr>
            <w:tcW w:w="1440" w:type="dxa"/>
            <w:vAlign w:val="bottom"/>
          </w:tcPr>
          <w:p>
            <w:pPr>
              <w:jc w:val="right"/>
              <w:ind w:right="415"/>
              <w:spacing w:after="0"/>
              <w:rPr>
                <w:sz w:val="20"/>
                <w:szCs w:val="20"/>
                <w:color w:val="auto"/>
              </w:rPr>
            </w:pPr>
            <w:r>
              <w:rPr>
                <w:rFonts w:ascii="Arial" w:cs="Arial" w:eastAsia="Arial" w:hAnsi="Arial"/>
                <w:sz w:val="13"/>
                <w:szCs w:val="13"/>
                <w:b w:val="1"/>
                <w:bCs w:val="1"/>
                <w:color w:val="auto"/>
              </w:rPr>
              <w:t>units that</w:t>
            </w:r>
          </w:p>
        </w:tc>
        <w:tc>
          <w:tcPr>
            <w:tcW w:w="980" w:type="dxa"/>
            <w:vAlign w:val="bottom"/>
          </w:tcPr>
          <w:p>
            <w:pPr>
              <w:jc w:val="right"/>
              <w:ind w:right="155"/>
              <w:spacing w:after="0"/>
              <w:rPr>
                <w:sz w:val="20"/>
                <w:szCs w:val="20"/>
                <w:color w:val="auto"/>
              </w:rPr>
            </w:pPr>
            <w:r>
              <w:rPr>
                <w:rFonts w:ascii="Arial" w:cs="Arial" w:eastAsia="Arial" w:hAnsi="Arial"/>
                <w:sz w:val="13"/>
                <w:szCs w:val="13"/>
                <w:b w:val="1"/>
                <w:bCs w:val="1"/>
                <w:color w:val="auto"/>
              </w:rPr>
              <w:t>have not</w:t>
            </w:r>
          </w:p>
        </w:tc>
        <w:tc>
          <w:tcPr>
            <w:tcW w:w="1020" w:type="dxa"/>
            <w:vAlign w:val="bottom"/>
          </w:tcPr>
          <w:p>
            <w:pPr>
              <w:jc w:val="right"/>
              <w:spacing w:after="0"/>
              <w:rPr>
                <w:sz w:val="20"/>
                <w:szCs w:val="20"/>
                <w:color w:val="auto"/>
              </w:rPr>
            </w:pPr>
            <w:r>
              <w:rPr>
                <w:rFonts w:ascii="Arial" w:cs="Arial" w:eastAsia="Arial" w:hAnsi="Arial"/>
                <w:sz w:val="13"/>
                <w:szCs w:val="13"/>
                <w:b w:val="1"/>
                <w:bCs w:val="1"/>
                <w:color w:val="auto"/>
              </w:rPr>
              <w:t>have not</w:t>
            </w:r>
          </w:p>
        </w:tc>
      </w:tr>
      <w:tr>
        <w:trPr>
          <w:trHeight w:val="148"/>
        </w:trPr>
        <w:tc>
          <w:tcPr>
            <w:tcW w:w="1920" w:type="dxa"/>
            <w:vAlign w:val="bottom"/>
          </w:tcPr>
          <w:p>
            <w:pPr>
              <w:spacing w:after="0"/>
              <w:rPr>
                <w:sz w:val="12"/>
                <w:szCs w:val="12"/>
                <w:color w:val="auto"/>
              </w:rPr>
            </w:pPr>
          </w:p>
        </w:tc>
        <w:tc>
          <w:tcPr>
            <w:tcW w:w="1340" w:type="dxa"/>
            <w:vAlign w:val="bottom"/>
          </w:tcPr>
          <w:p>
            <w:pPr>
              <w:jc w:val="right"/>
              <w:ind w:right="153"/>
              <w:spacing w:after="0"/>
              <w:rPr>
                <w:sz w:val="20"/>
                <w:szCs w:val="20"/>
                <w:color w:val="auto"/>
              </w:rPr>
            </w:pPr>
            <w:r>
              <w:rPr>
                <w:rFonts w:ascii="Arial" w:cs="Arial" w:eastAsia="Arial" w:hAnsi="Arial"/>
                <w:sz w:val="13"/>
                <w:szCs w:val="13"/>
                <w:b w:val="1"/>
                <w:bCs w:val="1"/>
                <w:color w:val="auto"/>
              </w:rPr>
              <w:t>options (#)</w:t>
            </w:r>
          </w:p>
        </w:tc>
        <w:tc>
          <w:tcPr>
            <w:tcW w:w="1420" w:type="dxa"/>
            <w:vAlign w:val="bottom"/>
            <w:gridSpan w:val="2"/>
          </w:tcPr>
          <w:p>
            <w:pPr>
              <w:jc w:val="center"/>
              <w:ind w:left="73"/>
              <w:spacing w:after="0"/>
              <w:rPr>
                <w:sz w:val="20"/>
                <w:szCs w:val="20"/>
                <w:color w:val="auto"/>
              </w:rPr>
            </w:pPr>
            <w:r>
              <w:rPr>
                <w:rFonts w:ascii="Arial" w:cs="Arial" w:eastAsia="Arial" w:hAnsi="Arial"/>
                <w:sz w:val="13"/>
                <w:szCs w:val="13"/>
                <w:b w:val="1"/>
                <w:bCs w:val="1"/>
                <w:color w:val="auto"/>
                <w:w w:val="96"/>
              </w:rPr>
              <w:t>options (#)</w:t>
            </w:r>
          </w:p>
        </w:tc>
        <w:tc>
          <w:tcPr>
            <w:tcW w:w="860" w:type="dxa"/>
            <w:vAlign w:val="bottom"/>
          </w:tcPr>
          <w:p>
            <w:pPr>
              <w:jc w:val="right"/>
              <w:ind w:right="213"/>
              <w:spacing w:after="0"/>
              <w:rPr>
                <w:sz w:val="20"/>
                <w:szCs w:val="20"/>
                <w:color w:val="auto"/>
              </w:rPr>
            </w:pPr>
            <w:r>
              <w:rPr>
                <w:rFonts w:ascii="Arial" w:cs="Arial" w:eastAsia="Arial" w:hAnsi="Arial"/>
                <w:sz w:val="13"/>
                <w:szCs w:val="13"/>
                <w:b w:val="1"/>
                <w:bCs w:val="1"/>
                <w:color w:val="auto"/>
              </w:rPr>
              <w:t>price</w:t>
            </w:r>
          </w:p>
        </w:tc>
        <w:tc>
          <w:tcPr>
            <w:tcW w:w="1120" w:type="dxa"/>
            <w:vAlign w:val="bottom"/>
          </w:tcPr>
          <w:p>
            <w:pPr>
              <w:jc w:val="right"/>
              <w:ind w:right="153"/>
              <w:spacing w:after="0"/>
              <w:rPr>
                <w:sz w:val="20"/>
                <w:szCs w:val="20"/>
                <w:color w:val="auto"/>
              </w:rPr>
            </w:pPr>
            <w:r>
              <w:rPr>
                <w:rFonts w:ascii="Arial" w:cs="Arial" w:eastAsia="Arial" w:hAnsi="Arial"/>
                <w:sz w:val="13"/>
                <w:szCs w:val="13"/>
                <w:b w:val="1"/>
                <w:bCs w:val="1"/>
                <w:color w:val="auto"/>
              </w:rPr>
              <w:t>expiration</w:t>
            </w:r>
          </w:p>
        </w:tc>
        <w:tc>
          <w:tcPr>
            <w:tcW w:w="1140" w:type="dxa"/>
            <w:vAlign w:val="bottom"/>
          </w:tcPr>
          <w:p>
            <w:pPr>
              <w:jc w:val="right"/>
              <w:ind w:right="137"/>
              <w:spacing w:after="0"/>
              <w:rPr>
                <w:sz w:val="20"/>
                <w:szCs w:val="20"/>
                <w:color w:val="auto"/>
              </w:rPr>
            </w:pPr>
            <w:r>
              <w:rPr>
                <w:rFonts w:ascii="Arial" w:cs="Arial" w:eastAsia="Arial" w:hAnsi="Arial"/>
                <w:sz w:val="13"/>
                <w:szCs w:val="13"/>
                <w:b w:val="1"/>
                <w:bCs w:val="1"/>
                <w:color w:val="auto"/>
              </w:rPr>
              <w:t>been vested</w:t>
            </w:r>
          </w:p>
        </w:tc>
        <w:tc>
          <w:tcPr>
            <w:tcW w:w="1440" w:type="dxa"/>
            <w:vAlign w:val="bottom"/>
          </w:tcPr>
          <w:p>
            <w:pPr>
              <w:jc w:val="right"/>
              <w:ind w:right="415"/>
              <w:spacing w:after="0"/>
              <w:rPr>
                <w:sz w:val="20"/>
                <w:szCs w:val="20"/>
                <w:color w:val="auto"/>
              </w:rPr>
            </w:pPr>
            <w:r>
              <w:rPr>
                <w:rFonts w:ascii="Arial" w:cs="Arial" w:eastAsia="Arial" w:hAnsi="Arial"/>
                <w:sz w:val="13"/>
                <w:szCs w:val="13"/>
                <w:b w:val="1"/>
                <w:bCs w:val="1"/>
                <w:color w:val="auto"/>
              </w:rPr>
              <w:t>have not</w:t>
            </w:r>
          </w:p>
        </w:tc>
        <w:tc>
          <w:tcPr>
            <w:tcW w:w="980" w:type="dxa"/>
            <w:vAlign w:val="bottom"/>
          </w:tcPr>
          <w:p>
            <w:pPr>
              <w:jc w:val="right"/>
              <w:ind w:right="155"/>
              <w:spacing w:after="0"/>
              <w:rPr>
                <w:sz w:val="20"/>
                <w:szCs w:val="20"/>
                <w:color w:val="auto"/>
              </w:rPr>
            </w:pPr>
            <w:r>
              <w:rPr>
                <w:rFonts w:ascii="Arial" w:cs="Arial" w:eastAsia="Arial" w:hAnsi="Arial"/>
                <w:sz w:val="13"/>
                <w:szCs w:val="13"/>
                <w:b w:val="1"/>
                <w:bCs w:val="1"/>
                <w:color w:val="auto"/>
              </w:rPr>
              <w:t>vested</w:t>
            </w:r>
          </w:p>
        </w:tc>
        <w:tc>
          <w:tcPr>
            <w:tcW w:w="1020" w:type="dxa"/>
            <w:vAlign w:val="bottom"/>
          </w:tcPr>
          <w:p>
            <w:pPr>
              <w:jc w:val="right"/>
              <w:spacing w:after="0"/>
              <w:rPr>
                <w:sz w:val="20"/>
                <w:szCs w:val="20"/>
                <w:color w:val="auto"/>
              </w:rPr>
            </w:pPr>
            <w:r>
              <w:rPr>
                <w:rFonts w:ascii="Arial" w:cs="Arial" w:eastAsia="Arial" w:hAnsi="Arial"/>
                <w:sz w:val="13"/>
                <w:szCs w:val="13"/>
                <w:b w:val="1"/>
                <w:bCs w:val="1"/>
                <w:color w:val="auto"/>
              </w:rPr>
              <w:t>vested</w:t>
            </w:r>
          </w:p>
        </w:tc>
      </w:tr>
      <w:tr>
        <w:trPr>
          <w:trHeight w:val="207"/>
        </w:trPr>
        <w:tc>
          <w:tcPr>
            <w:tcW w:w="1920" w:type="dxa"/>
            <w:vAlign w:val="bottom"/>
            <w:tcBorders>
              <w:bottom w:val="single" w:sz="8" w:color="0C3471"/>
            </w:tcBorders>
          </w:tcPr>
          <w:p>
            <w:pPr>
              <w:ind w:left="20"/>
              <w:spacing w:after="0"/>
              <w:rPr>
                <w:sz w:val="20"/>
                <w:szCs w:val="20"/>
                <w:color w:val="auto"/>
              </w:rPr>
            </w:pPr>
            <w:r>
              <w:rPr>
                <w:rFonts w:ascii="Arial" w:cs="Arial" w:eastAsia="Arial" w:hAnsi="Arial"/>
                <w:sz w:val="13"/>
                <w:szCs w:val="13"/>
                <w:b w:val="1"/>
                <w:bCs w:val="1"/>
                <w:color w:val="auto"/>
              </w:rPr>
              <w:t>Name</w:t>
            </w:r>
          </w:p>
        </w:tc>
        <w:tc>
          <w:tcPr>
            <w:tcW w:w="1340" w:type="dxa"/>
            <w:vAlign w:val="bottom"/>
            <w:tcBorders>
              <w:bottom w:val="single" w:sz="8" w:color="0C3471"/>
            </w:tcBorders>
          </w:tcPr>
          <w:p>
            <w:pPr>
              <w:jc w:val="right"/>
              <w:ind w:right="153"/>
              <w:spacing w:after="0"/>
              <w:rPr>
                <w:sz w:val="20"/>
                <w:szCs w:val="20"/>
                <w:color w:val="auto"/>
              </w:rPr>
            </w:pPr>
            <w:r>
              <w:rPr>
                <w:rFonts w:ascii="Arial" w:cs="Arial" w:eastAsia="Arial" w:hAnsi="Arial"/>
                <w:sz w:val="13"/>
                <w:szCs w:val="13"/>
                <w:b w:val="1"/>
                <w:bCs w:val="1"/>
                <w:color w:val="auto"/>
              </w:rPr>
              <w:t>Exercisable</w:t>
            </w:r>
          </w:p>
        </w:tc>
        <w:tc>
          <w:tcPr>
            <w:tcW w:w="1420" w:type="dxa"/>
            <w:vAlign w:val="bottom"/>
            <w:tcBorders>
              <w:bottom w:val="single" w:sz="8" w:color="0C3471"/>
            </w:tcBorders>
            <w:gridSpan w:val="2"/>
          </w:tcPr>
          <w:p>
            <w:pPr>
              <w:jc w:val="right"/>
              <w:ind w:right="253"/>
              <w:spacing w:after="0"/>
              <w:rPr>
                <w:sz w:val="20"/>
                <w:szCs w:val="20"/>
                <w:color w:val="auto"/>
              </w:rPr>
            </w:pPr>
            <w:r>
              <w:rPr>
                <w:rFonts w:ascii="Arial" w:cs="Arial" w:eastAsia="Arial" w:hAnsi="Arial"/>
                <w:sz w:val="13"/>
                <w:szCs w:val="13"/>
                <w:b w:val="1"/>
                <w:bCs w:val="1"/>
                <w:color w:val="auto"/>
              </w:rPr>
              <w:t>Unexercisable</w:t>
            </w:r>
          </w:p>
        </w:tc>
        <w:tc>
          <w:tcPr>
            <w:tcW w:w="860" w:type="dxa"/>
            <w:vAlign w:val="bottom"/>
            <w:tcBorders>
              <w:bottom w:val="single" w:sz="8" w:color="0C3471"/>
            </w:tcBorders>
          </w:tcPr>
          <w:p>
            <w:pPr>
              <w:jc w:val="right"/>
              <w:ind w:right="213"/>
              <w:spacing w:after="0"/>
              <w:rPr>
                <w:sz w:val="20"/>
                <w:szCs w:val="20"/>
                <w:color w:val="auto"/>
              </w:rPr>
            </w:pPr>
            <w:r>
              <w:rPr>
                <w:rFonts w:ascii="Arial" w:cs="Arial" w:eastAsia="Arial" w:hAnsi="Arial"/>
                <w:sz w:val="13"/>
                <w:szCs w:val="13"/>
                <w:b w:val="1"/>
                <w:bCs w:val="1"/>
                <w:color w:val="auto"/>
              </w:rPr>
              <w:t>($)</w:t>
            </w:r>
            <w:r>
              <w:rPr>
                <w:rFonts w:ascii="Arial" w:cs="Arial" w:eastAsia="Arial" w:hAnsi="Arial"/>
                <w:sz w:val="16"/>
                <w:szCs w:val="16"/>
                <w:b w:val="1"/>
                <w:bCs w:val="1"/>
                <w:color w:val="auto"/>
                <w:vertAlign w:val="superscript"/>
              </w:rPr>
              <w:t>(1)</w:t>
            </w:r>
          </w:p>
        </w:tc>
        <w:tc>
          <w:tcPr>
            <w:tcW w:w="1120" w:type="dxa"/>
            <w:vAlign w:val="bottom"/>
            <w:tcBorders>
              <w:bottom w:val="single" w:sz="8" w:color="0C3471"/>
            </w:tcBorders>
          </w:tcPr>
          <w:p>
            <w:pPr>
              <w:jc w:val="right"/>
              <w:ind w:right="153"/>
              <w:spacing w:after="0"/>
              <w:rPr>
                <w:sz w:val="20"/>
                <w:szCs w:val="20"/>
                <w:color w:val="auto"/>
              </w:rPr>
            </w:pPr>
            <w:r>
              <w:rPr>
                <w:rFonts w:ascii="Arial" w:cs="Arial" w:eastAsia="Arial" w:hAnsi="Arial"/>
                <w:sz w:val="13"/>
                <w:szCs w:val="13"/>
                <w:b w:val="1"/>
                <w:bCs w:val="1"/>
                <w:color w:val="auto"/>
              </w:rPr>
              <w:t>date</w:t>
            </w:r>
          </w:p>
        </w:tc>
        <w:tc>
          <w:tcPr>
            <w:tcW w:w="1140" w:type="dxa"/>
            <w:vAlign w:val="bottom"/>
            <w:tcBorders>
              <w:bottom w:val="single" w:sz="8" w:color="0C3471"/>
            </w:tcBorders>
          </w:tcPr>
          <w:p>
            <w:pPr>
              <w:jc w:val="right"/>
              <w:ind w:right="137"/>
              <w:spacing w:after="0" w:line="207" w:lineRule="exact"/>
              <w:rPr>
                <w:sz w:val="20"/>
                <w:szCs w:val="20"/>
                <w:color w:val="auto"/>
              </w:rPr>
            </w:pPr>
            <w:r>
              <w:rPr>
                <w:rFonts w:ascii="Arial" w:cs="Arial" w:eastAsia="Arial" w:hAnsi="Arial"/>
                <w:sz w:val="24"/>
                <w:szCs w:val="24"/>
                <w:b w:val="1"/>
                <w:bCs w:val="1"/>
                <w:color w:val="auto"/>
                <w:vertAlign w:val="subscript"/>
              </w:rPr>
              <w:t>(#)</w:t>
            </w:r>
            <w:r>
              <w:rPr>
                <w:rFonts w:ascii="Arial" w:cs="Arial" w:eastAsia="Arial" w:hAnsi="Arial"/>
                <w:sz w:val="8"/>
                <w:szCs w:val="8"/>
                <w:b w:val="1"/>
                <w:bCs w:val="1"/>
                <w:color w:val="auto"/>
              </w:rPr>
              <w:t>(2)</w:t>
            </w:r>
          </w:p>
        </w:tc>
        <w:tc>
          <w:tcPr>
            <w:tcW w:w="1440" w:type="dxa"/>
            <w:vAlign w:val="bottom"/>
            <w:tcBorders>
              <w:bottom w:val="single" w:sz="8" w:color="0C3471"/>
            </w:tcBorders>
          </w:tcPr>
          <w:p>
            <w:pPr>
              <w:jc w:val="right"/>
              <w:ind w:right="415"/>
              <w:spacing w:after="0"/>
              <w:rPr>
                <w:sz w:val="20"/>
                <w:szCs w:val="20"/>
                <w:color w:val="auto"/>
              </w:rPr>
            </w:pPr>
            <w:r>
              <w:rPr>
                <w:rFonts w:ascii="Arial" w:cs="Arial" w:eastAsia="Arial" w:hAnsi="Arial"/>
                <w:sz w:val="13"/>
                <w:szCs w:val="13"/>
                <w:b w:val="1"/>
                <w:bCs w:val="1"/>
                <w:color w:val="auto"/>
              </w:rPr>
              <w:t>vested ($)</w:t>
            </w:r>
            <w:r>
              <w:rPr>
                <w:rFonts w:ascii="Arial" w:cs="Arial" w:eastAsia="Arial" w:hAnsi="Arial"/>
                <w:sz w:val="16"/>
                <w:szCs w:val="16"/>
                <w:b w:val="1"/>
                <w:bCs w:val="1"/>
                <w:color w:val="auto"/>
                <w:vertAlign w:val="superscript"/>
              </w:rPr>
              <w:t>(3)</w:t>
            </w:r>
          </w:p>
        </w:tc>
        <w:tc>
          <w:tcPr>
            <w:tcW w:w="980" w:type="dxa"/>
            <w:vAlign w:val="bottom"/>
            <w:tcBorders>
              <w:bottom w:val="single" w:sz="8" w:color="0C3471"/>
            </w:tcBorders>
          </w:tcPr>
          <w:p>
            <w:pPr>
              <w:jc w:val="right"/>
              <w:ind w:right="155"/>
              <w:spacing w:after="0"/>
              <w:rPr>
                <w:sz w:val="20"/>
                <w:szCs w:val="20"/>
                <w:color w:val="auto"/>
              </w:rPr>
            </w:pPr>
            <w:r>
              <w:rPr>
                <w:rFonts w:ascii="Arial" w:cs="Arial" w:eastAsia="Arial" w:hAnsi="Arial"/>
                <w:sz w:val="13"/>
                <w:szCs w:val="13"/>
                <w:b w:val="1"/>
                <w:bCs w:val="1"/>
                <w:color w:val="auto"/>
              </w:rPr>
              <w:t>(#)</w:t>
            </w:r>
            <w:r>
              <w:rPr>
                <w:rFonts w:ascii="Arial" w:cs="Arial" w:eastAsia="Arial" w:hAnsi="Arial"/>
                <w:sz w:val="16"/>
                <w:szCs w:val="16"/>
                <w:b w:val="1"/>
                <w:bCs w:val="1"/>
                <w:color w:val="auto"/>
                <w:vertAlign w:val="superscript"/>
              </w:rPr>
              <w:t>(4)</w:t>
            </w:r>
          </w:p>
        </w:tc>
        <w:tc>
          <w:tcPr>
            <w:tcW w:w="1020" w:type="dxa"/>
            <w:vAlign w:val="bottom"/>
            <w:tcBorders>
              <w:bottom w:val="single" w:sz="8" w:color="0C3471"/>
            </w:tcBorders>
          </w:tcPr>
          <w:p>
            <w:pPr>
              <w:jc w:val="right"/>
              <w:spacing w:after="0"/>
              <w:rPr>
                <w:sz w:val="20"/>
                <w:szCs w:val="20"/>
                <w:color w:val="auto"/>
              </w:rPr>
            </w:pPr>
            <w:r>
              <w:rPr>
                <w:rFonts w:ascii="Arial" w:cs="Arial" w:eastAsia="Arial" w:hAnsi="Arial"/>
                <w:sz w:val="13"/>
                <w:szCs w:val="13"/>
                <w:b w:val="1"/>
                <w:bCs w:val="1"/>
                <w:color w:val="auto"/>
              </w:rPr>
              <w:t>($)</w:t>
            </w:r>
            <w:r>
              <w:rPr>
                <w:rFonts w:ascii="Arial" w:cs="Arial" w:eastAsia="Arial" w:hAnsi="Arial"/>
                <w:sz w:val="16"/>
                <w:szCs w:val="16"/>
                <w:b w:val="1"/>
                <w:bCs w:val="1"/>
                <w:color w:val="auto"/>
                <w:vertAlign w:val="superscript"/>
              </w:rPr>
              <w:t>(5)</w:t>
            </w:r>
          </w:p>
        </w:tc>
      </w:tr>
      <w:tr>
        <w:trPr>
          <w:trHeight w:val="203"/>
        </w:trPr>
        <w:tc>
          <w:tcPr>
            <w:tcW w:w="1920" w:type="dxa"/>
            <w:vAlign w:val="bottom"/>
          </w:tcPr>
          <w:p>
            <w:pPr>
              <w:ind w:left="20"/>
              <w:spacing w:after="0"/>
              <w:rPr>
                <w:sz w:val="20"/>
                <w:szCs w:val="20"/>
                <w:color w:val="auto"/>
              </w:rPr>
            </w:pPr>
            <w:r>
              <w:rPr>
                <w:rFonts w:ascii="Arial" w:cs="Arial" w:eastAsia="Arial" w:hAnsi="Arial"/>
                <w:sz w:val="13"/>
                <w:szCs w:val="13"/>
                <w:b w:val="1"/>
                <w:bCs w:val="1"/>
                <w:color w:val="0C3471"/>
              </w:rPr>
              <w:t>John L. Stauch</w:t>
            </w:r>
          </w:p>
        </w:tc>
        <w:tc>
          <w:tcPr>
            <w:tcW w:w="1340" w:type="dxa"/>
            <w:vAlign w:val="bottom"/>
            <w:tcBorders>
              <w:bottom w:val="single" w:sz="8" w:color="BCBEC0"/>
            </w:tcBorders>
          </w:tcPr>
          <w:p>
            <w:pPr>
              <w:spacing w:after="0"/>
              <w:rPr>
                <w:sz w:val="17"/>
                <w:szCs w:val="17"/>
                <w:color w:val="auto"/>
              </w:rPr>
            </w:pPr>
          </w:p>
        </w:tc>
        <w:tc>
          <w:tcPr>
            <w:tcW w:w="660" w:type="dxa"/>
            <w:vAlign w:val="bottom"/>
            <w:tcBorders>
              <w:bottom w:val="single" w:sz="8" w:color="BCBEC0"/>
            </w:tcBorders>
          </w:tcPr>
          <w:p>
            <w:pPr>
              <w:spacing w:after="0"/>
              <w:rPr>
                <w:sz w:val="17"/>
                <w:szCs w:val="17"/>
                <w:color w:val="auto"/>
              </w:rPr>
            </w:pPr>
          </w:p>
        </w:tc>
        <w:tc>
          <w:tcPr>
            <w:tcW w:w="760" w:type="dxa"/>
            <w:vAlign w:val="bottom"/>
            <w:tcBorders>
              <w:bottom w:val="single" w:sz="8" w:color="BCBEC0"/>
            </w:tcBorders>
          </w:tcPr>
          <w:p>
            <w:pPr>
              <w:spacing w:after="0"/>
              <w:rPr>
                <w:sz w:val="17"/>
                <w:szCs w:val="17"/>
                <w:color w:val="auto"/>
              </w:rPr>
            </w:pPr>
          </w:p>
        </w:tc>
        <w:tc>
          <w:tcPr>
            <w:tcW w:w="860" w:type="dxa"/>
            <w:vAlign w:val="bottom"/>
            <w:tcBorders>
              <w:bottom w:val="single" w:sz="8" w:color="BCBEC0"/>
            </w:tcBorders>
          </w:tcPr>
          <w:p>
            <w:pPr>
              <w:spacing w:after="0"/>
              <w:rPr>
                <w:sz w:val="17"/>
                <w:szCs w:val="17"/>
                <w:color w:val="auto"/>
              </w:rPr>
            </w:pPr>
          </w:p>
        </w:tc>
        <w:tc>
          <w:tcPr>
            <w:tcW w:w="1120" w:type="dxa"/>
            <w:vAlign w:val="bottom"/>
            <w:tcBorders>
              <w:bottom w:val="single" w:sz="8" w:color="BCBEC0"/>
            </w:tcBorders>
          </w:tcPr>
          <w:p>
            <w:pPr>
              <w:spacing w:after="0"/>
              <w:rPr>
                <w:sz w:val="17"/>
                <w:szCs w:val="17"/>
                <w:color w:val="auto"/>
              </w:rPr>
            </w:pPr>
          </w:p>
        </w:tc>
        <w:tc>
          <w:tcPr>
            <w:tcW w:w="1140" w:type="dxa"/>
            <w:vAlign w:val="bottom"/>
            <w:tcBorders>
              <w:bottom w:val="single" w:sz="8" w:color="BCBEC0"/>
            </w:tcBorders>
          </w:tcPr>
          <w:p>
            <w:pPr>
              <w:jc w:val="right"/>
              <w:ind w:right="177"/>
              <w:spacing w:after="0"/>
              <w:rPr>
                <w:sz w:val="20"/>
                <w:szCs w:val="20"/>
                <w:color w:val="auto"/>
              </w:rPr>
            </w:pPr>
            <w:r>
              <w:rPr>
                <w:rFonts w:ascii="Arial" w:cs="Arial" w:eastAsia="Arial" w:hAnsi="Arial"/>
                <w:sz w:val="13"/>
                <w:szCs w:val="13"/>
                <w:color w:val="auto"/>
              </w:rPr>
              <w:t>27,446</w:t>
            </w:r>
          </w:p>
        </w:tc>
        <w:tc>
          <w:tcPr>
            <w:tcW w:w="1440" w:type="dxa"/>
            <w:vAlign w:val="bottom"/>
            <w:tcBorders>
              <w:bottom w:val="single" w:sz="8" w:color="BCBEC0"/>
            </w:tcBorders>
          </w:tcPr>
          <w:p>
            <w:pPr>
              <w:jc w:val="right"/>
              <w:ind w:right="455"/>
              <w:spacing w:after="0"/>
              <w:rPr>
                <w:sz w:val="20"/>
                <w:szCs w:val="20"/>
                <w:color w:val="auto"/>
              </w:rPr>
            </w:pPr>
            <w:r>
              <w:rPr>
                <w:rFonts w:ascii="Arial" w:cs="Arial" w:eastAsia="Arial" w:hAnsi="Arial"/>
                <w:sz w:val="13"/>
                <w:szCs w:val="13"/>
                <w:color w:val="auto"/>
              </w:rPr>
              <w:t>2,858,226</w:t>
            </w:r>
          </w:p>
        </w:tc>
        <w:tc>
          <w:tcPr>
            <w:tcW w:w="980" w:type="dxa"/>
            <w:vAlign w:val="bottom"/>
            <w:tcBorders>
              <w:bottom w:val="single" w:sz="8" w:color="BCBEC0"/>
            </w:tcBorders>
          </w:tcPr>
          <w:p>
            <w:pPr>
              <w:spacing w:after="0"/>
              <w:rPr>
                <w:sz w:val="17"/>
                <w:szCs w:val="17"/>
                <w:color w:val="auto"/>
              </w:rPr>
            </w:pPr>
          </w:p>
        </w:tc>
        <w:tc>
          <w:tcPr>
            <w:tcW w:w="1020" w:type="dxa"/>
            <w:vAlign w:val="bottom"/>
            <w:tcBorders>
              <w:bottom w:val="single" w:sz="8" w:color="BCBEC0"/>
            </w:tcBorders>
          </w:tcPr>
          <w:p>
            <w:pPr>
              <w:spacing w:after="0"/>
              <w:rPr>
                <w:sz w:val="17"/>
                <w:szCs w:val="17"/>
                <w:color w:val="auto"/>
              </w:rPr>
            </w:pPr>
          </w:p>
        </w:tc>
      </w:tr>
      <w:tr>
        <w:trPr>
          <w:trHeight w:val="190"/>
        </w:trPr>
        <w:tc>
          <w:tcPr>
            <w:tcW w:w="19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980" w:type="dxa"/>
            <w:vAlign w:val="bottom"/>
          </w:tcPr>
          <w:p>
            <w:pPr>
              <w:jc w:val="right"/>
              <w:ind w:right="195"/>
              <w:spacing w:after="0"/>
              <w:rPr>
                <w:sz w:val="20"/>
                <w:szCs w:val="20"/>
                <w:color w:val="auto"/>
              </w:rPr>
            </w:pPr>
            <w:r>
              <w:rPr>
                <w:rFonts w:ascii="Arial" w:cs="Arial" w:eastAsia="Arial" w:hAnsi="Arial"/>
                <w:sz w:val="13"/>
                <w:szCs w:val="13"/>
                <w:color w:val="auto"/>
              </w:rPr>
              <w:t>98,113</w:t>
            </w:r>
          </w:p>
        </w:tc>
        <w:tc>
          <w:tcPr>
            <w:tcW w:w="1020" w:type="dxa"/>
            <w:vAlign w:val="bottom"/>
          </w:tcPr>
          <w:p>
            <w:pPr>
              <w:jc w:val="right"/>
              <w:spacing w:after="0"/>
              <w:rPr>
                <w:sz w:val="20"/>
                <w:szCs w:val="20"/>
                <w:color w:val="auto"/>
              </w:rPr>
            </w:pPr>
            <w:r>
              <w:rPr>
                <w:rFonts w:ascii="Arial" w:cs="Arial" w:eastAsia="Arial" w:hAnsi="Arial"/>
                <w:sz w:val="13"/>
                <w:szCs w:val="13"/>
                <w:color w:val="auto"/>
              </w:rPr>
              <w:t>10,217,488</w:t>
            </w:r>
          </w:p>
        </w:tc>
      </w:tr>
      <w:tr>
        <w:trPr>
          <w:trHeight w:val="26"/>
        </w:trPr>
        <w:tc>
          <w:tcPr>
            <w:tcW w:w="1920" w:type="dxa"/>
            <w:vAlign w:val="bottom"/>
          </w:tcPr>
          <w:p>
            <w:pPr>
              <w:spacing w:after="0"/>
              <w:rPr>
                <w:sz w:val="2"/>
                <w:szCs w:val="2"/>
                <w:color w:val="auto"/>
              </w:rPr>
            </w:pPr>
          </w:p>
        </w:tc>
        <w:tc>
          <w:tcPr>
            <w:tcW w:w="1340" w:type="dxa"/>
            <w:vAlign w:val="bottom"/>
            <w:tcBorders>
              <w:bottom w:val="single" w:sz="8" w:color="BCBEC0"/>
            </w:tcBorders>
          </w:tcPr>
          <w:p>
            <w:pPr>
              <w:spacing w:after="0"/>
              <w:rPr>
                <w:sz w:val="2"/>
                <w:szCs w:val="2"/>
                <w:color w:val="auto"/>
              </w:rPr>
            </w:pPr>
          </w:p>
        </w:tc>
        <w:tc>
          <w:tcPr>
            <w:tcW w:w="660" w:type="dxa"/>
            <w:vAlign w:val="bottom"/>
            <w:tcBorders>
              <w:bottom w:val="single" w:sz="8" w:color="BCBEC0"/>
            </w:tcBorders>
          </w:tcPr>
          <w:p>
            <w:pPr>
              <w:spacing w:after="0"/>
              <w:rPr>
                <w:sz w:val="2"/>
                <w:szCs w:val="2"/>
                <w:color w:val="auto"/>
              </w:rPr>
            </w:pPr>
          </w:p>
        </w:tc>
        <w:tc>
          <w:tcPr>
            <w:tcW w:w="760" w:type="dxa"/>
            <w:vAlign w:val="bottom"/>
            <w:tcBorders>
              <w:bottom w:val="single" w:sz="8" w:color="BCBEC0"/>
            </w:tcBorders>
          </w:tcPr>
          <w:p>
            <w:pPr>
              <w:spacing w:after="0"/>
              <w:rPr>
                <w:sz w:val="2"/>
                <w:szCs w:val="2"/>
                <w:color w:val="auto"/>
              </w:rPr>
            </w:pPr>
          </w:p>
        </w:tc>
        <w:tc>
          <w:tcPr>
            <w:tcW w:w="860" w:type="dxa"/>
            <w:vAlign w:val="bottom"/>
            <w:tcBorders>
              <w:bottom w:val="single" w:sz="8" w:color="BCBEC0"/>
            </w:tcBorders>
          </w:tcPr>
          <w:p>
            <w:pPr>
              <w:spacing w:after="0"/>
              <w:rPr>
                <w:sz w:val="2"/>
                <w:szCs w:val="2"/>
                <w:color w:val="auto"/>
              </w:rPr>
            </w:pPr>
          </w:p>
        </w:tc>
        <w:tc>
          <w:tcPr>
            <w:tcW w:w="1120" w:type="dxa"/>
            <w:vAlign w:val="bottom"/>
            <w:tcBorders>
              <w:bottom w:val="single" w:sz="8" w:color="BCBEC0"/>
            </w:tcBorders>
          </w:tcPr>
          <w:p>
            <w:pPr>
              <w:spacing w:after="0"/>
              <w:rPr>
                <w:sz w:val="2"/>
                <w:szCs w:val="2"/>
                <w:color w:val="auto"/>
              </w:rPr>
            </w:pPr>
          </w:p>
        </w:tc>
        <w:tc>
          <w:tcPr>
            <w:tcW w:w="1140" w:type="dxa"/>
            <w:vAlign w:val="bottom"/>
            <w:tcBorders>
              <w:bottom w:val="single" w:sz="8" w:color="BCBEC0"/>
            </w:tcBorders>
          </w:tcPr>
          <w:p>
            <w:pPr>
              <w:spacing w:after="0"/>
              <w:rPr>
                <w:sz w:val="2"/>
                <w:szCs w:val="2"/>
                <w:color w:val="auto"/>
              </w:rPr>
            </w:pPr>
          </w:p>
        </w:tc>
        <w:tc>
          <w:tcPr>
            <w:tcW w:w="1440" w:type="dxa"/>
            <w:vAlign w:val="bottom"/>
            <w:tcBorders>
              <w:bottom w:val="single" w:sz="8" w:color="BCBEC0"/>
            </w:tcBorders>
          </w:tcPr>
          <w:p>
            <w:pPr>
              <w:spacing w:after="0"/>
              <w:rPr>
                <w:sz w:val="2"/>
                <w:szCs w:val="2"/>
                <w:color w:val="auto"/>
              </w:rPr>
            </w:pPr>
          </w:p>
        </w:tc>
        <w:tc>
          <w:tcPr>
            <w:tcW w:w="980" w:type="dxa"/>
            <w:vAlign w:val="bottom"/>
            <w:tcBorders>
              <w:bottom w:val="single" w:sz="8" w:color="BCBEC0"/>
            </w:tcBorders>
          </w:tcPr>
          <w:p>
            <w:pPr>
              <w:spacing w:after="0"/>
              <w:rPr>
                <w:sz w:val="2"/>
                <w:szCs w:val="2"/>
                <w:color w:val="auto"/>
              </w:rPr>
            </w:pPr>
          </w:p>
        </w:tc>
        <w:tc>
          <w:tcPr>
            <w:tcW w:w="1020" w:type="dxa"/>
            <w:vAlign w:val="bottom"/>
            <w:tcBorders>
              <w:bottom w:val="single" w:sz="8" w:color="BCBEC0"/>
            </w:tcBorders>
          </w:tcPr>
          <w:p>
            <w:pPr>
              <w:spacing w:after="0"/>
              <w:rPr>
                <w:sz w:val="2"/>
                <w:szCs w:val="2"/>
                <w:color w:val="auto"/>
              </w:rPr>
            </w:pPr>
          </w:p>
        </w:tc>
      </w:tr>
      <w:tr>
        <w:trPr>
          <w:trHeight w:val="184"/>
        </w:trPr>
        <w:tc>
          <w:tcPr>
            <w:tcW w:w="1920" w:type="dxa"/>
            <w:vAlign w:val="bottom"/>
          </w:tcPr>
          <w:p>
            <w:pPr>
              <w:spacing w:after="0"/>
              <w:rPr>
                <w:sz w:val="16"/>
                <w:szCs w:val="16"/>
                <w:color w:val="auto"/>
              </w:rPr>
            </w:pPr>
          </w:p>
        </w:tc>
        <w:tc>
          <w:tcPr>
            <w:tcW w:w="1340" w:type="dxa"/>
            <w:vAlign w:val="bottom"/>
          </w:tcPr>
          <w:p>
            <w:pPr>
              <w:jc w:val="right"/>
              <w:ind w:right="193"/>
              <w:spacing w:after="0"/>
              <w:rPr>
                <w:sz w:val="20"/>
                <w:szCs w:val="20"/>
                <w:color w:val="auto"/>
              </w:rPr>
            </w:pPr>
            <w:r>
              <w:rPr>
                <w:rFonts w:ascii="Arial" w:cs="Arial" w:eastAsia="Arial" w:hAnsi="Arial"/>
                <w:sz w:val="13"/>
                <w:szCs w:val="13"/>
                <w:color w:val="auto"/>
              </w:rPr>
              <w:t>58,499</w:t>
            </w: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760" w:type="dxa"/>
            <w:vAlign w:val="bottom"/>
          </w:tcPr>
          <w:p>
            <w:pPr>
              <w:spacing w:after="0"/>
              <w:rPr>
                <w:sz w:val="16"/>
                <w:szCs w:val="16"/>
                <w:color w:val="auto"/>
              </w:rPr>
            </w:pPr>
          </w:p>
        </w:tc>
        <w:tc>
          <w:tcPr>
            <w:tcW w:w="860" w:type="dxa"/>
            <w:vAlign w:val="bottom"/>
          </w:tcPr>
          <w:p>
            <w:pPr>
              <w:jc w:val="right"/>
              <w:ind w:right="273"/>
              <w:spacing w:after="0"/>
              <w:rPr>
                <w:sz w:val="20"/>
                <w:szCs w:val="20"/>
                <w:color w:val="auto"/>
              </w:rPr>
            </w:pPr>
            <w:r>
              <w:rPr>
                <w:rFonts w:ascii="Arial" w:cs="Arial" w:eastAsia="Arial" w:hAnsi="Arial"/>
                <w:sz w:val="13"/>
                <w:szCs w:val="13"/>
                <w:color w:val="auto"/>
              </w:rPr>
              <w:t>38.61</w:t>
            </w:r>
          </w:p>
        </w:tc>
        <w:tc>
          <w:tcPr>
            <w:tcW w:w="1120" w:type="dxa"/>
            <w:vAlign w:val="bottom"/>
          </w:tcPr>
          <w:p>
            <w:pPr>
              <w:jc w:val="right"/>
              <w:ind w:right="153"/>
              <w:spacing w:after="0"/>
              <w:rPr>
                <w:sz w:val="20"/>
                <w:szCs w:val="20"/>
                <w:color w:val="auto"/>
              </w:rPr>
            </w:pPr>
            <w:r>
              <w:rPr>
                <w:rFonts w:ascii="Arial" w:cs="Arial" w:eastAsia="Arial" w:hAnsi="Arial"/>
                <w:sz w:val="13"/>
                <w:szCs w:val="13"/>
                <w:color w:val="auto"/>
              </w:rPr>
              <w:t>1/3/2027</w:t>
            </w:r>
          </w:p>
        </w:tc>
        <w:tc>
          <w:tcPr>
            <w:tcW w:w="11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6"/>
        </w:trPr>
        <w:tc>
          <w:tcPr>
            <w:tcW w:w="1920" w:type="dxa"/>
            <w:vAlign w:val="bottom"/>
          </w:tcPr>
          <w:p>
            <w:pPr>
              <w:spacing w:after="0"/>
              <w:rPr>
                <w:sz w:val="2"/>
                <w:szCs w:val="2"/>
                <w:color w:val="auto"/>
              </w:rPr>
            </w:pPr>
          </w:p>
        </w:tc>
        <w:tc>
          <w:tcPr>
            <w:tcW w:w="1340" w:type="dxa"/>
            <w:vAlign w:val="bottom"/>
            <w:tcBorders>
              <w:bottom w:val="single" w:sz="8" w:color="BCBEC0"/>
            </w:tcBorders>
          </w:tcPr>
          <w:p>
            <w:pPr>
              <w:spacing w:after="0"/>
              <w:rPr>
                <w:sz w:val="2"/>
                <w:szCs w:val="2"/>
                <w:color w:val="auto"/>
              </w:rPr>
            </w:pPr>
          </w:p>
        </w:tc>
        <w:tc>
          <w:tcPr>
            <w:tcW w:w="660" w:type="dxa"/>
            <w:vAlign w:val="bottom"/>
            <w:tcBorders>
              <w:bottom w:val="single" w:sz="8" w:color="BCBEC0"/>
            </w:tcBorders>
          </w:tcPr>
          <w:p>
            <w:pPr>
              <w:spacing w:after="0"/>
              <w:rPr>
                <w:sz w:val="2"/>
                <w:szCs w:val="2"/>
                <w:color w:val="auto"/>
              </w:rPr>
            </w:pPr>
          </w:p>
        </w:tc>
        <w:tc>
          <w:tcPr>
            <w:tcW w:w="760" w:type="dxa"/>
            <w:vAlign w:val="bottom"/>
            <w:tcBorders>
              <w:bottom w:val="single" w:sz="8" w:color="BCBEC0"/>
            </w:tcBorders>
          </w:tcPr>
          <w:p>
            <w:pPr>
              <w:spacing w:after="0"/>
              <w:rPr>
                <w:sz w:val="2"/>
                <w:szCs w:val="2"/>
                <w:color w:val="auto"/>
              </w:rPr>
            </w:pPr>
          </w:p>
        </w:tc>
        <w:tc>
          <w:tcPr>
            <w:tcW w:w="860" w:type="dxa"/>
            <w:vAlign w:val="bottom"/>
            <w:tcBorders>
              <w:bottom w:val="single" w:sz="8" w:color="BCBEC0"/>
            </w:tcBorders>
          </w:tcPr>
          <w:p>
            <w:pPr>
              <w:spacing w:after="0"/>
              <w:rPr>
                <w:sz w:val="2"/>
                <w:szCs w:val="2"/>
                <w:color w:val="auto"/>
              </w:rPr>
            </w:pPr>
          </w:p>
        </w:tc>
        <w:tc>
          <w:tcPr>
            <w:tcW w:w="1120" w:type="dxa"/>
            <w:vAlign w:val="bottom"/>
            <w:tcBorders>
              <w:bottom w:val="single" w:sz="8" w:color="BCBEC0"/>
            </w:tcBorders>
          </w:tcPr>
          <w:p>
            <w:pPr>
              <w:spacing w:after="0"/>
              <w:rPr>
                <w:sz w:val="2"/>
                <w:szCs w:val="2"/>
                <w:color w:val="auto"/>
              </w:rPr>
            </w:pPr>
          </w:p>
        </w:tc>
        <w:tc>
          <w:tcPr>
            <w:tcW w:w="1140" w:type="dxa"/>
            <w:vAlign w:val="bottom"/>
            <w:tcBorders>
              <w:bottom w:val="single" w:sz="8" w:color="BCBEC0"/>
            </w:tcBorders>
          </w:tcPr>
          <w:p>
            <w:pPr>
              <w:spacing w:after="0"/>
              <w:rPr>
                <w:sz w:val="2"/>
                <w:szCs w:val="2"/>
                <w:color w:val="auto"/>
              </w:rPr>
            </w:pPr>
          </w:p>
        </w:tc>
        <w:tc>
          <w:tcPr>
            <w:tcW w:w="1440" w:type="dxa"/>
            <w:vAlign w:val="bottom"/>
            <w:tcBorders>
              <w:bottom w:val="single" w:sz="8" w:color="BCBEC0"/>
            </w:tcBorders>
          </w:tcPr>
          <w:p>
            <w:pPr>
              <w:spacing w:after="0"/>
              <w:rPr>
                <w:sz w:val="2"/>
                <w:szCs w:val="2"/>
                <w:color w:val="auto"/>
              </w:rPr>
            </w:pPr>
          </w:p>
        </w:tc>
        <w:tc>
          <w:tcPr>
            <w:tcW w:w="980" w:type="dxa"/>
            <w:vAlign w:val="bottom"/>
            <w:tcBorders>
              <w:bottom w:val="single" w:sz="8" w:color="BCBEC0"/>
            </w:tcBorders>
          </w:tcPr>
          <w:p>
            <w:pPr>
              <w:spacing w:after="0"/>
              <w:rPr>
                <w:sz w:val="2"/>
                <w:szCs w:val="2"/>
                <w:color w:val="auto"/>
              </w:rPr>
            </w:pPr>
          </w:p>
        </w:tc>
        <w:tc>
          <w:tcPr>
            <w:tcW w:w="1020" w:type="dxa"/>
            <w:vAlign w:val="bottom"/>
            <w:tcBorders>
              <w:bottom w:val="single" w:sz="8" w:color="BCBEC0"/>
            </w:tcBorders>
          </w:tcPr>
          <w:p>
            <w:pPr>
              <w:spacing w:after="0"/>
              <w:rPr>
                <w:sz w:val="2"/>
                <w:szCs w:val="2"/>
                <w:color w:val="auto"/>
              </w:rPr>
            </w:pPr>
          </w:p>
        </w:tc>
      </w:tr>
      <w:tr>
        <w:trPr>
          <w:trHeight w:val="184"/>
        </w:trPr>
        <w:tc>
          <w:tcPr>
            <w:tcW w:w="1920" w:type="dxa"/>
            <w:vAlign w:val="bottom"/>
          </w:tcPr>
          <w:p>
            <w:pPr>
              <w:spacing w:after="0"/>
              <w:rPr>
                <w:sz w:val="16"/>
                <w:szCs w:val="16"/>
                <w:color w:val="auto"/>
              </w:rPr>
            </w:pPr>
          </w:p>
        </w:tc>
        <w:tc>
          <w:tcPr>
            <w:tcW w:w="1340" w:type="dxa"/>
            <w:vAlign w:val="bottom"/>
          </w:tcPr>
          <w:p>
            <w:pPr>
              <w:jc w:val="right"/>
              <w:ind w:right="193"/>
              <w:spacing w:after="0"/>
              <w:rPr>
                <w:sz w:val="20"/>
                <w:szCs w:val="20"/>
                <w:color w:val="auto"/>
              </w:rPr>
            </w:pPr>
            <w:r>
              <w:rPr>
                <w:rFonts w:ascii="Arial" w:cs="Arial" w:eastAsia="Arial" w:hAnsi="Arial"/>
                <w:sz w:val="13"/>
                <w:szCs w:val="13"/>
                <w:color w:val="auto"/>
              </w:rPr>
              <w:t>87,016</w:t>
            </w: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760" w:type="dxa"/>
            <w:vAlign w:val="bottom"/>
          </w:tcPr>
          <w:p>
            <w:pPr>
              <w:spacing w:after="0"/>
              <w:rPr>
                <w:sz w:val="16"/>
                <w:szCs w:val="16"/>
                <w:color w:val="auto"/>
              </w:rPr>
            </w:pPr>
          </w:p>
        </w:tc>
        <w:tc>
          <w:tcPr>
            <w:tcW w:w="860" w:type="dxa"/>
            <w:vAlign w:val="bottom"/>
          </w:tcPr>
          <w:p>
            <w:pPr>
              <w:jc w:val="right"/>
              <w:ind w:right="273"/>
              <w:spacing w:after="0"/>
              <w:rPr>
                <w:sz w:val="20"/>
                <w:szCs w:val="20"/>
                <w:color w:val="auto"/>
              </w:rPr>
            </w:pPr>
            <w:r>
              <w:rPr>
                <w:rFonts w:ascii="Arial" w:cs="Arial" w:eastAsia="Arial" w:hAnsi="Arial"/>
                <w:sz w:val="13"/>
                <w:szCs w:val="13"/>
                <w:color w:val="auto"/>
              </w:rPr>
              <w:t>45.42</w:t>
            </w:r>
          </w:p>
        </w:tc>
        <w:tc>
          <w:tcPr>
            <w:tcW w:w="1120" w:type="dxa"/>
            <w:vAlign w:val="bottom"/>
          </w:tcPr>
          <w:p>
            <w:pPr>
              <w:jc w:val="right"/>
              <w:ind w:right="153"/>
              <w:spacing w:after="0"/>
              <w:rPr>
                <w:sz w:val="20"/>
                <w:szCs w:val="20"/>
                <w:color w:val="auto"/>
              </w:rPr>
            </w:pPr>
            <w:r>
              <w:rPr>
                <w:rFonts w:ascii="Arial" w:cs="Arial" w:eastAsia="Arial" w:hAnsi="Arial"/>
                <w:sz w:val="13"/>
                <w:szCs w:val="13"/>
                <w:color w:val="auto"/>
              </w:rPr>
              <w:t>5/2/2028</w:t>
            </w:r>
          </w:p>
        </w:tc>
        <w:tc>
          <w:tcPr>
            <w:tcW w:w="11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6"/>
        </w:trPr>
        <w:tc>
          <w:tcPr>
            <w:tcW w:w="1920" w:type="dxa"/>
            <w:vAlign w:val="bottom"/>
          </w:tcPr>
          <w:p>
            <w:pPr>
              <w:spacing w:after="0"/>
              <w:rPr>
                <w:sz w:val="2"/>
                <w:szCs w:val="2"/>
                <w:color w:val="auto"/>
              </w:rPr>
            </w:pPr>
          </w:p>
        </w:tc>
        <w:tc>
          <w:tcPr>
            <w:tcW w:w="1340" w:type="dxa"/>
            <w:vAlign w:val="bottom"/>
            <w:tcBorders>
              <w:bottom w:val="single" w:sz="8" w:color="BCBEC0"/>
            </w:tcBorders>
          </w:tcPr>
          <w:p>
            <w:pPr>
              <w:spacing w:after="0"/>
              <w:rPr>
                <w:sz w:val="2"/>
                <w:szCs w:val="2"/>
                <w:color w:val="auto"/>
              </w:rPr>
            </w:pPr>
          </w:p>
        </w:tc>
        <w:tc>
          <w:tcPr>
            <w:tcW w:w="660" w:type="dxa"/>
            <w:vAlign w:val="bottom"/>
            <w:tcBorders>
              <w:bottom w:val="single" w:sz="8" w:color="BCBEC0"/>
            </w:tcBorders>
          </w:tcPr>
          <w:p>
            <w:pPr>
              <w:spacing w:after="0"/>
              <w:rPr>
                <w:sz w:val="2"/>
                <w:szCs w:val="2"/>
                <w:color w:val="auto"/>
              </w:rPr>
            </w:pPr>
          </w:p>
        </w:tc>
        <w:tc>
          <w:tcPr>
            <w:tcW w:w="760" w:type="dxa"/>
            <w:vAlign w:val="bottom"/>
            <w:tcBorders>
              <w:bottom w:val="single" w:sz="8" w:color="BCBEC0"/>
            </w:tcBorders>
          </w:tcPr>
          <w:p>
            <w:pPr>
              <w:spacing w:after="0"/>
              <w:rPr>
                <w:sz w:val="2"/>
                <w:szCs w:val="2"/>
                <w:color w:val="auto"/>
              </w:rPr>
            </w:pPr>
          </w:p>
        </w:tc>
        <w:tc>
          <w:tcPr>
            <w:tcW w:w="860" w:type="dxa"/>
            <w:vAlign w:val="bottom"/>
            <w:tcBorders>
              <w:bottom w:val="single" w:sz="8" w:color="BCBEC0"/>
            </w:tcBorders>
          </w:tcPr>
          <w:p>
            <w:pPr>
              <w:spacing w:after="0"/>
              <w:rPr>
                <w:sz w:val="2"/>
                <w:szCs w:val="2"/>
                <w:color w:val="auto"/>
              </w:rPr>
            </w:pPr>
          </w:p>
        </w:tc>
        <w:tc>
          <w:tcPr>
            <w:tcW w:w="1120" w:type="dxa"/>
            <w:vAlign w:val="bottom"/>
            <w:tcBorders>
              <w:bottom w:val="single" w:sz="8" w:color="BCBEC0"/>
            </w:tcBorders>
          </w:tcPr>
          <w:p>
            <w:pPr>
              <w:spacing w:after="0"/>
              <w:rPr>
                <w:sz w:val="2"/>
                <w:szCs w:val="2"/>
                <w:color w:val="auto"/>
              </w:rPr>
            </w:pPr>
          </w:p>
        </w:tc>
        <w:tc>
          <w:tcPr>
            <w:tcW w:w="1140" w:type="dxa"/>
            <w:vAlign w:val="bottom"/>
            <w:tcBorders>
              <w:bottom w:val="single" w:sz="8" w:color="BCBEC0"/>
            </w:tcBorders>
          </w:tcPr>
          <w:p>
            <w:pPr>
              <w:spacing w:after="0"/>
              <w:rPr>
                <w:sz w:val="2"/>
                <w:szCs w:val="2"/>
                <w:color w:val="auto"/>
              </w:rPr>
            </w:pPr>
          </w:p>
        </w:tc>
        <w:tc>
          <w:tcPr>
            <w:tcW w:w="1440" w:type="dxa"/>
            <w:vAlign w:val="bottom"/>
            <w:tcBorders>
              <w:bottom w:val="single" w:sz="8" w:color="BCBEC0"/>
            </w:tcBorders>
          </w:tcPr>
          <w:p>
            <w:pPr>
              <w:spacing w:after="0"/>
              <w:rPr>
                <w:sz w:val="2"/>
                <w:szCs w:val="2"/>
                <w:color w:val="auto"/>
              </w:rPr>
            </w:pPr>
          </w:p>
        </w:tc>
        <w:tc>
          <w:tcPr>
            <w:tcW w:w="980" w:type="dxa"/>
            <w:vAlign w:val="bottom"/>
            <w:tcBorders>
              <w:bottom w:val="single" w:sz="8" w:color="BCBEC0"/>
            </w:tcBorders>
          </w:tcPr>
          <w:p>
            <w:pPr>
              <w:spacing w:after="0"/>
              <w:rPr>
                <w:sz w:val="2"/>
                <w:szCs w:val="2"/>
                <w:color w:val="auto"/>
              </w:rPr>
            </w:pPr>
          </w:p>
        </w:tc>
        <w:tc>
          <w:tcPr>
            <w:tcW w:w="1020" w:type="dxa"/>
            <w:vAlign w:val="bottom"/>
            <w:tcBorders>
              <w:bottom w:val="single" w:sz="8" w:color="BCBEC0"/>
            </w:tcBorders>
          </w:tcPr>
          <w:p>
            <w:pPr>
              <w:spacing w:after="0"/>
              <w:rPr>
                <w:sz w:val="2"/>
                <w:szCs w:val="2"/>
                <w:color w:val="auto"/>
              </w:rPr>
            </w:pPr>
          </w:p>
        </w:tc>
      </w:tr>
      <w:tr>
        <w:trPr>
          <w:trHeight w:val="184"/>
        </w:trPr>
        <w:tc>
          <w:tcPr>
            <w:tcW w:w="1920" w:type="dxa"/>
            <w:vAlign w:val="bottom"/>
          </w:tcPr>
          <w:p>
            <w:pPr>
              <w:spacing w:after="0"/>
              <w:rPr>
                <w:sz w:val="16"/>
                <w:szCs w:val="16"/>
                <w:color w:val="auto"/>
              </w:rPr>
            </w:pPr>
          </w:p>
        </w:tc>
        <w:tc>
          <w:tcPr>
            <w:tcW w:w="1340" w:type="dxa"/>
            <w:vAlign w:val="bottom"/>
          </w:tcPr>
          <w:p>
            <w:pPr>
              <w:jc w:val="right"/>
              <w:ind w:right="193"/>
              <w:spacing w:after="0"/>
              <w:rPr>
                <w:sz w:val="20"/>
                <w:szCs w:val="20"/>
                <w:color w:val="auto"/>
              </w:rPr>
            </w:pPr>
            <w:r>
              <w:rPr>
                <w:rFonts w:ascii="Arial" w:cs="Arial" w:eastAsia="Arial" w:hAnsi="Arial"/>
                <w:sz w:val="13"/>
                <w:szCs w:val="13"/>
                <w:color w:val="auto"/>
              </w:rPr>
              <w:t>100,293</w:t>
            </w: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760" w:type="dxa"/>
            <w:vAlign w:val="bottom"/>
          </w:tcPr>
          <w:p>
            <w:pPr>
              <w:spacing w:after="0"/>
              <w:rPr>
                <w:sz w:val="16"/>
                <w:szCs w:val="16"/>
                <w:color w:val="auto"/>
              </w:rPr>
            </w:pPr>
          </w:p>
        </w:tc>
        <w:tc>
          <w:tcPr>
            <w:tcW w:w="860" w:type="dxa"/>
            <w:vAlign w:val="bottom"/>
          </w:tcPr>
          <w:p>
            <w:pPr>
              <w:jc w:val="right"/>
              <w:ind w:right="273"/>
              <w:spacing w:after="0"/>
              <w:rPr>
                <w:sz w:val="20"/>
                <w:szCs w:val="20"/>
                <w:color w:val="auto"/>
              </w:rPr>
            </w:pPr>
            <w:r>
              <w:rPr>
                <w:rFonts w:ascii="Arial" w:cs="Arial" w:eastAsia="Arial" w:hAnsi="Arial"/>
                <w:sz w:val="13"/>
                <w:szCs w:val="13"/>
                <w:color w:val="auto"/>
              </w:rPr>
              <w:t>51.53</w:t>
            </w:r>
          </w:p>
        </w:tc>
        <w:tc>
          <w:tcPr>
            <w:tcW w:w="1120" w:type="dxa"/>
            <w:vAlign w:val="bottom"/>
          </w:tcPr>
          <w:p>
            <w:pPr>
              <w:jc w:val="right"/>
              <w:ind w:right="153"/>
              <w:spacing w:after="0"/>
              <w:rPr>
                <w:sz w:val="20"/>
                <w:szCs w:val="20"/>
                <w:color w:val="auto"/>
              </w:rPr>
            </w:pPr>
            <w:r>
              <w:rPr>
                <w:rFonts w:ascii="Arial" w:cs="Arial" w:eastAsia="Arial" w:hAnsi="Arial"/>
                <w:sz w:val="13"/>
                <w:szCs w:val="13"/>
                <w:color w:val="auto"/>
              </w:rPr>
              <w:t>1/4/2031</w:t>
            </w:r>
          </w:p>
        </w:tc>
        <w:tc>
          <w:tcPr>
            <w:tcW w:w="11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6"/>
        </w:trPr>
        <w:tc>
          <w:tcPr>
            <w:tcW w:w="1920" w:type="dxa"/>
            <w:vAlign w:val="bottom"/>
          </w:tcPr>
          <w:p>
            <w:pPr>
              <w:spacing w:after="0"/>
              <w:rPr>
                <w:sz w:val="2"/>
                <w:szCs w:val="2"/>
                <w:color w:val="auto"/>
              </w:rPr>
            </w:pPr>
          </w:p>
        </w:tc>
        <w:tc>
          <w:tcPr>
            <w:tcW w:w="1340" w:type="dxa"/>
            <w:vAlign w:val="bottom"/>
            <w:tcBorders>
              <w:bottom w:val="single" w:sz="8" w:color="BCBEC0"/>
            </w:tcBorders>
          </w:tcPr>
          <w:p>
            <w:pPr>
              <w:spacing w:after="0"/>
              <w:rPr>
                <w:sz w:val="2"/>
                <w:szCs w:val="2"/>
                <w:color w:val="auto"/>
              </w:rPr>
            </w:pPr>
          </w:p>
        </w:tc>
        <w:tc>
          <w:tcPr>
            <w:tcW w:w="660" w:type="dxa"/>
            <w:vAlign w:val="bottom"/>
            <w:tcBorders>
              <w:bottom w:val="single" w:sz="8" w:color="BCBEC0"/>
            </w:tcBorders>
          </w:tcPr>
          <w:p>
            <w:pPr>
              <w:spacing w:after="0"/>
              <w:rPr>
                <w:sz w:val="2"/>
                <w:szCs w:val="2"/>
                <w:color w:val="auto"/>
              </w:rPr>
            </w:pPr>
          </w:p>
        </w:tc>
        <w:tc>
          <w:tcPr>
            <w:tcW w:w="760" w:type="dxa"/>
            <w:vAlign w:val="bottom"/>
            <w:tcBorders>
              <w:bottom w:val="single" w:sz="8" w:color="BCBEC0"/>
            </w:tcBorders>
          </w:tcPr>
          <w:p>
            <w:pPr>
              <w:spacing w:after="0"/>
              <w:rPr>
                <w:sz w:val="2"/>
                <w:szCs w:val="2"/>
                <w:color w:val="auto"/>
              </w:rPr>
            </w:pPr>
          </w:p>
        </w:tc>
        <w:tc>
          <w:tcPr>
            <w:tcW w:w="860" w:type="dxa"/>
            <w:vAlign w:val="bottom"/>
            <w:tcBorders>
              <w:bottom w:val="single" w:sz="8" w:color="BCBEC0"/>
            </w:tcBorders>
          </w:tcPr>
          <w:p>
            <w:pPr>
              <w:spacing w:after="0"/>
              <w:rPr>
                <w:sz w:val="2"/>
                <w:szCs w:val="2"/>
                <w:color w:val="auto"/>
              </w:rPr>
            </w:pPr>
          </w:p>
        </w:tc>
        <w:tc>
          <w:tcPr>
            <w:tcW w:w="1120" w:type="dxa"/>
            <w:vAlign w:val="bottom"/>
            <w:tcBorders>
              <w:bottom w:val="single" w:sz="8" w:color="BCBEC0"/>
            </w:tcBorders>
          </w:tcPr>
          <w:p>
            <w:pPr>
              <w:spacing w:after="0"/>
              <w:rPr>
                <w:sz w:val="2"/>
                <w:szCs w:val="2"/>
                <w:color w:val="auto"/>
              </w:rPr>
            </w:pPr>
          </w:p>
        </w:tc>
        <w:tc>
          <w:tcPr>
            <w:tcW w:w="1140" w:type="dxa"/>
            <w:vAlign w:val="bottom"/>
            <w:tcBorders>
              <w:bottom w:val="single" w:sz="8" w:color="BCBEC0"/>
            </w:tcBorders>
          </w:tcPr>
          <w:p>
            <w:pPr>
              <w:spacing w:after="0"/>
              <w:rPr>
                <w:sz w:val="2"/>
                <w:szCs w:val="2"/>
                <w:color w:val="auto"/>
              </w:rPr>
            </w:pPr>
          </w:p>
        </w:tc>
        <w:tc>
          <w:tcPr>
            <w:tcW w:w="1440" w:type="dxa"/>
            <w:vAlign w:val="bottom"/>
            <w:tcBorders>
              <w:bottom w:val="single" w:sz="8" w:color="BCBEC0"/>
            </w:tcBorders>
          </w:tcPr>
          <w:p>
            <w:pPr>
              <w:spacing w:after="0"/>
              <w:rPr>
                <w:sz w:val="2"/>
                <w:szCs w:val="2"/>
                <w:color w:val="auto"/>
              </w:rPr>
            </w:pPr>
          </w:p>
        </w:tc>
        <w:tc>
          <w:tcPr>
            <w:tcW w:w="980" w:type="dxa"/>
            <w:vAlign w:val="bottom"/>
            <w:tcBorders>
              <w:bottom w:val="single" w:sz="8" w:color="BCBEC0"/>
            </w:tcBorders>
          </w:tcPr>
          <w:p>
            <w:pPr>
              <w:spacing w:after="0"/>
              <w:rPr>
                <w:sz w:val="2"/>
                <w:szCs w:val="2"/>
                <w:color w:val="auto"/>
              </w:rPr>
            </w:pPr>
          </w:p>
        </w:tc>
        <w:tc>
          <w:tcPr>
            <w:tcW w:w="1020" w:type="dxa"/>
            <w:vAlign w:val="bottom"/>
            <w:tcBorders>
              <w:bottom w:val="single" w:sz="8" w:color="BCBEC0"/>
            </w:tcBorders>
          </w:tcPr>
          <w:p>
            <w:pPr>
              <w:spacing w:after="0"/>
              <w:rPr>
                <w:sz w:val="2"/>
                <w:szCs w:val="2"/>
                <w:color w:val="auto"/>
              </w:rPr>
            </w:pPr>
          </w:p>
        </w:tc>
      </w:tr>
      <w:tr>
        <w:trPr>
          <w:trHeight w:val="184"/>
        </w:trPr>
        <w:tc>
          <w:tcPr>
            <w:tcW w:w="1920" w:type="dxa"/>
            <w:vAlign w:val="bottom"/>
          </w:tcPr>
          <w:p>
            <w:pPr>
              <w:spacing w:after="0"/>
              <w:rPr>
                <w:sz w:val="16"/>
                <w:szCs w:val="16"/>
                <w:color w:val="auto"/>
              </w:rPr>
            </w:pPr>
          </w:p>
        </w:tc>
        <w:tc>
          <w:tcPr>
            <w:tcW w:w="1340" w:type="dxa"/>
            <w:vAlign w:val="bottom"/>
          </w:tcPr>
          <w:p>
            <w:pPr>
              <w:jc w:val="right"/>
              <w:ind w:right="193"/>
              <w:spacing w:after="0"/>
              <w:rPr>
                <w:sz w:val="20"/>
                <w:szCs w:val="20"/>
                <w:color w:val="auto"/>
              </w:rPr>
            </w:pPr>
            <w:r>
              <w:rPr>
                <w:rFonts w:ascii="Arial" w:cs="Arial" w:eastAsia="Arial" w:hAnsi="Arial"/>
                <w:sz w:val="13"/>
                <w:szCs w:val="13"/>
                <w:color w:val="auto"/>
              </w:rPr>
              <w:t>77,605</w:t>
            </w: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760" w:type="dxa"/>
            <w:vAlign w:val="bottom"/>
          </w:tcPr>
          <w:p>
            <w:pPr>
              <w:spacing w:after="0"/>
              <w:rPr>
                <w:sz w:val="16"/>
                <w:szCs w:val="16"/>
                <w:color w:val="auto"/>
              </w:rPr>
            </w:pPr>
          </w:p>
        </w:tc>
        <w:tc>
          <w:tcPr>
            <w:tcW w:w="860" w:type="dxa"/>
            <w:vAlign w:val="bottom"/>
          </w:tcPr>
          <w:p>
            <w:pPr>
              <w:jc w:val="right"/>
              <w:ind w:right="273"/>
              <w:spacing w:after="0"/>
              <w:rPr>
                <w:sz w:val="20"/>
                <w:szCs w:val="20"/>
                <w:color w:val="auto"/>
              </w:rPr>
            </w:pPr>
            <w:r>
              <w:rPr>
                <w:rFonts w:ascii="Arial" w:cs="Arial" w:eastAsia="Arial" w:hAnsi="Arial"/>
                <w:sz w:val="13"/>
                <w:szCs w:val="13"/>
                <w:color w:val="auto"/>
              </w:rPr>
              <w:t>70.99</w:t>
            </w:r>
          </w:p>
        </w:tc>
        <w:tc>
          <w:tcPr>
            <w:tcW w:w="1120" w:type="dxa"/>
            <w:vAlign w:val="bottom"/>
          </w:tcPr>
          <w:p>
            <w:pPr>
              <w:jc w:val="right"/>
              <w:ind w:right="153"/>
              <w:spacing w:after="0"/>
              <w:rPr>
                <w:sz w:val="20"/>
                <w:szCs w:val="20"/>
                <w:color w:val="auto"/>
              </w:rPr>
            </w:pPr>
            <w:r>
              <w:rPr>
                <w:rFonts w:ascii="Arial" w:cs="Arial" w:eastAsia="Arial" w:hAnsi="Arial"/>
                <w:sz w:val="13"/>
                <w:szCs w:val="13"/>
                <w:color w:val="auto"/>
              </w:rPr>
              <w:t>1/3/2032</w:t>
            </w:r>
          </w:p>
        </w:tc>
        <w:tc>
          <w:tcPr>
            <w:tcW w:w="11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6"/>
        </w:trPr>
        <w:tc>
          <w:tcPr>
            <w:tcW w:w="1920" w:type="dxa"/>
            <w:vAlign w:val="bottom"/>
          </w:tcPr>
          <w:p>
            <w:pPr>
              <w:spacing w:after="0"/>
              <w:rPr>
                <w:sz w:val="2"/>
                <w:szCs w:val="2"/>
                <w:color w:val="auto"/>
              </w:rPr>
            </w:pPr>
          </w:p>
        </w:tc>
        <w:tc>
          <w:tcPr>
            <w:tcW w:w="1340" w:type="dxa"/>
            <w:vAlign w:val="bottom"/>
            <w:tcBorders>
              <w:bottom w:val="single" w:sz="8" w:color="BCBEC0"/>
            </w:tcBorders>
          </w:tcPr>
          <w:p>
            <w:pPr>
              <w:spacing w:after="0"/>
              <w:rPr>
                <w:sz w:val="2"/>
                <w:szCs w:val="2"/>
                <w:color w:val="auto"/>
              </w:rPr>
            </w:pPr>
          </w:p>
        </w:tc>
        <w:tc>
          <w:tcPr>
            <w:tcW w:w="660" w:type="dxa"/>
            <w:vAlign w:val="bottom"/>
            <w:tcBorders>
              <w:bottom w:val="single" w:sz="8" w:color="BCBEC0"/>
            </w:tcBorders>
          </w:tcPr>
          <w:p>
            <w:pPr>
              <w:spacing w:after="0"/>
              <w:rPr>
                <w:sz w:val="2"/>
                <w:szCs w:val="2"/>
                <w:color w:val="auto"/>
              </w:rPr>
            </w:pPr>
          </w:p>
        </w:tc>
        <w:tc>
          <w:tcPr>
            <w:tcW w:w="760" w:type="dxa"/>
            <w:vAlign w:val="bottom"/>
            <w:tcBorders>
              <w:bottom w:val="single" w:sz="8" w:color="BCBEC0"/>
            </w:tcBorders>
          </w:tcPr>
          <w:p>
            <w:pPr>
              <w:spacing w:after="0"/>
              <w:rPr>
                <w:sz w:val="2"/>
                <w:szCs w:val="2"/>
                <w:color w:val="auto"/>
              </w:rPr>
            </w:pPr>
          </w:p>
        </w:tc>
        <w:tc>
          <w:tcPr>
            <w:tcW w:w="860" w:type="dxa"/>
            <w:vAlign w:val="bottom"/>
            <w:tcBorders>
              <w:bottom w:val="single" w:sz="8" w:color="BCBEC0"/>
            </w:tcBorders>
          </w:tcPr>
          <w:p>
            <w:pPr>
              <w:spacing w:after="0"/>
              <w:rPr>
                <w:sz w:val="2"/>
                <w:szCs w:val="2"/>
                <w:color w:val="auto"/>
              </w:rPr>
            </w:pPr>
          </w:p>
        </w:tc>
        <w:tc>
          <w:tcPr>
            <w:tcW w:w="1120" w:type="dxa"/>
            <w:vAlign w:val="bottom"/>
            <w:tcBorders>
              <w:bottom w:val="single" w:sz="8" w:color="BCBEC0"/>
            </w:tcBorders>
          </w:tcPr>
          <w:p>
            <w:pPr>
              <w:spacing w:after="0"/>
              <w:rPr>
                <w:sz w:val="2"/>
                <w:szCs w:val="2"/>
                <w:color w:val="auto"/>
              </w:rPr>
            </w:pPr>
          </w:p>
        </w:tc>
        <w:tc>
          <w:tcPr>
            <w:tcW w:w="1140" w:type="dxa"/>
            <w:vAlign w:val="bottom"/>
            <w:tcBorders>
              <w:bottom w:val="single" w:sz="8" w:color="BCBEC0"/>
            </w:tcBorders>
          </w:tcPr>
          <w:p>
            <w:pPr>
              <w:spacing w:after="0"/>
              <w:rPr>
                <w:sz w:val="2"/>
                <w:szCs w:val="2"/>
                <w:color w:val="auto"/>
              </w:rPr>
            </w:pPr>
          </w:p>
        </w:tc>
        <w:tc>
          <w:tcPr>
            <w:tcW w:w="1440" w:type="dxa"/>
            <w:vAlign w:val="bottom"/>
            <w:tcBorders>
              <w:bottom w:val="single" w:sz="8" w:color="BCBEC0"/>
            </w:tcBorders>
          </w:tcPr>
          <w:p>
            <w:pPr>
              <w:spacing w:after="0"/>
              <w:rPr>
                <w:sz w:val="2"/>
                <w:szCs w:val="2"/>
                <w:color w:val="auto"/>
              </w:rPr>
            </w:pPr>
          </w:p>
        </w:tc>
        <w:tc>
          <w:tcPr>
            <w:tcW w:w="980" w:type="dxa"/>
            <w:vAlign w:val="bottom"/>
            <w:tcBorders>
              <w:bottom w:val="single" w:sz="8" w:color="BCBEC0"/>
            </w:tcBorders>
          </w:tcPr>
          <w:p>
            <w:pPr>
              <w:spacing w:after="0"/>
              <w:rPr>
                <w:sz w:val="2"/>
                <w:szCs w:val="2"/>
                <w:color w:val="auto"/>
              </w:rPr>
            </w:pPr>
          </w:p>
        </w:tc>
        <w:tc>
          <w:tcPr>
            <w:tcW w:w="1020" w:type="dxa"/>
            <w:vAlign w:val="bottom"/>
            <w:tcBorders>
              <w:bottom w:val="single" w:sz="8" w:color="BCBEC0"/>
            </w:tcBorders>
          </w:tcPr>
          <w:p>
            <w:pPr>
              <w:spacing w:after="0"/>
              <w:rPr>
                <w:sz w:val="2"/>
                <w:szCs w:val="2"/>
                <w:color w:val="auto"/>
              </w:rPr>
            </w:pPr>
          </w:p>
        </w:tc>
      </w:tr>
      <w:tr>
        <w:trPr>
          <w:trHeight w:val="184"/>
        </w:trPr>
        <w:tc>
          <w:tcPr>
            <w:tcW w:w="1920" w:type="dxa"/>
            <w:vAlign w:val="bottom"/>
          </w:tcPr>
          <w:p>
            <w:pPr>
              <w:spacing w:after="0"/>
              <w:rPr>
                <w:sz w:val="16"/>
                <w:szCs w:val="16"/>
                <w:color w:val="auto"/>
              </w:rPr>
            </w:pPr>
          </w:p>
        </w:tc>
        <w:tc>
          <w:tcPr>
            <w:tcW w:w="1340" w:type="dxa"/>
            <w:vAlign w:val="bottom"/>
          </w:tcPr>
          <w:p>
            <w:pPr>
              <w:jc w:val="right"/>
              <w:ind w:right="193"/>
              <w:spacing w:after="0"/>
              <w:rPr>
                <w:sz w:val="20"/>
                <w:szCs w:val="20"/>
                <w:color w:val="auto"/>
              </w:rPr>
            </w:pPr>
            <w:r>
              <w:rPr>
                <w:rFonts w:ascii="Arial" w:cs="Arial" w:eastAsia="Arial" w:hAnsi="Arial"/>
                <w:sz w:val="13"/>
                <w:szCs w:val="13"/>
                <w:color w:val="auto"/>
              </w:rPr>
              <w:t>77,158</w:t>
            </w:r>
          </w:p>
        </w:tc>
        <w:tc>
          <w:tcPr>
            <w:tcW w:w="660" w:type="dxa"/>
            <w:vAlign w:val="bottom"/>
          </w:tcPr>
          <w:p>
            <w:pPr>
              <w:jc w:val="right"/>
              <w:spacing w:after="0"/>
              <w:rPr>
                <w:sz w:val="20"/>
                <w:szCs w:val="20"/>
                <w:color w:val="auto"/>
              </w:rPr>
            </w:pPr>
            <w:r>
              <w:rPr>
                <w:rFonts w:ascii="Arial" w:cs="Arial" w:eastAsia="Arial" w:hAnsi="Arial"/>
                <w:sz w:val="13"/>
                <w:szCs w:val="13"/>
                <w:color w:val="auto"/>
              </w:rPr>
              <w:t>38,580</w:t>
            </w:r>
          </w:p>
        </w:tc>
        <w:tc>
          <w:tcPr>
            <w:tcW w:w="760" w:type="dxa"/>
            <w:vAlign w:val="bottom"/>
          </w:tcPr>
          <w:p>
            <w:pPr>
              <w:jc w:val="center"/>
              <w:ind w:right="433"/>
              <w:spacing w:after="0"/>
              <w:rPr>
                <w:sz w:val="20"/>
                <w:szCs w:val="20"/>
                <w:color w:val="auto"/>
              </w:rPr>
            </w:pPr>
            <w:r>
              <w:rPr>
                <w:rFonts w:ascii="Arial" w:cs="Arial" w:eastAsia="Arial" w:hAnsi="Arial"/>
                <w:sz w:val="13"/>
                <w:szCs w:val="13"/>
                <w:color w:val="auto"/>
              </w:rPr>
              <w:t>(6)</w:t>
            </w:r>
          </w:p>
        </w:tc>
        <w:tc>
          <w:tcPr>
            <w:tcW w:w="860" w:type="dxa"/>
            <w:vAlign w:val="bottom"/>
          </w:tcPr>
          <w:p>
            <w:pPr>
              <w:jc w:val="right"/>
              <w:ind w:right="273"/>
              <w:spacing w:after="0"/>
              <w:rPr>
                <w:sz w:val="20"/>
                <w:szCs w:val="20"/>
                <w:color w:val="auto"/>
              </w:rPr>
            </w:pPr>
            <w:r>
              <w:rPr>
                <w:rFonts w:ascii="Arial" w:cs="Arial" w:eastAsia="Arial" w:hAnsi="Arial"/>
                <w:sz w:val="13"/>
                <w:szCs w:val="13"/>
                <w:color w:val="auto"/>
              </w:rPr>
              <w:t>45.20</w:t>
            </w:r>
          </w:p>
        </w:tc>
        <w:tc>
          <w:tcPr>
            <w:tcW w:w="1120" w:type="dxa"/>
            <w:vAlign w:val="bottom"/>
          </w:tcPr>
          <w:p>
            <w:pPr>
              <w:jc w:val="right"/>
              <w:ind w:right="153"/>
              <w:spacing w:after="0"/>
              <w:rPr>
                <w:sz w:val="20"/>
                <w:szCs w:val="20"/>
                <w:color w:val="auto"/>
              </w:rPr>
            </w:pPr>
            <w:r>
              <w:rPr>
                <w:rFonts w:ascii="Arial" w:cs="Arial" w:eastAsia="Arial" w:hAnsi="Arial"/>
                <w:sz w:val="13"/>
                <w:szCs w:val="13"/>
                <w:color w:val="auto"/>
              </w:rPr>
              <w:t>1/3/2033</w:t>
            </w:r>
          </w:p>
        </w:tc>
        <w:tc>
          <w:tcPr>
            <w:tcW w:w="11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6"/>
        </w:trPr>
        <w:tc>
          <w:tcPr>
            <w:tcW w:w="1920" w:type="dxa"/>
            <w:vAlign w:val="bottom"/>
          </w:tcPr>
          <w:p>
            <w:pPr>
              <w:spacing w:after="0"/>
              <w:rPr>
                <w:sz w:val="2"/>
                <w:szCs w:val="2"/>
                <w:color w:val="auto"/>
              </w:rPr>
            </w:pPr>
          </w:p>
        </w:tc>
        <w:tc>
          <w:tcPr>
            <w:tcW w:w="1340" w:type="dxa"/>
            <w:vAlign w:val="bottom"/>
            <w:tcBorders>
              <w:bottom w:val="single" w:sz="8" w:color="BCBEC0"/>
            </w:tcBorders>
          </w:tcPr>
          <w:p>
            <w:pPr>
              <w:spacing w:after="0"/>
              <w:rPr>
                <w:sz w:val="2"/>
                <w:szCs w:val="2"/>
                <w:color w:val="auto"/>
              </w:rPr>
            </w:pPr>
          </w:p>
        </w:tc>
        <w:tc>
          <w:tcPr>
            <w:tcW w:w="660" w:type="dxa"/>
            <w:vAlign w:val="bottom"/>
            <w:tcBorders>
              <w:bottom w:val="single" w:sz="8" w:color="BCBEC0"/>
            </w:tcBorders>
          </w:tcPr>
          <w:p>
            <w:pPr>
              <w:spacing w:after="0"/>
              <w:rPr>
                <w:sz w:val="2"/>
                <w:szCs w:val="2"/>
                <w:color w:val="auto"/>
              </w:rPr>
            </w:pPr>
          </w:p>
        </w:tc>
        <w:tc>
          <w:tcPr>
            <w:tcW w:w="760" w:type="dxa"/>
            <w:vAlign w:val="bottom"/>
            <w:tcBorders>
              <w:bottom w:val="single" w:sz="8" w:color="BCBEC0"/>
            </w:tcBorders>
          </w:tcPr>
          <w:p>
            <w:pPr>
              <w:spacing w:after="0"/>
              <w:rPr>
                <w:sz w:val="2"/>
                <w:szCs w:val="2"/>
                <w:color w:val="auto"/>
              </w:rPr>
            </w:pPr>
          </w:p>
        </w:tc>
        <w:tc>
          <w:tcPr>
            <w:tcW w:w="860" w:type="dxa"/>
            <w:vAlign w:val="bottom"/>
            <w:tcBorders>
              <w:bottom w:val="single" w:sz="8" w:color="BCBEC0"/>
            </w:tcBorders>
          </w:tcPr>
          <w:p>
            <w:pPr>
              <w:spacing w:after="0"/>
              <w:rPr>
                <w:sz w:val="2"/>
                <w:szCs w:val="2"/>
                <w:color w:val="auto"/>
              </w:rPr>
            </w:pPr>
          </w:p>
        </w:tc>
        <w:tc>
          <w:tcPr>
            <w:tcW w:w="1120" w:type="dxa"/>
            <w:vAlign w:val="bottom"/>
            <w:tcBorders>
              <w:bottom w:val="single" w:sz="8" w:color="BCBEC0"/>
            </w:tcBorders>
          </w:tcPr>
          <w:p>
            <w:pPr>
              <w:spacing w:after="0"/>
              <w:rPr>
                <w:sz w:val="2"/>
                <w:szCs w:val="2"/>
                <w:color w:val="auto"/>
              </w:rPr>
            </w:pPr>
          </w:p>
        </w:tc>
        <w:tc>
          <w:tcPr>
            <w:tcW w:w="1140" w:type="dxa"/>
            <w:vAlign w:val="bottom"/>
            <w:tcBorders>
              <w:bottom w:val="single" w:sz="8" w:color="BCBEC0"/>
            </w:tcBorders>
          </w:tcPr>
          <w:p>
            <w:pPr>
              <w:spacing w:after="0"/>
              <w:rPr>
                <w:sz w:val="2"/>
                <w:szCs w:val="2"/>
                <w:color w:val="auto"/>
              </w:rPr>
            </w:pPr>
          </w:p>
        </w:tc>
        <w:tc>
          <w:tcPr>
            <w:tcW w:w="1440" w:type="dxa"/>
            <w:vAlign w:val="bottom"/>
            <w:tcBorders>
              <w:bottom w:val="single" w:sz="8" w:color="BCBEC0"/>
            </w:tcBorders>
          </w:tcPr>
          <w:p>
            <w:pPr>
              <w:spacing w:after="0"/>
              <w:rPr>
                <w:sz w:val="2"/>
                <w:szCs w:val="2"/>
                <w:color w:val="auto"/>
              </w:rPr>
            </w:pPr>
          </w:p>
        </w:tc>
        <w:tc>
          <w:tcPr>
            <w:tcW w:w="980" w:type="dxa"/>
            <w:vAlign w:val="bottom"/>
            <w:tcBorders>
              <w:bottom w:val="single" w:sz="8" w:color="BCBEC0"/>
            </w:tcBorders>
          </w:tcPr>
          <w:p>
            <w:pPr>
              <w:spacing w:after="0"/>
              <w:rPr>
                <w:sz w:val="2"/>
                <w:szCs w:val="2"/>
                <w:color w:val="auto"/>
              </w:rPr>
            </w:pPr>
          </w:p>
        </w:tc>
        <w:tc>
          <w:tcPr>
            <w:tcW w:w="1020" w:type="dxa"/>
            <w:vAlign w:val="bottom"/>
            <w:tcBorders>
              <w:bottom w:val="single" w:sz="8" w:color="BCBEC0"/>
            </w:tcBorders>
          </w:tcPr>
          <w:p>
            <w:pPr>
              <w:spacing w:after="0"/>
              <w:rPr>
                <w:sz w:val="2"/>
                <w:szCs w:val="2"/>
                <w:color w:val="auto"/>
              </w:rPr>
            </w:pPr>
          </w:p>
        </w:tc>
      </w:tr>
      <w:tr>
        <w:trPr>
          <w:trHeight w:val="184"/>
        </w:trPr>
        <w:tc>
          <w:tcPr>
            <w:tcW w:w="1920" w:type="dxa"/>
            <w:vAlign w:val="bottom"/>
          </w:tcPr>
          <w:p>
            <w:pPr>
              <w:spacing w:after="0"/>
              <w:rPr>
                <w:sz w:val="16"/>
                <w:szCs w:val="16"/>
                <w:color w:val="auto"/>
              </w:rPr>
            </w:pPr>
          </w:p>
        </w:tc>
        <w:tc>
          <w:tcPr>
            <w:tcW w:w="1340" w:type="dxa"/>
            <w:vAlign w:val="bottom"/>
          </w:tcPr>
          <w:p>
            <w:pPr>
              <w:jc w:val="right"/>
              <w:ind w:right="193"/>
              <w:spacing w:after="0"/>
              <w:rPr>
                <w:sz w:val="20"/>
                <w:szCs w:val="20"/>
                <w:color w:val="auto"/>
              </w:rPr>
            </w:pPr>
            <w:r>
              <w:rPr>
                <w:rFonts w:ascii="Arial" w:cs="Arial" w:eastAsia="Arial" w:hAnsi="Arial"/>
                <w:sz w:val="13"/>
                <w:szCs w:val="13"/>
                <w:color w:val="auto"/>
              </w:rPr>
              <w:t>22,385</w:t>
            </w:r>
          </w:p>
        </w:tc>
        <w:tc>
          <w:tcPr>
            <w:tcW w:w="660" w:type="dxa"/>
            <w:vAlign w:val="bottom"/>
          </w:tcPr>
          <w:p>
            <w:pPr>
              <w:jc w:val="right"/>
              <w:spacing w:after="0"/>
              <w:rPr>
                <w:sz w:val="20"/>
                <w:szCs w:val="20"/>
                <w:color w:val="auto"/>
              </w:rPr>
            </w:pPr>
            <w:r>
              <w:rPr>
                <w:rFonts w:ascii="Arial" w:cs="Arial" w:eastAsia="Arial" w:hAnsi="Arial"/>
                <w:sz w:val="13"/>
                <w:szCs w:val="13"/>
                <w:color w:val="auto"/>
              </w:rPr>
              <w:t>44,772</w:t>
            </w:r>
          </w:p>
        </w:tc>
        <w:tc>
          <w:tcPr>
            <w:tcW w:w="760" w:type="dxa"/>
            <w:vAlign w:val="bottom"/>
          </w:tcPr>
          <w:p>
            <w:pPr>
              <w:jc w:val="center"/>
              <w:ind w:right="433"/>
              <w:spacing w:after="0"/>
              <w:rPr>
                <w:sz w:val="20"/>
                <w:szCs w:val="20"/>
                <w:color w:val="auto"/>
              </w:rPr>
            </w:pPr>
            <w:r>
              <w:rPr>
                <w:rFonts w:ascii="Arial" w:cs="Arial" w:eastAsia="Arial" w:hAnsi="Arial"/>
                <w:sz w:val="13"/>
                <w:szCs w:val="13"/>
                <w:color w:val="auto"/>
              </w:rPr>
              <w:t>(7)</w:t>
            </w:r>
          </w:p>
        </w:tc>
        <w:tc>
          <w:tcPr>
            <w:tcW w:w="860" w:type="dxa"/>
            <w:vAlign w:val="bottom"/>
          </w:tcPr>
          <w:p>
            <w:pPr>
              <w:jc w:val="right"/>
              <w:ind w:right="273"/>
              <w:spacing w:after="0"/>
              <w:rPr>
                <w:sz w:val="20"/>
                <w:szCs w:val="20"/>
                <w:color w:val="auto"/>
              </w:rPr>
            </w:pPr>
            <w:r>
              <w:rPr>
                <w:rFonts w:ascii="Arial" w:cs="Arial" w:eastAsia="Arial" w:hAnsi="Arial"/>
                <w:sz w:val="13"/>
                <w:szCs w:val="13"/>
                <w:color w:val="auto"/>
              </w:rPr>
              <w:t>70.92</w:t>
            </w:r>
          </w:p>
        </w:tc>
        <w:tc>
          <w:tcPr>
            <w:tcW w:w="1120" w:type="dxa"/>
            <w:vAlign w:val="bottom"/>
          </w:tcPr>
          <w:p>
            <w:pPr>
              <w:jc w:val="right"/>
              <w:ind w:right="153"/>
              <w:spacing w:after="0"/>
              <w:rPr>
                <w:sz w:val="20"/>
                <w:szCs w:val="20"/>
                <w:color w:val="auto"/>
              </w:rPr>
            </w:pPr>
            <w:r>
              <w:rPr>
                <w:rFonts w:ascii="Arial" w:cs="Arial" w:eastAsia="Arial" w:hAnsi="Arial"/>
                <w:sz w:val="13"/>
                <w:szCs w:val="13"/>
                <w:color w:val="auto"/>
              </w:rPr>
              <w:t>1/2/2034</w:t>
            </w:r>
          </w:p>
        </w:tc>
        <w:tc>
          <w:tcPr>
            <w:tcW w:w="11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6"/>
        </w:trPr>
        <w:tc>
          <w:tcPr>
            <w:tcW w:w="1920" w:type="dxa"/>
            <w:vAlign w:val="bottom"/>
          </w:tcPr>
          <w:p>
            <w:pPr>
              <w:spacing w:after="0"/>
              <w:rPr>
                <w:sz w:val="2"/>
                <w:szCs w:val="2"/>
                <w:color w:val="auto"/>
              </w:rPr>
            </w:pPr>
          </w:p>
        </w:tc>
        <w:tc>
          <w:tcPr>
            <w:tcW w:w="1340" w:type="dxa"/>
            <w:vAlign w:val="bottom"/>
            <w:tcBorders>
              <w:bottom w:val="single" w:sz="8" w:color="BCBEC0"/>
            </w:tcBorders>
          </w:tcPr>
          <w:p>
            <w:pPr>
              <w:spacing w:after="0"/>
              <w:rPr>
                <w:sz w:val="2"/>
                <w:szCs w:val="2"/>
                <w:color w:val="auto"/>
              </w:rPr>
            </w:pPr>
          </w:p>
        </w:tc>
        <w:tc>
          <w:tcPr>
            <w:tcW w:w="660" w:type="dxa"/>
            <w:vAlign w:val="bottom"/>
            <w:tcBorders>
              <w:bottom w:val="single" w:sz="8" w:color="BCBEC0"/>
            </w:tcBorders>
          </w:tcPr>
          <w:p>
            <w:pPr>
              <w:spacing w:after="0"/>
              <w:rPr>
                <w:sz w:val="2"/>
                <w:szCs w:val="2"/>
                <w:color w:val="auto"/>
              </w:rPr>
            </w:pPr>
          </w:p>
        </w:tc>
        <w:tc>
          <w:tcPr>
            <w:tcW w:w="760" w:type="dxa"/>
            <w:vAlign w:val="bottom"/>
            <w:tcBorders>
              <w:bottom w:val="single" w:sz="8" w:color="BCBEC0"/>
            </w:tcBorders>
          </w:tcPr>
          <w:p>
            <w:pPr>
              <w:spacing w:after="0"/>
              <w:rPr>
                <w:sz w:val="2"/>
                <w:szCs w:val="2"/>
                <w:color w:val="auto"/>
              </w:rPr>
            </w:pPr>
          </w:p>
        </w:tc>
        <w:tc>
          <w:tcPr>
            <w:tcW w:w="860" w:type="dxa"/>
            <w:vAlign w:val="bottom"/>
            <w:tcBorders>
              <w:bottom w:val="single" w:sz="8" w:color="BCBEC0"/>
            </w:tcBorders>
          </w:tcPr>
          <w:p>
            <w:pPr>
              <w:spacing w:after="0"/>
              <w:rPr>
                <w:sz w:val="2"/>
                <w:szCs w:val="2"/>
                <w:color w:val="auto"/>
              </w:rPr>
            </w:pPr>
          </w:p>
        </w:tc>
        <w:tc>
          <w:tcPr>
            <w:tcW w:w="1120" w:type="dxa"/>
            <w:vAlign w:val="bottom"/>
            <w:tcBorders>
              <w:bottom w:val="single" w:sz="8" w:color="BCBEC0"/>
            </w:tcBorders>
          </w:tcPr>
          <w:p>
            <w:pPr>
              <w:spacing w:after="0"/>
              <w:rPr>
                <w:sz w:val="2"/>
                <w:szCs w:val="2"/>
                <w:color w:val="auto"/>
              </w:rPr>
            </w:pPr>
          </w:p>
        </w:tc>
        <w:tc>
          <w:tcPr>
            <w:tcW w:w="1140" w:type="dxa"/>
            <w:vAlign w:val="bottom"/>
            <w:tcBorders>
              <w:bottom w:val="single" w:sz="8" w:color="BCBEC0"/>
            </w:tcBorders>
          </w:tcPr>
          <w:p>
            <w:pPr>
              <w:spacing w:after="0"/>
              <w:rPr>
                <w:sz w:val="2"/>
                <w:szCs w:val="2"/>
                <w:color w:val="auto"/>
              </w:rPr>
            </w:pPr>
          </w:p>
        </w:tc>
        <w:tc>
          <w:tcPr>
            <w:tcW w:w="1440" w:type="dxa"/>
            <w:vAlign w:val="bottom"/>
            <w:tcBorders>
              <w:bottom w:val="single" w:sz="8" w:color="BCBEC0"/>
            </w:tcBorders>
          </w:tcPr>
          <w:p>
            <w:pPr>
              <w:spacing w:after="0"/>
              <w:rPr>
                <w:sz w:val="2"/>
                <w:szCs w:val="2"/>
                <w:color w:val="auto"/>
              </w:rPr>
            </w:pPr>
          </w:p>
        </w:tc>
        <w:tc>
          <w:tcPr>
            <w:tcW w:w="980" w:type="dxa"/>
            <w:vAlign w:val="bottom"/>
            <w:tcBorders>
              <w:bottom w:val="single" w:sz="8" w:color="BCBEC0"/>
            </w:tcBorders>
          </w:tcPr>
          <w:p>
            <w:pPr>
              <w:spacing w:after="0"/>
              <w:rPr>
                <w:sz w:val="2"/>
                <w:szCs w:val="2"/>
                <w:color w:val="auto"/>
              </w:rPr>
            </w:pPr>
          </w:p>
        </w:tc>
        <w:tc>
          <w:tcPr>
            <w:tcW w:w="1020" w:type="dxa"/>
            <w:vAlign w:val="bottom"/>
            <w:tcBorders>
              <w:bottom w:val="single" w:sz="8" w:color="BCBEC0"/>
            </w:tcBorders>
          </w:tcPr>
          <w:p>
            <w:pPr>
              <w:spacing w:after="0"/>
              <w:rPr>
                <w:sz w:val="2"/>
                <w:szCs w:val="2"/>
                <w:color w:val="auto"/>
              </w:rPr>
            </w:pPr>
          </w:p>
        </w:tc>
      </w:tr>
      <w:tr>
        <w:trPr>
          <w:trHeight w:val="184"/>
        </w:trPr>
        <w:tc>
          <w:tcPr>
            <w:tcW w:w="1920" w:type="dxa"/>
            <w:vAlign w:val="bottom"/>
          </w:tcPr>
          <w:p>
            <w:pPr>
              <w:spacing w:after="0"/>
              <w:rPr>
                <w:sz w:val="16"/>
                <w:szCs w:val="16"/>
                <w:color w:val="auto"/>
              </w:rPr>
            </w:pPr>
          </w:p>
        </w:tc>
        <w:tc>
          <w:tcPr>
            <w:tcW w:w="1340" w:type="dxa"/>
            <w:vAlign w:val="bottom"/>
          </w:tcPr>
          <w:p>
            <w:pPr>
              <w:jc w:val="right"/>
              <w:ind w:right="193"/>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46,281</w:t>
            </w:r>
          </w:p>
        </w:tc>
        <w:tc>
          <w:tcPr>
            <w:tcW w:w="760" w:type="dxa"/>
            <w:vAlign w:val="bottom"/>
          </w:tcPr>
          <w:p>
            <w:pPr>
              <w:jc w:val="center"/>
              <w:ind w:right="433"/>
              <w:spacing w:after="0"/>
              <w:rPr>
                <w:sz w:val="20"/>
                <w:szCs w:val="20"/>
                <w:color w:val="auto"/>
              </w:rPr>
            </w:pPr>
            <w:r>
              <w:rPr>
                <w:rFonts w:ascii="Arial" w:cs="Arial" w:eastAsia="Arial" w:hAnsi="Arial"/>
                <w:sz w:val="13"/>
                <w:szCs w:val="13"/>
                <w:color w:val="auto"/>
              </w:rPr>
              <w:t>(8)</w:t>
            </w:r>
          </w:p>
        </w:tc>
        <w:tc>
          <w:tcPr>
            <w:tcW w:w="860" w:type="dxa"/>
            <w:vAlign w:val="bottom"/>
          </w:tcPr>
          <w:p>
            <w:pPr>
              <w:jc w:val="right"/>
              <w:ind w:right="273"/>
              <w:spacing w:after="0"/>
              <w:rPr>
                <w:sz w:val="20"/>
                <w:szCs w:val="20"/>
                <w:color w:val="auto"/>
              </w:rPr>
            </w:pPr>
            <w:r>
              <w:rPr>
                <w:rFonts w:ascii="Arial" w:cs="Arial" w:eastAsia="Arial" w:hAnsi="Arial"/>
                <w:sz w:val="13"/>
                <w:szCs w:val="13"/>
                <w:color w:val="auto"/>
              </w:rPr>
              <w:t>100.40</w:t>
            </w:r>
          </w:p>
        </w:tc>
        <w:tc>
          <w:tcPr>
            <w:tcW w:w="1120" w:type="dxa"/>
            <w:vAlign w:val="bottom"/>
          </w:tcPr>
          <w:p>
            <w:pPr>
              <w:jc w:val="right"/>
              <w:ind w:right="153"/>
              <w:spacing w:after="0"/>
              <w:rPr>
                <w:sz w:val="20"/>
                <w:szCs w:val="20"/>
                <w:color w:val="auto"/>
              </w:rPr>
            </w:pPr>
            <w:r>
              <w:rPr>
                <w:rFonts w:ascii="Arial" w:cs="Arial" w:eastAsia="Arial" w:hAnsi="Arial"/>
                <w:sz w:val="13"/>
                <w:szCs w:val="13"/>
                <w:color w:val="auto"/>
              </w:rPr>
              <w:t>1/2/2035</w:t>
            </w:r>
          </w:p>
        </w:tc>
        <w:tc>
          <w:tcPr>
            <w:tcW w:w="11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6"/>
        </w:trPr>
        <w:tc>
          <w:tcPr>
            <w:tcW w:w="1920" w:type="dxa"/>
            <w:vAlign w:val="bottom"/>
            <w:tcBorders>
              <w:bottom w:val="single" w:sz="8" w:color="BCBEC0"/>
            </w:tcBorders>
          </w:tcPr>
          <w:p>
            <w:pPr>
              <w:spacing w:after="0"/>
              <w:rPr>
                <w:sz w:val="2"/>
                <w:szCs w:val="2"/>
                <w:color w:val="auto"/>
              </w:rPr>
            </w:pPr>
          </w:p>
        </w:tc>
        <w:tc>
          <w:tcPr>
            <w:tcW w:w="1340" w:type="dxa"/>
            <w:vAlign w:val="bottom"/>
            <w:tcBorders>
              <w:bottom w:val="single" w:sz="8" w:color="BCBEC0"/>
            </w:tcBorders>
          </w:tcPr>
          <w:p>
            <w:pPr>
              <w:spacing w:after="0"/>
              <w:rPr>
                <w:sz w:val="2"/>
                <w:szCs w:val="2"/>
                <w:color w:val="auto"/>
              </w:rPr>
            </w:pPr>
          </w:p>
        </w:tc>
        <w:tc>
          <w:tcPr>
            <w:tcW w:w="660" w:type="dxa"/>
            <w:vAlign w:val="bottom"/>
            <w:tcBorders>
              <w:bottom w:val="single" w:sz="8" w:color="BCBEC0"/>
            </w:tcBorders>
          </w:tcPr>
          <w:p>
            <w:pPr>
              <w:spacing w:after="0"/>
              <w:rPr>
                <w:sz w:val="2"/>
                <w:szCs w:val="2"/>
                <w:color w:val="auto"/>
              </w:rPr>
            </w:pPr>
          </w:p>
        </w:tc>
        <w:tc>
          <w:tcPr>
            <w:tcW w:w="760" w:type="dxa"/>
            <w:vAlign w:val="bottom"/>
            <w:tcBorders>
              <w:bottom w:val="single" w:sz="8" w:color="BCBEC0"/>
            </w:tcBorders>
          </w:tcPr>
          <w:p>
            <w:pPr>
              <w:spacing w:after="0"/>
              <w:rPr>
                <w:sz w:val="2"/>
                <w:szCs w:val="2"/>
                <w:color w:val="auto"/>
              </w:rPr>
            </w:pPr>
          </w:p>
        </w:tc>
        <w:tc>
          <w:tcPr>
            <w:tcW w:w="860" w:type="dxa"/>
            <w:vAlign w:val="bottom"/>
            <w:tcBorders>
              <w:bottom w:val="single" w:sz="8" w:color="BCBEC0"/>
            </w:tcBorders>
          </w:tcPr>
          <w:p>
            <w:pPr>
              <w:spacing w:after="0"/>
              <w:rPr>
                <w:sz w:val="2"/>
                <w:szCs w:val="2"/>
                <w:color w:val="auto"/>
              </w:rPr>
            </w:pPr>
          </w:p>
        </w:tc>
        <w:tc>
          <w:tcPr>
            <w:tcW w:w="1120" w:type="dxa"/>
            <w:vAlign w:val="bottom"/>
            <w:tcBorders>
              <w:bottom w:val="single" w:sz="8" w:color="BCBEC0"/>
            </w:tcBorders>
          </w:tcPr>
          <w:p>
            <w:pPr>
              <w:spacing w:after="0"/>
              <w:rPr>
                <w:sz w:val="2"/>
                <w:szCs w:val="2"/>
                <w:color w:val="auto"/>
              </w:rPr>
            </w:pPr>
          </w:p>
        </w:tc>
        <w:tc>
          <w:tcPr>
            <w:tcW w:w="1140" w:type="dxa"/>
            <w:vAlign w:val="bottom"/>
            <w:tcBorders>
              <w:bottom w:val="single" w:sz="8" w:color="BCBEC0"/>
            </w:tcBorders>
          </w:tcPr>
          <w:p>
            <w:pPr>
              <w:spacing w:after="0"/>
              <w:rPr>
                <w:sz w:val="2"/>
                <w:szCs w:val="2"/>
                <w:color w:val="auto"/>
              </w:rPr>
            </w:pPr>
          </w:p>
        </w:tc>
        <w:tc>
          <w:tcPr>
            <w:tcW w:w="1440" w:type="dxa"/>
            <w:vAlign w:val="bottom"/>
            <w:tcBorders>
              <w:bottom w:val="single" w:sz="8" w:color="BCBEC0"/>
            </w:tcBorders>
          </w:tcPr>
          <w:p>
            <w:pPr>
              <w:spacing w:after="0"/>
              <w:rPr>
                <w:sz w:val="2"/>
                <w:szCs w:val="2"/>
                <w:color w:val="auto"/>
              </w:rPr>
            </w:pPr>
          </w:p>
        </w:tc>
        <w:tc>
          <w:tcPr>
            <w:tcW w:w="980" w:type="dxa"/>
            <w:vAlign w:val="bottom"/>
            <w:tcBorders>
              <w:bottom w:val="single" w:sz="8" w:color="BCBEC0"/>
            </w:tcBorders>
          </w:tcPr>
          <w:p>
            <w:pPr>
              <w:spacing w:after="0"/>
              <w:rPr>
                <w:sz w:val="2"/>
                <w:szCs w:val="2"/>
                <w:color w:val="auto"/>
              </w:rPr>
            </w:pPr>
          </w:p>
        </w:tc>
        <w:tc>
          <w:tcPr>
            <w:tcW w:w="1020" w:type="dxa"/>
            <w:vAlign w:val="bottom"/>
            <w:tcBorders>
              <w:bottom w:val="single" w:sz="8" w:color="BCBEC0"/>
            </w:tcBorders>
          </w:tcPr>
          <w:p>
            <w:pPr>
              <w:spacing w:after="0"/>
              <w:rPr>
                <w:sz w:val="2"/>
                <w:szCs w:val="2"/>
                <w:color w:val="auto"/>
              </w:rPr>
            </w:pPr>
          </w:p>
        </w:tc>
      </w:tr>
      <w:tr>
        <w:trPr>
          <w:trHeight w:val="203"/>
        </w:trPr>
        <w:tc>
          <w:tcPr>
            <w:tcW w:w="1920" w:type="dxa"/>
            <w:vAlign w:val="bottom"/>
          </w:tcPr>
          <w:p>
            <w:pPr>
              <w:ind w:left="20"/>
              <w:spacing w:after="0"/>
              <w:rPr>
                <w:sz w:val="20"/>
                <w:szCs w:val="20"/>
                <w:color w:val="auto"/>
              </w:rPr>
            </w:pPr>
            <w:r>
              <w:rPr>
                <w:rFonts w:ascii="Arial" w:cs="Arial" w:eastAsia="Arial" w:hAnsi="Arial"/>
                <w:sz w:val="13"/>
                <w:szCs w:val="13"/>
                <w:b w:val="1"/>
                <w:bCs w:val="1"/>
                <w:color w:val="0C3471"/>
              </w:rPr>
              <w:t>Robert P. Fishman</w:t>
            </w:r>
          </w:p>
        </w:tc>
        <w:tc>
          <w:tcPr>
            <w:tcW w:w="1340" w:type="dxa"/>
            <w:vAlign w:val="bottom"/>
            <w:tcBorders>
              <w:bottom w:val="single" w:sz="8" w:color="BCBEC0"/>
            </w:tcBorders>
          </w:tcPr>
          <w:p>
            <w:pPr>
              <w:spacing w:after="0"/>
              <w:rPr>
                <w:sz w:val="17"/>
                <w:szCs w:val="17"/>
                <w:color w:val="auto"/>
              </w:rPr>
            </w:pPr>
          </w:p>
        </w:tc>
        <w:tc>
          <w:tcPr>
            <w:tcW w:w="660" w:type="dxa"/>
            <w:vAlign w:val="bottom"/>
            <w:tcBorders>
              <w:bottom w:val="single" w:sz="8" w:color="BCBEC0"/>
            </w:tcBorders>
          </w:tcPr>
          <w:p>
            <w:pPr>
              <w:spacing w:after="0"/>
              <w:rPr>
                <w:sz w:val="17"/>
                <w:szCs w:val="17"/>
                <w:color w:val="auto"/>
              </w:rPr>
            </w:pPr>
          </w:p>
        </w:tc>
        <w:tc>
          <w:tcPr>
            <w:tcW w:w="760" w:type="dxa"/>
            <w:vAlign w:val="bottom"/>
            <w:tcBorders>
              <w:bottom w:val="single" w:sz="8" w:color="BCBEC0"/>
            </w:tcBorders>
          </w:tcPr>
          <w:p>
            <w:pPr>
              <w:spacing w:after="0"/>
              <w:rPr>
                <w:sz w:val="17"/>
                <w:szCs w:val="17"/>
                <w:color w:val="auto"/>
              </w:rPr>
            </w:pPr>
          </w:p>
        </w:tc>
        <w:tc>
          <w:tcPr>
            <w:tcW w:w="860" w:type="dxa"/>
            <w:vAlign w:val="bottom"/>
            <w:tcBorders>
              <w:bottom w:val="single" w:sz="8" w:color="BCBEC0"/>
            </w:tcBorders>
          </w:tcPr>
          <w:p>
            <w:pPr>
              <w:spacing w:after="0"/>
              <w:rPr>
                <w:sz w:val="17"/>
                <w:szCs w:val="17"/>
                <w:color w:val="auto"/>
              </w:rPr>
            </w:pPr>
          </w:p>
        </w:tc>
        <w:tc>
          <w:tcPr>
            <w:tcW w:w="1120" w:type="dxa"/>
            <w:vAlign w:val="bottom"/>
            <w:tcBorders>
              <w:bottom w:val="single" w:sz="8" w:color="BCBEC0"/>
            </w:tcBorders>
          </w:tcPr>
          <w:p>
            <w:pPr>
              <w:spacing w:after="0"/>
              <w:rPr>
                <w:sz w:val="17"/>
                <w:szCs w:val="17"/>
                <w:color w:val="auto"/>
              </w:rPr>
            </w:pPr>
          </w:p>
        </w:tc>
        <w:tc>
          <w:tcPr>
            <w:tcW w:w="1140" w:type="dxa"/>
            <w:vAlign w:val="bottom"/>
            <w:tcBorders>
              <w:bottom w:val="single" w:sz="8" w:color="BCBEC0"/>
            </w:tcBorders>
          </w:tcPr>
          <w:p>
            <w:pPr>
              <w:jc w:val="right"/>
              <w:ind w:right="177"/>
              <w:spacing w:after="0"/>
              <w:rPr>
                <w:sz w:val="20"/>
                <w:szCs w:val="20"/>
                <w:color w:val="auto"/>
              </w:rPr>
            </w:pPr>
            <w:r>
              <w:rPr>
                <w:rFonts w:ascii="Arial" w:cs="Arial" w:eastAsia="Arial" w:hAnsi="Arial"/>
                <w:sz w:val="13"/>
                <w:szCs w:val="13"/>
                <w:color w:val="auto"/>
              </w:rPr>
              <w:t>12,318</w:t>
            </w:r>
          </w:p>
        </w:tc>
        <w:tc>
          <w:tcPr>
            <w:tcW w:w="1440" w:type="dxa"/>
            <w:vAlign w:val="bottom"/>
            <w:tcBorders>
              <w:bottom w:val="single" w:sz="8" w:color="BCBEC0"/>
            </w:tcBorders>
          </w:tcPr>
          <w:p>
            <w:pPr>
              <w:jc w:val="right"/>
              <w:ind w:right="455"/>
              <w:spacing w:after="0"/>
              <w:rPr>
                <w:sz w:val="20"/>
                <w:szCs w:val="20"/>
                <w:color w:val="auto"/>
              </w:rPr>
            </w:pPr>
            <w:r>
              <w:rPr>
                <w:rFonts w:ascii="Arial" w:cs="Arial" w:eastAsia="Arial" w:hAnsi="Arial"/>
                <w:sz w:val="13"/>
                <w:szCs w:val="13"/>
                <w:color w:val="auto"/>
              </w:rPr>
              <w:t>1,282,797</w:t>
            </w:r>
          </w:p>
        </w:tc>
        <w:tc>
          <w:tcPr>
            <w:tcW w:w="980" w:type="dxa"/>
            <w:vAlign w:val="bottom"/>
            <w:tcBorders>
              <w:bottom w:val="single" w:sz="8" w:color="BCBEC0"/>
            </w:tcBorders>
          </w:tcPr>
          <w:p>
            <w:pPr>
              <w:spacing w:after="0"/>
              <w:rPr>
                <w:sz w:val="17"/>
                <w:szCs w:val="17"/>
                <w:color w:val="auto"/>
              </w:rPr>
            </w:pPr>
          </w:p>
        </w:tc>
        <w:tc>
          <w:tcPr>
            <w:tcW w:w="1020" w:type="dxa"/>
            <w:vAlign w:val="bottom"/>
            <w:tcBorders>
              <w:bottom w:val="single" w:sz="8" w:color="BCBEC0"/>
            </w:tcBorders>
          </w:tcPr>
          <w:p>
            <w:pPr>
              <w:spacing w:after="0"/>
              <w:rPr>
                <w:sz w:val="17"/>
                <w:szCs w:val="17"/>
                <w:color w:val="auto"/>
              </w:rPr>
            </w:pPr>
          </w:p>
        </w:tc>
      </w:tr>
      <w:tr>
        <w:trPr>
          <w:trHeight w:val="190"/>
        </w:trPr>
        <w:tc>
          <w:tcPr>
            <w:tcW w:w="19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980" w:type="dxa"/>
            <w:vAlign w:val="bottom"/>
          </w:tcPr>
          <w:p>
            <w:pPr>
              <w:jc w:val="right"/>
              <w:ind w:right="195"/>
              <w:spacing w:after="0"/>
              <w:rPr>
                <w:sz w:val="20"/>
                <w:szCs w:val="20"/>
                <w:color w:val="auto"/>
              </w:rPr>
            </w:pPr>
            <w:r>
              <w:rPr>
                <w:rFonts w:ascii="Arial" w:cs="Arial" w:eastAsia="Arial" w:hAnsi="Arial"/>
                <w:sz w:val="13"/>
                <w:szCs w:val="13"/>
                <w:color w:val="auto"/>
              </w:rPr>
              <w:t>22,267</w:t>
            </w:r>
          </w:p>
        </w:tc>
        <w:tc>
          <w:tcPr>
            <w:tcW w:w="1020" w:type="dxa"/>
            <w:vAlign w:val="bottom"/>
          </w:tcPr>
          <w:p>
            <w:pPr>
              <w:jc w:val="right"/>
              <w:spacing w:after="0"/>
              <w:rPr>
                <w:sz w:val="20"/>
                <w:szCs w:val="20"/>
                <w:color w:val="auto"/>
              </w:rPr>
            </w:pPr>
            <w:r>
              <w:rPr>
                <w:rFonts w:ascii="Arial" w:cs="Arial" w:eastAsia="Arial" w:hAnsi="Arial"/>
                <w:sz w:val="13"/>
                <w:szCs w:val="13"/>
                <w:color w:val="auto"/>
              </w:rPr>
              <w:t>2,318,885</w:t>
            </w:r>
          </w:p>
        </w:tc>
      </w:tr>
      <w:tr>
        <w:trPr>
          <w:trHeight w:val="26"/>
        </w:trPr>
        <w:tc>
          <w:tcPr>
            <w:tcW w:w="1920" w:type="dxa"/>
            <w:vAlign w:val="bottom"/>
          </w:tcPr>
          <w:p>
            <w:pPr>
              <w:spacing w:after="0"/>
              <w:rPr>
                <w:sz w:val="2"/>
                <w:szCs w:val="2"/>
                <w:color w:val="auto"/>
              </w:rPr>
            </w:pPr>
          </w:p>
        </w:tc>
        <w:tc>
          <w:tcPr>
            <w:tcW w:w="1340" w:type="dxa"/>
            <w:vAlign w:val="bottom"/>
            <w:tcBorders>
              <w:bottom w:val="single" w:sz="8" w:color="BCBEC0"/>
            </w:tcBorders>
          </w:tcPr>
          <w:p>
            <w:pPr>
              <w:spacing w:after="0"/>
              <w:rPr>
                <w:sz w:val="2"/>
                <w:szCs w:val="2"/>
                <w:color w:val="auto"/>
              </w:rPr>
            </w:pPr>
          </w:p>
        </w:tc>
        <w:tc>
          <w:tcPr>
            <w:tcW w:w="660" w:type="dxa"/>
            <w:vAlign w:val="bottom"/>
            <w:tcBorders>
              <w:bottom w:val="single" w:sz="8" w:color="BCBEC0"/>
            </w:tcBorders>
          </w:tcPr>
          <w:p>
            <w:pPr>
              <w:spacing w:after="0"/>
              <w:rPr>
                <w:sz w:val="2"/>
                <w:szCs w:val="2"/>
                <w:color w:val="auto"/>
              </w:rPr>
            </w:pPr>
          </w:p>
        </w:tc>
        <w:tc>
          <w:tcPr>
            <w:tcW w:w="760" w:type="dxa"/>
            <w:vAlign w:val="bottom"/>
            <w:tcBorders>
              <w:bottom w:val="single" w:sz="8" w:color="BCBEC0"/>
            </w:tcBorders>
          </w:tcPr>
          <w:p>
            <w:pPr>
              <w:spacing w:after="0"/>
              <w:rPr>
                <w:sz w:val="2"/>
                <w:szCs w:val="2"/>
                <w:color w:val="auto"/>
              </w:rPr>
            </w:pPr>
          </w:p>
        </w:tc>
        <w:tc>
          <w:tcPr>
            <w:tcW w:w="860" w:type="dxa"/>
            <w:vAlign w:val="bottom"/>
            <w:tcBorders>
              <w:bottom w:val="single" w:sz="8" w:color="BCBEC0"/>
            </w:tcBorders>
          </w:tcPr>
          <w:p>
            <w:pPr>
              <w:spacing w:after="0"/>
              <w:rPr>
                <w:sz w:val="2"/>
                <w:szCs w:val="2"/>
                <w:color w:val="auto"/>
              </w:rPr>
            </w:pPr>
          </w:p>
        </w:tc>
        <w:tc>
          <w:tcPr>
            <w:tcW w:w="1120" w:type="dxa"/>
            <w:vAlign w:val="bottom"/>
            <w:tcBorders>
              <w:bottom w:val="single" w:sz="8" w:color="BCBEC0"/>
            </w:tcBorders>
          </w:tcPr>
          <w:p>
            <w:pPr>
              <w:spacing w:after="0"/>
              <w:rPr>
                <w:sz w:val="2"/>
                <w:szCs w:val="2"/>
                <w:color w:val="auto"/>
              </w:rPr>
            </w:pPr>
          </w:p>
        </w:tc>
        <w:tc>
          <w:tcPr>
            <w:tcW w:w="1140" w:type="dxa"/>
            <w:vAlign w:val="bottom"/>
            <w:tcBorders>
              <w:bottom w:val="single" w:sz="8" w:color="BCBEC0"/>
            </w:tcBorders>
          </w:tcPr>
          <w:p>
            <w:pPr>
              <w:spacing w:after="0"/>
              <w:rPr>
                <w:sz w:val="2"/>
                <w:szCs w:val="2"/>
                <w:color w:val="auto"/>
              </w:rPr>
            </w:pPr>
          </w:p>
        </w:tc>
        <w:tc>
          <w:tcPr>
            <w:tcW w:w="1440" w:type="dxa"/>
            <w:vAlign w:val="bottom"/>
            <w:tcBorders>
              <w:bottom w:val="single" w:sz="8" w:color="BCBEC0"/>
            </w:tcBorders>
          </w:tcPr>
          <w:p>
            <w:pPr>
              <w:spacing w:after="0"/>
              <w:rPr>
                <w:sz w:val="2"/>
                <w:szCs w:val="2"/>
                <w:color w:val="auto"/>
              </w:rPr>
            </w:pPr>
          </w:p>
        </w:tc>
        <w:tc>
          <w:tcPr>
            <w:tcW w:w="980" w:type="dxa"/>
            <w:vAlign w:val="bottom"/>
            <w:tcBorders>
              <w:bottom w:val="single" w:sz="8" w:color="BCBEC0"/>
            </w:tcBorders>
          </w:tcPr>
          <w:p>
            <w:pPr>
              <w:spacing w:after="0"/>
              <w:rPr>
                <w:sz w:val="2"/>
                <w:szCs w:val="2"/>
                <w:color w:val="auto"/>
              </w:rPr>
            </w:pPr>
          </w:p>
        </w:tc>
        <w:tc>
          <w:tcPr>
            <w:tcW w:w="1020" w:type="dxa"/>
            <w:vAlign w:val="bottom"/>
            <w:tcBorders>
              <w:bottom w:val="single" w:sz="8" w:color="BCBEC0"/>
            </w:tcBorders>
          </w:tcPr>
          <w:p>
            <w:pPr>
              <w:spacing w:after="0"/>
              <w:rPr>
                <w:sz w:val="2"/>
                <w:szCs w:val="2"/>
                <w:color w:val="auto"/>
              </w:rPr>
            </w:pPr>
          </w:p>
        </w:tc>
      </w:tr>
      <w:tr>
        <w:trPr>
          <w:trHeight w:val="184"/>
        </w:trPr>
        <w:tc>
          <w:tcPr>
            <w:tcW w:w="1920" w:type="dxa"/>
            <w:vAlign w:val="bottom"/>
          </w:tcPr>
          <w:p>
            <w:pPr>
              <w:spacing w:after="0"/>
              <w:rPr>
                <w:sz w:val="16"/>
                <w:szCs w:val="16"/>
                <w:color w:val="auto"/>
              </w:rPr>
            </w:pPr>
          </w:p>
        </w:tc>
        <w:tc>
          <w:tcPr>
            <w:tcW w:w="1340" w:type="dxa"/>
            <w:vAlign w:val="bottom"/>
          </w:tcPr>
          <w:p>
            <w:pPr>
              <w:jc w:val="right"/>
              <w:ind w:right="193"/>
              <w:spacing w:after="0"/>
              <w:rPr>
                <w:sz w:val="20"/>
                <w:szCs w:val="20"/>
                <w:color w:val="auto"/>
              </w:rPr>
            </w:pPr>
            <w:r>
              <w:rPr>
                <w:rFonts w:ascii="Arial" w:cs="Arial" w:eastAsia="Arial" w:hAnsi="Arial"/>
                <w:sz w:val="13"/>
                <w:szCs w:val="13"/>
                <w:color w:val="auto"/>
              </w:rPr>
              <w:t>26,022</w:t>
            </w: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760" w:type="dxa"/>
            <w:vAlign w:val="bottom"/>
          </w:tcPr>
          <w:p>
            <w:pPr>
              <w:spacing w:after="0"/>
              <w:rPr>
                <w:sz w:val="16"/>
                <w:szCs w:val="16"/>
                <w:color w:val="auto"/>
              </w:rPr>
            </w:pPr>
          </w:p>
        </w:tc>
        <w:tc>
          <w:tcPr>
            <w:tcW w:w="860" w:type="dxa"/>
            <w:vAlign w:val="bottom"/>
          </w:tcPr>
          <w:p>
            <w:pPr>
              <w:jc w:val="right"/>
              <w:ind w:right="273"/>
              <w:spacing w:after="0"/>
              <w:rPr>
                <w:sz w:val="20"/>
                <w:szCs w:val="20"/>
                <w:color w:val="auto"/>
              </w:rPr>
            </w:pPr>
            <w:r>
              <w:rPr>
                <w:rFonts w:ascii="Arial" w:cs="Arial" w:eastAsia="Arial" w:hAnsi="Arial"/>
                <w:sz w:val="13"/>
                <w:szCs w:val="13"/>
                <w:color w:val="auto"/>
              </w:rPr>
              <w:t>51.53</w:t>
            </w:r>
          </w:p>
        </w:tc>
        <w:tc>
          <w:tcPr>
            <w:tcW w:w="1120" w:type="dxa"/>
            <w:vAlign w:val="bottom"/>
          </w:tcPr>
          <w:p>
            <w:pPr>
              <w:jc w:val="right"/>
              <w:ind w:right="153"/>
              <w:spacing w:after="0"/>
              <w:rPr>
                <w:sz w:val="20"/>
                <w:szCs w:val="20"/>
                <w:color w:val="auto"/>
              </w:rPr>
            </w:pPr>
            <w:r>
              <w:rPr>
                <w:rFonts w:ascii="Arial" w:cs="Arial" w:eastAsia="Arial" w:hAnsi="Arial"/>
                <w:sz w:val="13"/>
                <w:szCs w:val="13"/>
                <w:color w:val="auto"/>
              </w:rPr>
              <w:t>1/4/2031</w:t>
            </w:r>
          </w:p>
        </w:tc>
        <w:tc>
          <w:tcPr>
            <w:tcW w:w="11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6"/>
        </w:trPr>
        <w:tc>
          <w:tcPr>
            <w:tcW w:w="1920" w:type="dxa"/>
            <w:vAlign w:val="bottom"/>
          </w:tcPr>
          <w:p>
            <w:pPr>
              <w:spacing w:after="0"/>
              <w:rPr>
                <w:sz w:val="2"/>
                <w:szCs w:val="2"/>
                <w:color w:val="auto"/>
              </w:rPr>
            </w:pPr>
          </w:p>
        </w:tc>
        <w:tc>
          <w:tcPr>
            <w:tcW w:w="1340" w:type="dxa"/>
            <w:vAlign w:val="bottom"/>
            <w:tcBorders>
              <w:bottom w:val="single" w:sz="8" w:color="BCBEC0"/>
            </w:tcBorders>
          </w:tcPr>
          <w:p>
            <w:pPr>
              <w:spacing w:after="0"/>
              <w:rPr>
                <w:sz w:val="2"/>
                <w:szCs w:val="2"/>
                <w:color w:val="auto"/>
              </w:rPr>
            </w:pPr>
          </w:p>
        </w:tc>
        <w:tc>
          <w:tcPr>
            <w:tcW w:w="660" w:type="dxa"/>
            <w:vAlign w:val="bottom"/>
            <w:tcBorders>
              <w:bottom w:val="single" w:sz="8" w:color="BCBEC0"/>
            </w:tcBorders>
          </w:tcPr>
          <w:p>
            <w:pPr>
              <w:spacing w:after="0"/>
              <w:rPr>
                <w:sz w:val="2"/>
                <w:szCs w:val="2"/>
                <w:color w:val="auto"/>
              </w:rPr>
            </w:pPr>
          </w:p>
        </w:tc>
        <w:tc>
          <w:tcPr>
            <w:tcW w:w="760" w:type="dxa"/>
            <w:vAlign w:val="bottom"/>
            <w:tcBorders>
              <w:bottom w:val="single" w:sz="8" w:color="BCBEC0"/>
            </w:tcBorders>
          </w:tcPr>
          <w:p>
            <w:pPr>
              <w:spacing w:after="0"/>
              <w:rPr>
                <w:sz w:val="2"/>
                <w:szCs w:val="2"/>
                <w:color w:val="auto"/>
              </w:rPr>
            </w:pPr>
          </w:p>
        </w:tc>
        <w:tc>
          <w:tcPr>
            <w:tcW w:w="860" w:type="dxa"/>
            <w:vAlign w:val="bottom"/>
            <w:tcBorders>
              <w:bottom w:val="single" w:sz="8" w:color="BCBEC0"/>
            </w:tcBorders>
          </w:tcPr>
          <w:p>
            <w:pPr>
              <w:spacing w:after="0"/>
              <w:rPr>
                <w:sz w:val="2"/>
                <w:szCs w:val="2"/>
                <w:color w:val="auto"/>
              </w:rPr>
            </w:pPr>
          </w:p>
        </w:tc>
        <w:tc>
          <w:tcPr>
            <w:tcW w:w="1120" w:type="dxa"/>
            <w:vAlign w:val="bottom"/>
            <w:tcBorders>
              <w:bottom w:val="single" w:sz="8" w:color="BCBEC0"/>
            </w:tcBorders>
          </w:tcPr>
          <w:p>
            <w:pPr>
              <w:spacing w:after="0"/>
              <w:rPr>
                <w:sz w:val="2"/>
                <w:szCs w:val="2"/>
                <w:color w:val="auto"/>
              </w:rPr>
            </w:pPr>
          </w:p>
        </w:tc>
        <w:tc>
          <w:tcPr>
            <w:tcW w:w="1140" w:type="dxa"/>
            <w:vAlign w:val="bottom"/>
            <w:tcBorders>
              <w:bottom w:val="single" w:sz="8" w:color="BCBEC0"/>
            </w:tcBorders>
          </w:tcPr>
          <w:p>
            <w:pPr>
              <w:spacing w:after="0"/>
              <w:rPr>
                <w:sz w:val="2"/>
                <w:szCs w:val="2"/>
                <w:color w:val="auto"/>
              </w:rPr>
            </w:pPr>
          </w:p>
        </w:tc>
        <w:tc>
          <w:tcPr>
            <w:tcW w:w="1440" w:type="dxa"/>
            <w:vAlign w:val="bottom"/>
            <w:tcBorders>
              <w:bottom w:val="single" w:sz="8" w:color="BCBEC0"/>
            </w:tcBorders>
          </w:tcPr>
          <w:p>
            <w:pPr>
              <w:spacing w:after="0"/>
              <w:rPr>
                <w:sz w:val="2"/>
                <w:szCs w:val="2"/>
                <w:color w:val="auto"/>
              </w:rPr>
            </w:pPr>
          </w:p>
        </w:tc>
        <w:tc>
          <w:tcPr>
            <w:tcW w:w="980" w:type="dxa"/>
            <w:vAlign w:val="bottom"/>
            <w:tcBorders>
              <w:bottom w:val="single" w:sz="8" w:color="BCBEC0"/>
            </w:tcBorders>
          </w:tcPr>
          <w:p>
            <w:pPr>
              <w:spacing w:after="0"/>
              <w:rPr>
                <w:sz w:val="2"/>
                <w:szCs w:val="2"/>
                <w:color w:val="auto"/>
              </w:rPr>
            </w:pPr>
          </w:p>
        </w:tc>
        <w:tc>
          <w:tcPr>
            <w:tcW w:w="1020" w:type="dxa"/>
            <w:vAlign w:val="bottom"/>
            <w:tcBorders>
              <w:bottom w:val="single" w:sz="8" w:color="BCBEC0"/>
            </w:tcBorders>
          </w:tcPr>
          <w:p>
            <w:pPr>
              <w:spacing w:after="0"/>
              <w:rPr>
                <w:sz w:val="2"/>
                <w:szCs w:val="2"/>
                <w:color w:val="auto"/>
              </w:rPr>
            </w:pPr>
          </w:p>
        </w:tc>
      </w:tr>
      <w:tr>
        <w:trPr>
          <w:trHeight w:val="184"/>
        </w:trPr>
        <w:tc>
          <w:tcPr>
            <w:tcW w:w="1920" w:type="dxa"/>
            <w:vAlign w:val="bottom"/>
          </w:tcPr>
          <w:p>
            <w:pPr>
              <w:spacing w:after="0"/>
              <w:rPr>
                <w:sz w:val="16"/>
                <w:szCs w:val="16"/>
                <w:color w:val="auto"/>
              </w:rPr>
            </w:pPr>
          </w:p>
        </w:tc>
        <w:tc>
          <w:tcPr>
            <w:tcW w:w="1340" w:type="dxa"/>
            <w:vAlign w:val="bottom"/>
          </w:tcPr>
          <w:p>
            <w:pPr>
              <w:jc w:val="right"/>
              <w:ind w:right="193"/>
              <w:spacing w:after="0"/>
              <w:rPr>
                <w:sz w:val="20"/>
                <w:szCs w:val="20"/>
                <w:color w:val="auto"/>
              </w:rPr>
            </w:pPr>
            <w:r>
              <w:rPr>
                <w:rFonts w:ascii="Arial" w:cs="Arial" w:eastAsia="Arial" w:hAnsi="Arial"/>
                <w:sz w:val="13"/>
                <w:szCs w:val="13"/>
                <w:color w:val="auto"/>
              </w:rPr>
              <w:t>18,853</w:t>
            </w: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760" w:type="dxa"/>
            <w:vAlign w:val="bottom"/>
          </w:tcPr>
          <w:p>
            <w:pPr>
              <w:spacing w:after="0"/>
              <w:rPr>
                <w:sz w:val="16"/>
                <w:szCs w:val="16"/>
                <w:color w:val="auto"/>
              </w:rPr>
            </w:pPr>
          </w:p>
        </w:tc>
        <w:tc>
          <w:tcPr>
            <w:tcW w:w="860" w:type="dxa"/>
            <w:vAlign w:val="bottom"/>
          </w:tcPr>
          <w:p>
            <w:pPr>
              <w:jc w:val="right"/>
              <w:ind w:right="273"/>
              <w:spacing w:after="0"/>
              <w:rPr>
                <w:sz w:val="20"/>
                <w:szCs w:val="20"/>
                <w:color w:val="auto"/>
              </w:rPr>
            </w:pPr>
            <w:r>
              <w:rPr>
                <w:rFonts w:ascii="Arial" w:cs="Arial" w:eastAsia="Arial" w:hAnsi="Arial"/>
                <w:sz w:val="13"/>
                <w:szCs w:val="13"/>
                <w:color w:val="auto"/>
              </w:rPr>
              <w:t>70.99</w:t>
            </w:r>
          </w:p>
        </w:tc>
        <w:tc>
          <w:tcPr>
            <w:tcW w:w="1120" w:type="dxa"/>
            <w:vAlign w:val="bottom"/>
          </w:tcPr>
          <w:p>
            <w:pPr>
              <w:jc w:val="right"/>
              <w:ind w:right="153"/>
              <w:spacing w:after="0"/>
              <w:rPr>
                <w:sz w:val="20"/>
                <w:szCs w:val="20"/>
                <w:color w:val="auto"/>
              </w:rPr>
            </w:pPr>
            <w:r>
              <w:rPr>
                <w:rFonts w:ascii="Arial" w:cs="Arial" w:eastAsia="Arial" w:hAnsi="Arial"/>
                <w:sz w:val="13"/>
                <w:szCs w:val="13"/>
                <w:color w:val="auto"/>
              </w:rPr>
              <w:t>1/3/2032</w:t>
            </w:r>
          </w:p>
        </w:tc>
        <w:tc>
          <w:tcPr>
            <w:tcW w:w="11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5"/>
        </w:trPr>
        <w:tc>
          <w:tcPr>
            <w:tcW w:w="1920" w:type="dxa"/>
            <w:vAlign w:val="bottom"/>
          </w:tcPr>
          <w:p>
            <w:pPr>
              <w:spacing w:after="0"/>
              <w:rPr>
                <w:sz w:val="2"/>
                <w:szCs w:val="2"/>
                <w:color w:val="auto"/>
              </w:rPr>
            </w:pPr>
          </w:p>
        </w:tc>
        <w:tc>
          <w:tcPr>
            <w:tcW w:w="1340" w:type="dxa"/>
            <w:vAlign w:val="bottom"/>
            <w:tcBorders>
              <w:bottom w:val="single" w:sz="8" w:color="BCBEC0"/>
            </w:tcBorders>
          </w:tcPr>
          <w:p>
            <w:pPr>
              <w:spacing w:after="0"/>
              <w:rPr>
                <w:sz w:val="2"/>
                <w:szCs w:val="2"/>
                <w:color w:val="auto"/>
              </w:rPr>
            </w:pPr>
          </w:p>
        </w:tc>
        <w:tc>
          <w:tcPr>
            <w:tcW w:w="660" w:type="dxa"/>
            <w:vAlign w:val="bottom"/>
            <w:tcBorders>
              <w:bottom w:val="single" w:sz="8" w:color="BCBEC0"/>
            </w:tcBorders>
          </w:tcPr>
          <w:p>
            <w:pPr>
              <w:spacing w:after="0"/>
              <w:rPr>
                <w:sz w:val="2"/>
                <w:szCs w:val="2"/>
                <w:color w:val="auto"/>
              </w:rPr>
            </w:pPr>
          </w:p>
        </w:tc>
        <w:tc>
          <w:tcPr>
            <w:tcW w:w="760" w:type="dxa"/>
            <w:vAlign w:val="bottom"/>
            <w:tcBorders>
              <w:bottom w:val="single" w:sz="8" w:color="BCBEC0"/>
            </w:tcBorders>
          </w:tcPr>
          <w:p>
            <w:pPr>
              <w:spacing w:after="0"/>
              <w:rPr>
                <w:sz w:val="2"/>
                <w:szCs w:val="2"/>
                <w:color w:val="auto"/>
              </w:rPr>
            </w:pPr>
          </w:p>
        </w:tc>
        <w:tc>
          <w:tcPr>
            <w:tcW w:w="860" w:type="dxa"/>
            <w:vAlign w:val="bottom"/>
            <w:tcBorders>
              <w:bottom w:val="single" w:sz="8" w:color="BCBEC0"/>
            </w:tcBorders>
          </w:tcPr>
          <w:p>
            <w:pPr>
              <w:spacing w:after="0"/>
              <w:rPr>
                <w:sz w:val="2"/>
                <w:szCs w:val="2"/>
                <w:color w:val="auto"/>
              </w:rPr>
            </w:pPr>
          </w:p>
        </w:tc>
        <w:tc>
          <w:tcPr>
            <w:tcW w:w="1120" w:type="dxa"/>
            <w:vAlign w:val="bottom"/>
            <w:tcBorders>
              <w:bottom w:val="single" w:sz="8" w:color="BCBEC0"/>
            </w:tcBorders>
          </w:tcPr>
          <w:p>
            <w:pPr>
              <w:spacing w:after="0"/>
              <w:rPr>
                <w:sz w:val="2"/>
                <w:szCs w:val="2"/>
                <w:color w:val="auto"/>
              </w:rPr>
            </w:pPr>
          </w:p>
        </w:tc>
        <w:tc>
          <w:tcPr>
            <w:tcW w:w="1140" w:type="dxa"/>
            <w:vAlign w:val="bottom"/>
            <w:tcBorders>
              <w:bottom w:val="single" w:sz="8" w:color="BCBEC0"/>
            </w:tcBorders>
          </w:tcPr>
          <w:p>
            <w:pPr>
              <w:spacing w:after="0"/>
              <w:rPr>
                <w:sz w:val="2"/>
                <w:szCs w:val="2"/>
                <w:color w:val="auto"/>
              </w:rPr>
            </w:pPr>
          </w:p>
        </w:tc>
        <w:tc>
          <w:tcPr>
            <w:tcW w:w="1440" w:type="dxa"/>
            <w:vAlign w:val="bottom"/>
            <w:tcBorders>
              <w:bottom w:val="single" w:sz="8" w:color="BCBEC0"/>
            </w:tcBorders>
          </w:tcPr>
          <w:p>
            <w:pPr>
              <w:spacing w:after="0"/>
              <w:rPr>
                <w:sz w:val="2"/>
                <w:szCs w:val="2"/>
                <w:color w:val="auto"/>
              </w:rPr>
            </w:pPr>
          </w:p>
        </w:tc>
        <w:tc>
          <w:tcPr>
            <w:tcW w:w="980" w:type="dxa"/>
            <w:vAlign w:val="bottom"/>
            <w:tcBorders>
              <w:bottom w:val="single" w:sz="8" w:color="BCBEC0"/>
            </w:tcBorders>
          </w:tcPr>
          <w:p>
            <w:pPr>
              <w:spacing w:after="0"/>
              <w:rPr>
                <w:sz w:val="2"/>
                <w:szCs w:val="2"/>
                <w:color w:val="auto"/>
              </w:rPr>
            </w:pPr>
          </w:p>
        </w:tc>
        <w:tc>
          <w:tcPr>
            <w:tcW w:w="1020" w:type="dxa"/>
            <w:vAlign w:val="bottom"/>
            <w:tcBorders>
              <w:bottom w:val="single" w:sz="8" w:color="BCBEC0"/>
            </w:tcBorders>
          </w:tcPr>
          <w:p>
            <w:pPr>
              <w:spacing w:after="0"/>
              <w:rPr>
                <w:sz w:val="2"/>
                <w:szCs w:val="2"/>
                <w:color w:val="auto"/>
              </w:rPr>
            </w:pPr>
          </w:p>
        </w:tc>
      </w:tr>
      <w:tr>
        <w:trPr>
          <w:trHeight w:val="184"/>
        </w:trPr>
        <w:tc>
          <w:tcPr>
            <w:tcW w:w="1920" w:type="dxa"/>
            <w:vAlign w:val="bottom"/>
          </w:tcPr>
          <w:p>
            <w:pPr>
              <w:spacing w:after="0"/>
              <w:rPr>
                <w:sz w:val="16"/>
                <w:szCs w:val="16"/>
                <w:color w:val="auto"/>
              </w:rPr>
            </w:pPr>
          </w:p>
        </w:tc>
        <w:tc>
          <w:tcPr>
            <w:tcW w:w="1340" w:type="dxa"/>
            <w:vAlign w:val="bottom"/>
          </w:tcPr>
          <w:p>
            <w:pPr>
              <w:jc w:val="right"/>
              <w:ind w:right="193"/>
              <w:spacing w:after="0"/>
              <w:rPr>
                <w:sz w:val="20"/>
                <w:szCs w:val="20"/>
                <w:color w:val="auto"/>
              </w:rPr>
            </w:pPr>
            <w:r>
              <w:rPr>
                <w:rFonts w:ascii="Arial" w:cs="Arial" w:eastAsia="Arial" w:hAnsi="Arial"/>
                <w:sz w:val="13"/>
                <w:szCs w:val="13"/>
                <w:color w:val="auto"/>
              </w:rPr>
              <w:t>19,201</w:t>
            </w:r>
          </w:p>
        </w:tc>
        <w:tc>
          <w:tcPr>
            <w:tcW w:w="660" w:type="dxa"/>
            <w:vAlign w:val="bottom"/>
          </w:tcPr>
          <w:p>
            <w:pPr>
              <w:jc w:val="right"/>
              <w:spacing w:after="0"/>
              <w:rPr>
                <w:sz w:val="20"/>
                <w:szCs w:val="20"/>
                <w:color w:val="auto"/>
              </w:rPr>
            </w:pPr>
            <w:r>
              <w:rPr>
                <w:rFonts w:ascii="Arial" w:cs="Arial" w:eastAsia="Arial" w:hAnsi="Arial"/>
                <w:sz w:val="13"/>
                <w:szCs w:val="13"/>
                <w:color w:val="auto"/>
              </w:rPr>
              <w:t>10,890</w:t>
            </w:r>
          </w:p>
        </w:tc>
        <w:tc>
          <w:tcPr>
            <w:tcW w:w="760" w:type="dxa"/>
            <w:vAlign w:val="bottom"/>
          </w:tcPr>
          <w:p>
            <w:pPr>
              <w:jc w:val="center"/>
              <w:ind w:right="433"/>
              <w:spacing w:after="0"/>
              <w:rPr>
                <w:sz w:val="20"/>
                <w:szCs w:val="20"/>
                <w:color w:val="auto"/>
              </w:rPr>
            </w:pPr>
            <w:r>
              <w:rPr>
                <w:rFonts w:ascii="Arial" w:cs="Arial" w:eastAsia="Arial" w:hAnsi="Arial"/>
                <w:sz w:val="13"/>
                <w:szCs w:val="13"/>
                <w:color w:val="auto"/>
              </w:rPr>
              <w:t>(6)</w:t>
            </w:r>
          </w:p>
        </w:tc>
        <w:tc>
          <w:tcPr>
            <w:tcW w:w="860" w:type="dxa"/>
            <w:vAlign w:val="bottom"/>
          </w:tcPr>
          <w:p>
            <w:pPr>
              <w:jc w:val="right"/>
              <w:ind w:right="273"/>
              <w:spacing w:after="0"/>
              <w:rPr>
                <w:sz w:val="20"/>
                <w:szCs w:val="20"/>
                <w:color w:val="auto"/>
              </w:rPr>
            </w:pPr>
            <w:r>
              <w:rPr>
                <w:rFonts w:ascii="Arial" w:cs="Arial" w:eastAsia="Arial" w:hAnsi="Arial"/>
                <w:sz w:val="13"/>
                <w:szCs w:val="13"/>
                <w:color w:val="auto"/>
              </w:rPr>
              <w:t>45.20</w:t>
            </w:r>
          </w:p>
        </w:tc>
        <w:tc>
          <w:tcPr>
            <w:tcW w:w="1120" w:type="dxa"/>
            <w:vAlign w:val="bottom"/>
          </w:tcPr>
          <w:p>
            <w:pPr>
              <w:jc w:val="right"/>
              <w:ind w:right="153"/>
              <w:spacing w:after="0"/>
              <w:rPr>
                <w:sz w:val="20"/>
                <w:szCs w:val="20"/>
                <w:color w:val="auto"/>
              </w:rPr>
            </w:pPr>
            <w:r>
              <w:rPr>
                <w:rFonts w:ascii="Arial" w:cs="Arial" w:eastAsia="Arial" w:hAnsi="Arial"/>
                <w:sz w:val="13"/>
                <w:szCs w:val="13"/>
                <w:color w:val="auto"/>
              </w:rPr>
              <w:t>1/3/2033</w:t>
            </w:r>
          </w:p>
        </w:tc>
        <w:tc>
          <w:tcPr>
            <w:tcW w:w="11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5"/>
        </w:trPr>
        <w:tc>
          <w:tcPr>
            <w:tcW w:w="1920" w:type="dxa"/>
            <w:vAlign w:val="bottom"/>
          </w:tcPr>
          <w:p>
            <w:pPr>
              <w:spacing w:after="0"/>
              <w:rPr>
                <w:sz w:val="2"/>
                <w:szCs w:val="2"/>
                <w:color w:val="auto"/>
              </w:rPr>
            </w:pPr>
          </w:p>
        </w:tc>
        <w:tc>
          <w:tcPr>
            <w:tcW w:w="1340" w:type="dxa"/>
            <w:vAlign w:val="bottom"/>
            <w:tcBorders>
              <w:bottom w:val="single" w:sz="8" w:color="BCBEC0"/>
            </w:tcBorders>
          </w:tcPr>
          <w:p>
            <w:pPr>
              <w:spacing w:after="0"/>
              <w:rPr>
                <w:sz w:val="2"/>
                <w:szCs w:val="2"/>
                <w:color w:val="auto"/>
              </w:rPr>
            </w:pPr>
          </w:p>
        </w:tc>
        <w:tc>
          <w:tcPr>
            <w:tcW w:w="660" w:type="dxa"/>
            <w:vAlign w:val="bottom"/>
            <w:tcBorders>
              <w:bottom w:val="single" w:sz="8" w:color="BCBEC0"/>
            </w:tcBorders>
          </w:tcPr>
          <w:p>
            <w:pPr>
              <w:spacing w:after="0"/>
              <w:rPr>
                <w:sz w:val="2"/>
                <w:szCs w:val="2"/>
                <w:color w:val="auto"/>
              </w:rPr>
            </w:pPr>
          </w:p>
        </w:tc>
        <w:tc>
          <w:tcPr>
            <w:tcW w:w="760" w:type="dxa"/>
            <w:vAlign w:val="bottom"/>
            <w:tcBorders>
              <w:bottom w:val="single" w:sz="8" w:color="BCBEC0"/>
            </w:tcBorders>
          </w:tcPr>
          <w:p>
            <w:pPr>
              <w:spacing w:after="0"/>
              <w:rPr>
                <w:sz w:val="2"/>
                <w:szCs w:val="2"/>
                <w:color w:val="auto"/>
              </w:rPr>
            </w:pPr>
          </w:p>
        </w:tc>
        <w:tc>
          <w:tcPr>
            <w:tcW w:w="860" w:type="dxa"/>
            <w:vAlign w:val="bottom"/>
            <w:tcBorders>
              <w:bottom w:val="single" w:sz="8" w:color="BCBEC0"/>
            </w:tcBorders>
          </w:tcPr>
          <w:p>
            <w:pPr>
              <w:spacing w:after="0"/>
              <w:rPr>
                <w:sz w:val="2"/>
                <w:szCs w:val="2"/>
                <w:color w:val="auto"/>
              </w:rPr>
            </w:pPr>
          </w:p>
        </w:tc>
        <w:tc>
          <w:tcPr>
            <w:tcW w:w="1120" w:type="dxa"/>
            <w:vAlign w:val="bottom"/>
            <w:tcBorders>
              <w:bottom w:val="single" w:sz="8" w:color="BCBEC0"/>
            </w:tcBorders>
          </w:tcPr>
          <w:p>
            <w:pPr>
              <w:spacing w:after="0"/>
              <w:rPr>
                <w:sz w:val="2"/>
                <w:szCs w:val="2"/>
                <w:color w:val="auto"/>
              </w:rPr>
            </w:pPr>
          </w:p>
        </w:tc>
        <w:tc>
          <w:tcPr>
            <w:tcW w:w="1140" w:type="dxa"/>
            <w:vAlign w:val="bottom"/>
            <w:tcBorders>
              <w:bottom w:val="single" w:sz="8" w:color="BCBEC0"/>
            </w:tcBorders>
          </w:tcPr>
          <w:p>
            <w:pPr>
              <w:spacing w:after="0"/>
              <w:rPr>
                <w:sz w:val="2"/>
                <w:szCs w:val="2"/>
                <w:color w:val="auto"/>
              </w:rPr>
            </w:pPr>
          </w:p>
        </w:tc>
        <w:tc>
          <w:tcPr>
            <w:tcW w:w="1440" w:type="dxa"/>
            <w:vAlign w:val="bottom"/>
            <w:tcBorders>
              <w:bottom w:val="single" w:sz="8" w:color="BCBEC0"/>
            </w:tcBorders>
          </w:tcPr>
          <w:p>
            <w:pPr>
              <w:spacing w:after="0"/>
              <w:rPr>
                <w:sz w:val="2"/>
                <w:szCs w:val="2"/>
                <w:color w:val="auto"/>
              </w:rPr>
            </w:pPr>
          </w:p>
        </w:tc>
        <w:tc>
          <w:tcPr>
            <w:tcW w:w="980" w:type="dxa"/>
            <w:vAlign w:val="bottom"/>
            <w:tcBorders>
              <w:bottom w:val="single" w:sz="8" w:color="BCBEC0"/>
            </w:tcBorders>
          </w:tcPr>
          <w:p>
            <w:pPr>
              <w:spacing w:after="0"/>
              <w:rPr>
                <w:sz w:val="2"/>
                <w:szCs w:val="2"/>
                <w:color w:val="auto"/>
              </w:rPr>
            </w:pPr>
          </w:p>
        </w:tc>
        <w:tc>
          <w:tcPr>
            <w:tcW w:w="1020" w:type="dxa"/>
            <w:vAlign w:val="bottom"/>
            <w:tcBorders>
              <w:bottom w:val="single" w:sz="8" w:color="BCBEC0"/>
            </w:tcBorders>
          </w:tcPr>
          <w:p>
            <w:pPr>
              <w:spacing w:after="0"/>
              <w:rPr>
                <w:sz w:val="2"/>
                <w:szCs w:val="2"/>
                <w:color w:val="auto"/>
              </w:rPr>
            </w:pPr>
          </w:p>
        </w:tc>
      </w:tr>
      <w:tr>
        <w:trPr>
          <w:trHeight w:val="184"/>
        </w:trPr>
        <w:tc>
          <w:tcPr>
            <w:tcW w:w="1920" w:type="dxa"/>
            <w:vAlign w:val="bottom"/>
          </w:tcPr>
          <w:p>
            <w:pPr>
              <w:spacing w:after="0"/>
              <w:rPr>
                <w:sz w:val="16"/>
                <w:szCs w:val="16"/>
                <w:color w:val="auto"/>
              </w:rPr>
            </w:pPr>
          </w:p>
        </w:tc>
        <w:tc>
          <w:tcPr>
            <w:tcW w:w="1340" w:type="dxa"/>
            <w:vAlign w:val="bottom"/>
          </w:tcPr>
          <w:p>
            <w:pPr>
              <w:jc w:val="right"/>
              <w:ind w:right="193"/>
              <w:spacing w:after="0"/>
              <w:rPr>
                <w:sz w:val="20"/>
                <w:szCs w:val="20"/>
                <w:color w:val="auto"/>
              </w:rPr>
            </w:pPr>
            <w:r>
              <w:rPr>
                <w:rFonts w:ascii="Arial" w:cs="Arial" w:eastAsia="Arial" w:hAnsi="Arial"/>
                <w:sz w:val="13"/>
                <w:szCs w:val="13"/>
                <w:color w:val="auto"/>
              </w:rPr>
              <w:t>5,298</w:t>
            </w:r>
          </w:p>
        </w:tc>
        <w:tc>
          <w:tcPr>
            <w:tcW w:w="660" w:type="dxa"/>
            <w:vAlign w:val="bottom"/>
          </w:tcPr>
          <w:p>
            <w:pPr>
              <w:jc w:val="right"/>
              <w:spacing w:after="0"/>
              <w:rPr>
                <w:sz w:val="20"/>
                <w:szCs w:val="20"/>
                <w:color w:val="auto"/>
              </w:rPr>
            </w:pPr>
            <w:r>
              <w:rPr>
                <w:rFonts w:ascii="Arial" w:cs="Arial" w:eastAsia="Arial" w:hAnsi="Arial"/>
                <w:sz w:val="13"/>
                <w:szCs w:val="13"/>
                <w:color w:val="auto"/>
              </w:rPr>
              <w:t>12,398</w:t>
            </w:r>
          </w:p>
        </w:tc>
        <w:tc>
          <w:tcPr>
            <w:tcW w:w="760" w:type="dxa"/>
            <w:vAlign w:val="bottom"/>
          </w:tcPr>
          <w:p>
            <w:pPr>
              <w:jc w:val="center"/>
              <w:ind w:right="433"/>
              <w:spacing w:after="0"/>
              <w:rPr>
                <w:sz w:val="20"/>
                <w:szCs w:val="20"/>
                <w:color w:val="auto"/>
              </w:rPr>
            </w:pPr>
            <w:r>
              <w:rPr>
                <w:rFonts w:ascii="Arial" w:cs="Arial" w:eastAsia="Arial" w:hAnsi="Arial"/>
                <w:sz w:val="13"/>
                <w:szCs w:val="13"/>
                <w:color w:val="auto"/>
              </w:rPr>
              <w:t>(7)</w:t>
            </w:r>
          </w:p>
        </w:tc>
        <w:tc>
          <w:tcPr>
            <w:tcW w:w="860" w:type="dxa"/>
            <w:vAlign w:val="bottom"/>
          </w:tcPr>
          <w:p>
            <w:pPr>
              <w:jc w:val="right"/>
              <w:ind w:right="273"/>
              <w:spacing w:after="0"/>
              <w:rPr>
                <w:sz w:val="20"/>
                <w:szCs w:val="20"/>
                <w:color w:val="auto"/>
              </w:rPr>
            </w:pPr>
            <w:r>
              <w:rPr>
                <w:rFonts w:ascii="Arial" w:cs="Arial" w:eastAsia="Arial" w:hAnsi="Arial"/>
                <w:sz w:val="13"/>
                <w:szCs w:val="13"/>
                <w:color w:val="auto"/>
              </w:rPr>
              <w:t>70.92</w:t>
            </w:r>
          </w:p>
        </w:tc>
        <w:tc>
          <w:tcPr>
            <w:tcW w:w="1120" w:type="dxa"/>
            <w:vAlign w:val="bottom"/>
          </w:tcPr>
          <w:p>
            <w:pPr>
              <w:jc w:val="right"/>
              <w:ind w:right="153"/>
              <w:spacing w:after="0"/>
              <w:rPr>
                <w:sz w:val="20"/>
                <w:szCs w:val="20"/>
                <w:color w:val="auto"/>
              </w:rPr>
            </w:pPr>
            <w:r>
              <w:rPr>
                <w:rFonts w:ascii="Arial" w:cs="Arial" w:eastAsia="Arial" w:hAnsi="Arial"/>
                <w:sz w:val="13"/>
                <w:szCs w:val="13"/>
                <w:color w:val="auto"/>
              </w:rPr>
              <w:t>1/2/2034</w:t>
            </w:r>
          </w:p>
        </w:tc>
        <w:tc>
          <w:tcPr>
            <w:tcW w:w="11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5"/>
        </w:trPr>
        <w:tc>
          <w:tcPr>
            <w:tcW w:w="1920" w:type="dxa"/>
            <w:vAlign w:val="bottom"/>
          </w:tcPr>
          <w:p>
            <w:pPr>
              <w:spacing w:after="0"/>
              <w:rPr>
                <w:sz w:val="2"/>
                <w:szCs w:val="2"/>
                <w:color w:val="auto"/>
              </w:rPr>
            </w:pPr>
          </w:p>
        </w:tc>
        <w:tc>
          <w:tcPr>
            <w:tcW w:w="1340" w:type="dxa"/>
            <w:vAlign w:val="bottom"/>
            <w:tcBorders>
              <w:bottom w:val="single" w:sz="8" w:color="BCBEC0"/>
            </w:tcBorders>
          </w:tcPr>
          <w:p>
            <w:pPr>
              <w:spacing w:after="0"/>
              <w:rPr>
                <w:sz w:val="2"/>
                <w:szCs w:val="2"/>
                <w:color w:val="auto"/>
              </w:rPr>
            </w:pPr>
          </w:p>
        </w:tc>
        <w:tc>
          <w:tcPr>
            <w:tcW w:w="660" w:type="dxa"/>
            <w:vAlign w:val="bottom"/>
            <w:tcBorders>
              <w:bottom w:val="single" w:sz="8" w:color="BCBEC0"/>
            </w:tcBorders>
          </w:tcPr>
          <w:p>
            <w:pPr>
              <w:spacing w:after="0"/>
              <w:rPr>
                <w:sz w:val="2"/>
                <w:szCs w:val="2"/>
                <w:color w:val="auto"/>
              </w:rPr>
            </w:pPr>
          </w:p>
        </w:tc>
        <w:tc>
          <w:tcPr>
            <w:tcW w:w="760" w:type="dxa"/>
            <w:vAlign w:val="bottom"/>
            <w:tcBorders>
              <w:bottom w:val="single" w:sz="8" w:color="BCBEC0"/>
            </w:tcBorders>
          </w:tcPr>
          <w:p>
            <w:pPr>
              <w:spacing w:after="0"/>
              <w:rPr>
                <w:sz w:val="2"/>
                <w:szCs w:val="2"/>
                <w:color w:val="auto"/>
              </w:rPr>
            </w:pPr>
          </w:p>
        </w:tc>
        <w:tc>
          <w:tcPr>
            <w:tcW w:w="860" w:type="dxa"/>
            <w:vAlign w:val="bottom"/>
            <w:tcBorders>
              <w:bottom w:val="single" w:sz="8" w:color="BCBEC0"/>
            </w:tcBorders>
          </w:tcPr>
          <w:p>
            <w:pPr>
              <w:spacing w:after="0"/>
              <w:rPr>
                <w:sz w:val="2"/>
                <w:szCs w:val="2"/>
                <w:color w:val="auto"/>
              </w:rPr>
            </w:pPr>
          </w:p>
        </w:tc>
        <w:tc>
          <w:tcPr>
            <w:tcW w:w="1120" w:type="dxa"/>
            <w:vAlign w:val="bottom"/>
            <w:tcBorders>
              <w:bottom w:val="single" w:sz="8" w:color="BCBEC0"/>
            </w:tcBorders>
          </w:tcPr>
          <w:p>
            <w:pPr>
              <w:spacing w:after="0"/>
              <w:rPr>
                <w:sz w:val="2"/>
                <w:szCs w:val="2"/>
                <w:color w:val="auto"/>
              </w:rPr>
            </w:pPr>
          </w:p>
        </w:tc>
        <w:tc>
          <w:tcPr>
            <w:tcW w:w="1140" w:type="dxa"/>
            <w:vAlign w:val="bottom"/>
            <w:tcBorders>
              <w:bottom w:val="single" w:sz="8" w:color="BCBEC0"/>
            </w:tcBorders>
          </w:tcPr>
          <w:p>
            <w:pPr>
              <w:spacing w:after="0"/>
              <w:rPr>
                <w:sz w:val="2"/>
                <w:szCs w:val="2"/>
                <w:color w:val="auto"/>
              </w:rPr>
            </w:pPr>
          </w:p>
        </w:tc>
        <w:tc>
          <w:tcPr>
            <w:tcW w:w="1440" w:type="dxa"/>
            <w:vAlign w:val="bottom"/>
            <w:tcBorders>
              <w:bottom w:val="single" w:sz="8" w:color="BCBEC0"/>
            </w:tcBorders>
          </w:tcPr>
          <w:p>
            <w:pPr>
              <w:spacing w:after="0"/>
              <w:rPr>
                <w:sz w:val="2"/>
                <w:szCs w:val="2"/>
                <w:color w:val="auto"/>
              </w:rPr>
            </w:pPr>
          </w:p>
        </w:tc>
        <w:tc>
          <w:tcPr>
            <w:tcW w:w="980" w:type="dxa"/>
            <w:vAlign w:val="bottom"/>
            <w:tcBorders>
              <w:bottom w:val="single" w:sz="8" w:color="BCBEC0"/>
            </w:tcBorders>
          </w:tcPr>
          <w:p>
            <w:pPr>
              <w:spacing w:after="0"/>
              <w:rPr>
                <w:sz w:val="2"/>
                <w:szCs w:val="2"/>
                <w:color w:val="auto"/>
              </w:rPr>
            </w:pPr>
          </w:p>
        </w:tc>
        <w:tc>
          <w:tcPr>
            <w:tcW w:w="1020" w:type="dxa"/>
            <w:vAlign w:val="bottom"/>
            <w:tcBorders>
              <w:bottom w:val="single" w:sz="8" w:color="BCBEC0"/>
            </w:tcBorders>
          </w:tcPr>
          <w:p>
            <w:pPr>
              <w:spacing w:after="0"/>
              <w:rPr>
                <w:sz w:val="2"/>
                <w:szCs w:val="2"/>
                <w:color w:val="auto"/>
              </w:rPr>
            </w:pPr>
          </w:p>
        </w:tc>
      </w:tr>
      <w:tr>
        <w:trPr>
          <w:trHeight w:val="184"/>
        </w:trPr>
        <w:tc>
          <w:tcPr>
            <w:tcW w:w="1920" w:type="dxa"/>
            <w:vAlign w:val="bottom"/>
          </w:tcPr>
          <w:p>
            <w:pPr>
              <w:spacing w:after="0"/>
              <w:rPr>
                <w:sz w:val="16"/>
                <w:szCs w:val="16"/>
                <w:color w:val="auto"/>
              </w:rPr>
            </w:pPr>
          </w:p>
        </w:tc>
        <w:tc>
          <w:tcPr>
            <w:tcW w:w="1340" w:type="dxa"/>
            <w:vAlign w:val="bottom"/>
          </w:tcPr>
          <w:p>
            <w:pPr>
              <w:jc w:val="right"/>
              <w:ind w:right="193"/>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12,591</w:t>
            </w:r>
          </w:p>
        </w:tc>
        <w:tc>
          <w:tcPr>
            <w:tcW w:w="760" w:type="dxa"/>
            <w:vAlign w:val="bottom"/>
          </w:tcPr>
          <w:p>
            <w:pPr>
              <w:jc w:val="center"/>
              <w:ind w:right="433"/>
              <w:spacing w:after="0"/>
              <w:rPr>
                <w:sz w:val="20"/>
                <w:szCs w:val="20"/>
                <w:color w:val="auto"/>
              </w:rPr>
            </w:pPr>
            <w:r>
              <w:rPr>
                <w:rFonts w:ascii="Arial" w:cs="Arial" w:eastAsia="Arial" w:hAnsi="Arial"/>
                <w:sz w:val="13"/>
                <w:szCs w:val="13"/>
                <w:color w:val="auto"/>
              </w:rPr>
              <w:t>(8)</w:t>
            </w:r>
          </w:p>
        </w:tc>
        <w:tc>
          <w:tcPr>
            <w:tcW w:w="860" w:type="dxa"/>
            <w:vAlign w:val="bottom"/>
          </w:tcPr>
          <w:p>
            <w:pPr>
              <w:jc w:val="right"/>
              <w:ind w:right="273"/>
              <w:spacing w:after="0"/>
              <w:rPr>
                <w:sz w:val="20"/>
                <w:szCs w:val="20"/>
                <w:color w:val="auto"/>
              </w:rPr>
            </w:pPr>
            <w:r>
              <w:rPr>
                <w:rFonts w:ascii="Arial" w:cs="Arial" w:eastAsia="Arial" w:hAnsi="Arial"/>
                <w:sz w:val="13"/>
                <w:szCs w:val="13"/>
                <w:color w:val="auto"/>
              </w:rPr>
              <w:t>100.40</w:t>
            </w:r>
          </w:p>
        </w:tc>
        <w:tc>
          <w:tcPr>
            <w:tcW w:w="1120" w:type="dxa"/>
            <w:vAlign w:val="bottom"/>
          </w:tcPr>
          <w:p>
            <w:pPr>
              <w:jc w:val="right"/>
              <w:ind w:right="153"/>
              <w:spacing w:after="0"/>
              <w:rPr>
                <w:sz w:val="20"/>
                <w:szCs w:val="20"/>
                <w:color w:val="auto"/>
              </w:rPr>
            </w:pPr>
            <w:r>
              <w:rPr>
                <w:rFonts w:ascii="Arial" w:cs="Arial" w:eastAsia="Arial" w:hAnsi="Arial"/>
                <w:sz w:val="13"/>
                <w:szCs w:val="13"/>
                <w:color w:val="auto"/>
              </w:rPr>
              <w:t>1/2/2035</w:t>
            </w:r>
          </w:p>
        </w:tc>
        <w:tc>
          <w:tcPr>
            <w:tcW w:w="11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5"/>
        </w:trPr>
        <w:tc>
          <w:tcPr>
            <w:tcW w:w="1920" w:type="dxa"/>
            <w:vAlign w:val="bottom"/>
            <w:tcBorders>
              <w:bottom w:val="single" w:sz="8" w:color="BCBEC0"/>
            </w:tcBorders>
          </w:tcPr>
          <w:p>
            <w:pPr>
              <w:spacing w:after="0"/>
              <w:rPr>
                <w:sz w:val="2"/>
                <w:szCs w:val="2"/>
                <w:color w:val="auto"/>
              </w:rPr>
            </w:pPr>
          </w:p>
        </w:tc>
        <w:tc>
          <w:tcPr>
            <w:tcW w:w="1340" w:type="dxa"/>
            <w:vAlign w:val="bottom"/>
            <w:tcBorders>
              <w:bottom w:val="single" w:sz="8" w:color="BCBEC0"/>
            </w:tcBorders>
          </w:tcPr>
          <w:p>
            <w:pPr>
              <w:spacing w:after="0"/>
              <w:rPr>
                <w:sz w:val="2"/>
                <w:szCs w:val="2"/>
                <w:color w:val="auto"/>
              </w:rPr>
            </w:pPr>
          </w:p>
        </w:tc>
        <w:tc>
          <w:tcPr>
            <w:tcW w:w="660" w:type="dxa"/>
            <w:vAlign w:val="bottom"/>
            <w:tcBorders>
              <w:bottom w:val="single" w:sz="8" w:color="BCBEC0"/>
            </w:tcBorders>
          </w:tcPr>
          <w:p>
            <w:pPr>
              <w:spacing w:after="0"/>
              <w:rPr>
                <w:sz w:val="2"/>
                <w:szCs w:val="2"/>
                <w:color w:val="auto"/>
              </w:rPr>
            </w:pPr>
          </w:p>
        </w:tc>
        <w:tc>
          <w:tcPr>
            <w:tcW w:w="760" w:type="dxa"/>
            <w:vAlign w:val="bottom"/>
            <w:tcBorders>
              <w:bottom w:val="single" w:sz="8" w:color="BCBEC0"/>
            </w:tcBorders>
          </w:tcPr>
          <w:p>
            <w:pPr>
              <w:spacing w:after="0"/>
              <w:rPr>
                <w:sz w:val="2"/>
                <w:szCs w:val="2"/>
                <w:color w:val="auto"/>
              </w:rPr>
            </w:pPr>
          </w:p>
        </w:tc>
        <w:tc>
          <w:tcPr>
            <w:tcW w:w="860" w:type="dxa"/>
            <w:vAlign w:val="bottom"/>
            <w:tcBorders>
              <w:bottom w:val="single" w:sz="8" w:color="BCBEC0"/>
            </w:tcBorders>
          </w:tcPr>
          <w:p>
            <w:pPr>
              <w:spacing w:after="0"/>
              <w:rPr>
                <w:sz w:val="2"/>
                <w:szCs w:val="2"/>
                <w:color w:val="auto"/>
              </w:rPr>
            </w:pPr>
          </w:p>
        </w:tc>
        <w:tc>
          <w:tcPr>
            <w:tcW w:w="1120" w:type="dxa"/>
            <w:vAlign w:val="bottom"/>
            <w:tcBorders>
              <w:bottom w:val="single" w:sz="8" w:color="BCBEC0"/>
            </w:tcBorders>
          </w:tcPr>
          <w:p>
            <w:pPr>
              <w:spacing w:after="0"/>
              <w:rPr>
                <w:sz w:val="2"/>
                <w:szCs w:val="2"/>
                <w:color w:val="auto"/>
              </w:rPr>
            </w:pPr>
          </w:p>
        </w:tc>
        <w:tc>
          <w:tcPr>
            <w:tcW w:w="1140" w:type="dxa"/>
            <w:vAlign w:val="bottom"/>
            <w:tcBorders>
              <w:bottom w:val="single" w:sz="8" w:color="BCBEC0"/>
            </w:tcBorders>
          </w:tcPr>
          <w:p>
            <w:pPr>
              <w:spacing w:after="0"/>
              <w:rPr>
                <w:sz w:val="2"/>
                <w:szCs w:val="2"/>
                <w:color w:val="auto"/>
              </w:rPr>
            </w:pPr>
          </w:p>
        </w:tc>
        <w:tc>
          <w:tcPr>
            <w:tcW w:w="1440" w:type="dxa"/>
            <w:vAlign w:val="bottom"/>
            <w:tcBorders>
              <w:bottom w:val="single" w:sz="8" w:color="BCBEC0"/>
            </w:tcBorders>
          </w:tcPr>
          <w:p>
            <w:pPr>
              <w:spacing w:after="0"/>
              <w:rPr>
                <w:sz w:val="2"/>
                <w:szCs w:val="2"/>
                <w:color w:val="auto"/>
              </w:rPr>
            </w:pPr>
          </w:p>
        </w:tc>
        <w:tc>
          <w:tcPr>
            <w:tcW w:w="980" w:type="dxa"/>
            <w:vAlign w:val="bottom"/>
            <w:tcBorders>
              <w:bottom w:val="single" w:sz="8" w:color="BCBEC0"/>
            </w:tcBorders>
          </w:tcPr>
          <w:p>
            <w:pPr>
              <w:spacing w:after="0"/>
              <w:rPr>
                <w:sz w:val="2"/>
                <w:szCs w:val="2"/>
                <w:color w:val="auto"/>
              </w:rPr>
            </w:pPr>
          </w:p>
        </w:tc>
        <w:tc>
          <w:tcPr>
            <w:tcW w:w="1020" w:type="dxa"/>
            <w:vAlign w:val="bottom"/>
            <w:tcBorders>
              <w:bottom w:val="single" w:sz="8" w:color="BCBEC0"/>
            </w:tcBorders>
          </w:tcPr>
          <w:p>
            <w:pPr>
              <w:spacing w:after="0"/>
              <w:rPr>
                <w:sz w:val="2"/>
                <w:szCs w:val="2"/>
                <w:color w:val="auto"/>
              </w:rPr>
            </w:pPr>
          </w:p>
        </w:tc>
      </w:tr>
      <w:tr>
        <w:trPr>
          <w:trHeight w:val="203"/>
        </w:trPr>
        <w:tc>
          <w:tcPr>
            <w:tcW w:w="1920" w:type="dxa"/>
            <w:vAlign w:val="bottom"/>
          </w:tcPr>
          <w:p>
            <w:pPr>
              <w:ind w:left="20"/>
              <w:spacing w:after="0"/>
              <w:rPr>
                <w:sz w:val="20"/>
                <w:szCs w:val="20"/>
                <w:color w:val="auto"/>
              </w:rPr>
            </w:pPr>
            <w:r>
              <w:rPr>
                <w:rFonts w:ascii="Arial" w:cs="Arial" w:eastAsia="Arial" w:hAnsi="Arial"/>
                <w:sz w:val="13"/>
                <w:szCs w:val="13"/>
                <w:b w:val="1"/>
                <w:bCs w:val="1"/>
                <w:color w:val="0C3471"/>
              </w:rPr>
              <w:t>Jerome O. Pedretti</w:t>
            </w:r>
          </w:p>
        </w:tc>
        <w:tc>
          <w:tcPr>
            <w:tcW w:w="1340" w:type="dxa"/>
            <w:vAlign w:val="bottom"/>
            <w:tcBorders>
              <w:bottom w:val="single" w:sz="8" w:color="BCBEC0"/>
            </w:tcBorders>
          </w:tcPr>
          <w:p>
            <w:pPr>
              <w:spacing w:after="0"/>
              <w:rPr>
                <w:sz w:val="17"/>
                <w:szCs w:val="17"/>
                <w:color w:val="auto"/>
              </w:rPr>
            </w:pPr>
          </w:p>
        </w:tc>
        <w:tc>
          <w:tcPr>
            <w:tcW w:w="660" w:type="dxa"/>
            <w:vAlign w:val="bottom"/>
            <w:tcBorders>
              <w:bottom w:val="single" w:sz="8" w:color="BCBEC0"/>
            </w:tcBorders>
          </w:tcPr>
          <w:p>
            <w:pPr>
              <w:spacing w:after="0"/>
              <w:rPr>
                <w:sz w:val="17"/>
                <w:szCs w:val="17"/>
                <w:color w:val="auto"/>
              </w:rPr>
            </w:pPr>
          </w:p>
        </w:tc>
        <w:tc>
          <w:tcPr>
            <w:tcW w:w="760" w:type="dxa"/>
            <w:vAlign w:val="bottom"/>
            <w:tcBorders>
              <w:bottom w:val="single" w:sz="8" w:color="BCBEC0"/>
            </w:tcBorders>
          </w:tcPr>
          <w:p>
            <w:pPr>
              <w:spacing w:after="0"/>
              <w:rPr>
                <w:sz w:val="17"/>
                <w:szCs w:val="17"/>
                <w:color w:val="auto"/>
              </w:rPr>
            </w:pPr>
          </w:p>
        </w:tc>
        <w:tc>
          <w:tcPr>
            <w:tcW w:w="860" w:type="dxa"/>
            <w:vAlign w:val="bottom"/>
            <w:tcBorders>
              <w:bottom w:val="single" w:sz="8" w:color="BCBEC0"/>
            </w:tcBorders>
          </w:tcPr>
          <w:p>
            <w:pPr>
              <w:spacing w:after="0"/>
              <w:rPr>
                <w:sz w:val="17"/>
                <w:szCs w:val="17"/>
                <w:color w:val="auto"/>
              </w:rPr>
            </w:pPr>
          </w:p>
        </w:tc>
        <w:tc>
          <w:tcPr>
            <w:tcW w:w="1120" w:type="dxa"/>
            <w:vAlign w:val="bottom"/>
            <w:tcBorders>
              <w:bottom w:val="single" w:sz="8" w:color="BCBEC0"/>
            </w:tcBorders>
          </w:tcPr>
          <w:p>
            <w:pPr>
              <w:spacing w:after="0"/>
              <w:rPr>
                <w:sz w:val="17"/>
                <w:szCs w:val="17"/>
                <w:color w:val="auto"/>
              </w:rPr>
            </w:pPr>
          </w:p>
        </w:tc>
        <w:tc>
          <w:tcPr>
            <w:tcW w:w="1140" w:type="dxa"/>
            <w:vAlign w:val="bottom"/>
            <w:tcBorders>
              <w:bottom w:val="single" w:sz="8" w:color="BCBEC0"/>
            </w:tcBorders>
          </w:tcPr>
          <w:p>
            <w:pPr>
              <w:jc w:val="right"/>
              <w:ind w:right="177"/>
              <w:spacing w:after="0"/>
              <w:rPr>
                <w:sz w:val="20"/>
                <w:szCs w:val="20"/>
                <w:color w:val="auto"/>
              </w:rPr>
            </w:pPr>
            <w:r>
              <w:rPr>
                <w:rFonts w:ascii="Arial" w:cs="Arial" w:eastAsia="Arial" w:hAnsi="Arial"/>
                <w:sz w:val="13"/>
                <w:szCs w:val="13"/>
                <w:color w:val="auto"/>
              </w:rPr>
              <w:t>9,929</w:t>
            </w:r>
          </w:p>
        </w:tc>
        <w:tc>
          <w:tcPr>
            <w:tcW w:w="1440" w:type="dxa"/>
            <w:vAlign w:val="bottom"/>
            <w:tcBorders>
              <w:bottom w:val="single" w:sz="8" w:color="BCBEC0"/>
            </w:tcBorders>
          </w:tcPr>
          <w:p>
            <w:pPr>
              <w:jc w:val="right"/>
              <w:ind w:right="455"/>
              <w:spacing w:after="0"/>
              <w:rPr>
                <w:sz w:val="20"/>
                <w:szCs w:val="20"/>
                <w:color w:val="auto"/>
              </w:rPr>
            </w:pPr>
            <w:r>
              <w:rPr>
                <w:rFonts w:ascii="Arial" w:cs="Arial" w:eastAsia="Arial" w:hAnsi="Arial"/>
                <w:sz w:val="13"/>
                <w:szCs w:val="13"/>
                <w:color w:val="auto"/>
              </w:rPr>
              <w:t>1,034,006</w:t>
            </w:r>
          </w:p>
        </w:tc>
        <w:tc>
          <w:tcPr>
            <w:tcW w:w="980" w:type="dxa"/>
            <w:vAlign w:val="bottom"/>
            <w:tcBorders>
              <w:bottom w:val="single" w:sz="8" w:color="BCBEC0"/>
            </w:tcBorders>
          </w:tcPr>
          <w:p>
            <w:pPr>
              <w:spacing w:after="0"/>
              <w:rPr>
                <w:sz w:val="17"/>
                <w:szCs w:val="17"/>
                <w:color w:val="auto"/>
              </w:rPr>
            </w:pPr>
          </w:p>
        </w:tc>
        <w:tc>
          <w:tcPr>
            <w:tcW w:w="1020" w:type="dxa"/>
            <w:vAlign w:val="bottom"/>
            <w:tcBorders>
              <w:bottom w:val="single" w:sz="8" w:color="BCBEC0"/>
            </w:tcBorders>
          </w:tcPr>
          <w:p>
            <w:pPr>
              <w:spacing w:after="0"/>
              <w:rPr>
                <w:sz w:val="17"/>
                <w:szCs w:val="17"/>
                <w:color w:val="auto"/>
              </w:rPr>
            </w:pPr>
          </w:p>
        </w:tc>
      </w:tr>
      <w:tr>
        <w:trPr>
          <w:trHeight w:val="190"/>
        </w:trPr>
        <w:tc>
          <w:tcPr>
            <w:tcW w:w="19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980" w:type="dxa"/>
            <w:vAlign w:val="bottom"/>
          </w:tcPr>
          <w:p>
            <w:pPr>
              <w:jc w:val="right"/>
              <w:ind w:right="195"/>
              <w:spacing w:after="0"/>
              <w:rPr>
                <w:sz w:val="20"/>
                <w:szCs w:val="20"/>
                <w:color w:val="auto"/>
              </w:rPr>
            </w:pPr>
            <w:r>
              <w:rPr>
                <w:rFonts w:ascii="Arial" w:cs="Arial" w:eastAsia="Arial" w:hAnsi="Arial"/>
                <w:sz w:val="13"/>
                <w:szCs w:val="13"/>
                <w:color w:val="auto"/>
              </w:rPr>
              <w:t>17,986</w:t>
            </w:r>
          </w:p>
        </w:tc>
        <w:tc>
          <w:tcPr>
            <w:tcW w:w="1020" w:type="dxa"/>
            <w:vAlign w:val="bottom"/>
          </w:tcPr>
          <w:p>
            <w:pPr>
              <w:jc w:val="right"/>
              <w:spacing w:after="0"/>
              <w:rPr>
                <w:sz w:val="20"/>
                <w:szCs w:val="20"/>
                <w:color w:val="auto"/>
              </w:rPr>
            </w:pPr>
            <w:r>
              <w:rPr>
                <w:rFonts w:ascii="Arial" w:cs="Arial" w:eastAsia="Arial" w:hAnsi="Arial"/>
                <w:sz w:val="13"/>
                <w:szCs w:val="13"/>
                <w:color w:val="auto"/>
              </w:rPr>
              <w:t>1,873,062</w:t>
            </w:r>
          </w:p>
        </w:tc>
      </w:tr>
      <w:tr>
        <w:trPr>
          <w:trHeight w:val="25"/>
        </w:trPr>
        <w:tc>
          <w:tcPr>
            <w:tcW w:w="1920" w:type="dxa"/>
            <w:vAlign w:val="bottom"/>
          </w:tcPr>
          <w:p>
            <w:pPr>
              <w:spacing w:after="0"/>
              <w:rPr>
                <w:sz w:val="2"/>
                <w:szCs w:val="2"/>
                <w:color w:val="auto"/>
              </w:rPr>
            </w:pPr>
          </w:p>
        </w:tc>
        <w:tc>
          <w:tcPr>
            <w:tcW w:w="1340" w:type="dxa"/>
            <w:vAlign w:val="bottom"/>
            <w:tcBorders>
              <w:bottom w:val="single" w:sz="8" w:color="BCBEC0"/>
            </w:tcBorders>
          </w:tcPr>
          <w:p>
            <w:pPr>
              <w:spacing w:after="0"/>
              <w:rPr>
                <w:sz w:val="2"/>
                <w:szCs w:val="2"/>
                <w:color w:val="auto"/>
              </w:rPr>
            </w:pPr>
          </w:p>
        </w:tc>
        <w:tc>
          <w:tcPr>
            <w:tcW w:w="660" w:type="dxa"/>
            <w:vAlign w:val="bottom"/>
            <w:tcBorders>
              <w:bottom w:val="single" w:sz="8" w:color="BCBEC0"/>
            </w:tcBorders>
          </w:tcPr>
          <w:p>
            <w:pPr>
              <w:spacing w:after="0"/>
              <w:rPr>
                <w:sz w:val="2"/>
                <w:szCs w:val="2"/>
                <w:color w:val="auto"/>
              </w:rPr>
            </w:pPr>
          </w:p>
        </w:tc>
        <w:tc>
          <w:tcPr>
            <w:tcW w:w="760" w:type="dxa"/>
            <w:vAlign w:val="bottom"/>
            <w:tcBorders>
              <w:bottom w:val="single" w:sz="8" w:color="BCBEC0"/>
            </w:tcBorders>
          </w:tcPr>
          <w:p>
            <w:pPr>
              <w:spacing w:after="0"/>
              <w:rPr>
                <w:sz w:val="2"/>
                <w:szCs w:val="2"/>
                <w:color w:val="auto"/>
              </w:rPr>
            </w:pPr>
          </w:p>
        </w:tc>
        <w:tc>
          <w:tcPr>
            <w:tcW w:w="860" w:type="dxa"/>
            <w:vAlign w:val="bottom"/>
            <w:tcBorders>
              <w:bottom w:val="single" w:sz="8" w:color="BCBEC0"/>
            </w:tcBorders>
          </w:tcPr>
          <w:p>
            <w:pPr>
              <w:spacing w:after="0"/>
              <w:rPr>
                <w:sz w:val="2"/>
                <w:szCs w:val="2"/>
                <w:color w:val="auto"/>
              </w:rPr>
            </w:pPr>
          </w:p>
        </w:tc>
        <w:tc>
          <w:tcPr>
            <w:tcW w:w="1120" w:type="dxa"/>
            <w:vAlign w:val="bottom"/>
            <w:tcBorders>
              <w:bottom w:val="single" w:sz="8" w:color="BCBEC0"/>
            </w:tcBorders>
          </w:tcPr>
          <w:p>
            <w:pPr>
              <w:spacing w:after="0"/>
              <w:rPr>
                <w:sz w:val="2"/>
                <w:szCs w:val="2"/>
                <w:color w:val="auto"/>
              </w:rPr>
            </w:pPr>
          </w:p>
        </w:tc>
        <w:tc>
          <w:tcPr>
            <w:tcW w:w="1140" w:type="dxa"/>
            <w:vAlign w:val="bottom"/>
            <w:tcBorders>
              <w:bottom w:val="single" w:sz="8" w:color="BCBEC0"/>
            </w:tcBorders>
          </w:tcPr>
          <w:p>
            <w:pPr>
              <w:spacing w:after="0"/>
              <w:rPr>
                <w:sz w:val="2"/>
                <w:szCs w:val="2"/>
                <w:color w:val="auto"/>
              </w:rPr>
            </w:pPr>
          </w:p>
        </w:tc>
        <w:tc>
          <w:tcPr>
            <w:tcW w:w="1440" w:type="dxa"/>
            <w:vAlign w:val="bottom"/>
            <w:tcBorders>
              <w:bottom w:val="single" w:sz="8" w:color="BCBEC0"/>
            </w:tcBorders>
          </w:tcPr>
          <w:p>
            <w:pPr>
              <w:spacing w:after="0"/>
              <w:rPr>
                <w:sz w:val="2"/>
                <w:szCs w:val="2"/>
                <w:color w:val="auto"/>
              </w:rPr>
            </w:pPr>
          </w:p>
        </w:tc>
        <w:tc>
          <w:tcPr>
            <w:tcW w:w="980" w:type="dxa"/>
            <w:vAlign w:val="bottom"/>
            <w:tcBorders>
              <w:bottom w:val="single" w:sz="8" w:color="BCBEC0"/>
            </w:tcBorders>
          </w:tcPr>
          <w:p>
            <w:pPr>
              <w:spacing w:after="0"/>
              <w:rPr>
                <w:sz w:val="2"/>
                <w:szCs w:val="2"/>
                <w:color w:val="auto"/>
              </w:rPr>
            </w:pPr>
          </w:p>
        </w:tc>
        <w:tc>
          <w:tcPr>
            <w:tcW w:w="1020" w:type="dxa"/>
            <w:vAlign w:val="bottom"/>
            <w:tcBorders>
              <w:bottom w:val="single" w:sz="8" w:color="BCBEC0"/>
            </w:tcBorders>
          </w:tcPr>
          <w:p>
            <w:pPr>
              <w:spacing w:after="0"/>
              <w:rPr>
                <w:sz w:val="2"/>
                <w:szCs w:val="2"/>
                <w:color w:val="auto"/>
              </w:rPr>
            </w:pPr>
          </w:p>
        </w:tc>
      </w:tr>
      <w:tr>
        <w:trPr>
          <w:trHeight w:val="184"/>
        </w:trPr>
        <w:tc>
          <w:tcPr>
            <w:tcW w:w="1920" w:type="dxa"/>
            <w:vAlign w:val="bottom"/>
          </w:tcPr>
          <w:p>
            <w:pPr>
              <w:spacing w:after="0"/>
              <w:rPr>
                <w:sz w:val="16"/>
                <w:szCs w:val="16"/>
                <w:color w:val="auto"/>
              </w:rPr>
            </w:pPr>
          </w:p>
        </w:tc>
        <w:tc>
          <w:tcPr>
            <w:tcW w:w="1340" w:type="dxa"/>
            <w:vAlign w:val="bottom"/>
          </w:tcPr>
          <w:p>
            <w:pPr>
              <w:jc w:val="right"/>
              <w:ind w:right="193"/>
              <w:spacing w:after="0"/>
              <w:rPr>
                <w:sz w:val="20"/>
                <w:szCs w:val="20"/>
                <w:color w:val="auto"/>
              </w:rPr>
            </w:pPr>
            <w:r>
              <w:rPr>
                <w:rFonts w:ascii="Arial" w:cs="Arial" w:eastAsia="Arial" w:hAnsi="Arial"/>
                <w:sz w:val="13"/>
                <w:szCs w:val="13"/>
                <w:color w:val="auto"/>
              </w:rPr>
              <w:t>17,050</w:t>
            </w: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760" w:type="dxa"/>
            <w:vAlign w:val="bottom"/>
          </w:tcPr>
          <w:p>
            <w:pPr>
              <w:spacing w:after="0"/>
              <w:rPr>
                <w:sz w:val="16"/>
                <w:szCs w:val="16"/>
                <w:color w:val="auto"/>
              </w:rPr>
            </w:pPr>
          </w:p>
        </w:tc>
        <w:tc>
          <w:tcPr>
            <w:tcW w:w="860" w:type="dxa"/>
            <w:vAlign w:val="bottom"/>
          </w:tcPr>
          <w:p>
            <w:pPr>
              <w:jc w:val="right"/>
              <w:ind w:right="273"/>
              <w:spacing w:after="0"/>
              <w:rPr>
                <w:sz w:val="20"/>
                <w:szCs w:val="20"/>
                <w:color w:val="auto"/>
              </w:rPr>
            </w:pPr>
            <w:r>
              <w:rPr>
                <w:rFonts w:ascii="Arial" w:cs="Arial" w:eastAsia="Arial" w:hAnsi="Arial"/>
                <w:sz w:val="13"/>
                <w:szCs w:val="13"/>
                <w:color w:val="auto"/>
              </w:rPr>
              <w:t>51.53</w:t>
            </w:r>
          </w:p>
        </w:tc>
        <w:tc>
          <w:tcPr>
            <w:tcW w:w="1120" w:type="dxa"/>
            <w:vAlign w:val="bottom"/>
          </w:tcPr>
          <w:p>
            <w:pPr>
              <w:jc w:val="right"/>
              <w:ind w:right="153"/>
              <w:spacing w:after="0"/>
              <w:rPr>
                <w:sz w:val="20"/>
                <w:szCs w:val="20"/>
                <w:color w:val="auto"/>
              </w:rPr>
            </w:pPr>
            <w:r>
              <w:rPr>
                <w:rFonts w:ascii="Arial" w:cs="Arial" w:eastAsia="Arial" w:hAnsi="Arial"/>
                <w:sz w:val="13"/>
                <w:szCs w:val="13"/>
                <w:color w:val="auto"/>
              </w:rPr>
              <w:t>1/4/2031</w:t>
            </w:r>
          </w:p>
        </w:tc>
        <w:tc>
          <w:tcPr>
            <w:tcW w:w="11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5"/>
        </w:trPr>
        <w:tc>
          <w:tcPr>
            <w:tcW w:w="1920" w:type="dxa"/>
            <w:vAlign w:val="bottom"/>
          </w:tcPr>
          <w:p>
            <w:pPr>
              <w:spacing w:after="0"/>
              <w:rPr>
                <w:sz w:val="2"/>
                <w:szCs w:val="2"/>
                <w:color w:val="auto"/>
              </w:rPr>
            </w:pPr>
          </w:p>
        </w:tc>
        <w:tc>
          <w:tcPr>
            <w:tcW w:w="1340" w:type="dxa"/>
            <w:vAlign w:val="bottom"/>
            <w:tcBorders>
              <w:bottom w:val="single" w:sz="8" w:color="BCBEC0"/>
            </w:tcBorders>
          </w:tcPr>
          <w:p>
            <w:pPr>
              <w:spacing w:after="0"/>
              <w:rPr>
                <w:sz w:val="2"/>
                <w:szCs w:val="2"/>
                <w:color w:val="auto"/>
              </w:rPr>
            </w:pPr>
          </w:p>
        </w:tc>
        <w:tc>
          <w:tcPr>
            <w:tcW w:w="660" w:type="dxa"/>
            <w:vAlign w:val="bottom"/>
            <w:tcBorders>
              <w:bottom w:val="single" w:sz="8" w:color="BCBEC0"/>
            </w:tcBorders>
          </w:tcPr>
          <w:p>
            <w:pPr>
              <w:spacing w:after="0"/>
              <w:rPr>
                <w:sz w:val="2"/>
                <w:szCs w:val="2"/>
                <w:color w:val="auto"/>
              </w:rPr>
            </w:pPr>
          </w:p>
        </w:tc>
        <w:tc>
          <w:tcPr>
            <w:tcW w:w="760" w:type="dxa"/>
            <w:vAlign w:val="bottom"/>
            <w:tcBorders>
              <w:bottom w:val="single" w:sz="8" w:color="BCBEC0"/>
            </w:tcBorders>
          </w:tcPr>
          <w:p>
            <w:pPr>
              <w:spacing w:after="0"/>
              <w:rPr>
                <w:sz w:val="2"/>
                <w:szCs w:val="2"/>
                <w:color w:val="auto"/>
              </w:rPr>
            </w:pPr>
          </w:p>
        </w:tc>
        <w:tc>
          <w:tcPr>
            <w:tcW w:w="860" w:type="dxa"/>
            <w:vAlign w:val="bottom"/>
            <w:tcBorders>
              <w:bottom w:val="single" w:sz="8" w:color="BCBEC0"/>
            </w:tcBorders>
          </w:tcPr>
          <w:p>
            <w:pPr>
              <w:spacing w:after="0"/>
              <w:rPr>
                <w:sz w:val="2"/>
                <w:szCs w:val="2"/>
                <w:color w:val="auto"/>
              </w:rPr>
            </w:pPr>
          </w:p>
        </w:tc>
        <w:tc>
          <w:tcPr>
            <w:tcW w:w="1120" w:type="dxa"/>
            <w:vAlign w:val="bottom"/>
            <w:tcBorders>
              <w:bottom w:val="single" w:sz="8" w:color="BCBEC0"/>
            </w:tcBorders>
          </w:tcPr>
          <w:p>
            <w:pPr>
              <w:spacing w:after="0"/>
              <w:rPr>
                <w:sz w:val="2"/>
                <w:szCs w:val="2"/>
                <w:color w:val="auto"/>
              </w:rPr>
            </w:pPr>
          </w:p>
        </w:tc>
        <w:tc>
          <w:tcPr>
            <w:tcW w:w="1140" w:type="dxa"/>
            <w:vAlign w:val="bottom"/>
            <w:tcBorders>
              <w:bottom w:val="single" w:sz="8" w:color="BCBEC0"/>
            </w:tcBorders>
          </w:tcPr>
          <w:p>
            <w:pPr>
              <w:spacing w:after="0"/>
              <w:rPr>
                <w:sz w:val="2"/>
                <w:szCs w:val="2"/>
                <w:color w:val="auto"/>
              </w:rPr>
            </w:pPr>
          </w:p>
        </w:tc>
        <w:tc>
          <w:tcPr>
            <w:tcW w:w="1440" w:type="dxa"/>
            <w:vAlign w:val="bottom"/>
            <w:tcBorders>
              <w:bottom w:val="single" w:sz="8" w:color="BCBEC0"/>
            </w:tcBorders>
          </w:tcPr>
          <w:p>
            <w:pPr>
              <w:spacing w:after="0"/>
              <w:rPr>
                <w:sz w:val="2"/>
                <w:szCs w:val="2"/>
                <w:color w:val="auto"/>
              </w:rPr>
            </w:pPr>
          </w:p>
        </w:tc>
        <w:tc>
          <w:tcPr>
            <w:tcW w:w="980" w:type="dxa"/>
            <w:vAlign w:val="bottom"/>
            <w:tcBorders>
              <w:bottom w:val="single" w:sz="8" w:color="BCBEC0"/>
            </w:tcBorders>
          </w:tcPr>
          <w:p>
            <w:pPr>
              <w:spacing w:after="0"/>
              <w:rPr>
                <w:sz w:val="2"/>
                <w:szCs w:val="2"/>
                <w:color w:val="auto"/>
              </w:rPr>
            </w:pPr>
          </w:p>
        </w:tc>
        <w:tc>
          <w:tcPr>
            <w:tcW w:w="1020" w:type="dxa"/>
            <w:vAlign w:val="bottom"/>
            <w:tcBorders>
              <w:bottom w:val="single" w:sz="8" w:color="BCBEC0"/>
            </w:tcBorders>
          </w:tcPr>
          <w:p>
            <w:pPr>
              <w:spacing w:after="0"/>
              <w:rPr>
                <w:sz w:val="2"/>
                <w:szCs w:val="2"/>
                <w:color w:val="auto"/>
              </w:rPr>
            </w:pPr>
          </w:p>
        </w:tc>
      </w:tr>
      <w:tr>
        <w:trPr>
          <w:trHeight w:val="184"/>
        </w:trPr>
        <w:tc>
          <w:tcPr>
            <w:tcW w:w="1920" w:type="dxa"/>
            <w:vAlign w:val="bottom"/>
          </w:tcPr>
          <w:p>
            <w:pPr>
              <w:spacing w:after="0"/>
              <w:rPr>
                <w:sz w:val="16"/>
                <w:szCs w:val="16"/>
                <w:color w:val="auto"/>
              </w:rPr>
            </w:pPr>
          </w:p>
        </w:tc>
        <w:tc>
          <w:tcPr>
            <w:tcW w:w="1340" w:type="dxa"/>
            <w:vAlign w:val="bottom"/>
          </w:tcPr>
          <w:p>
            <w:pPr>
              <w:jc w:val="right"/>
              <w:ind w:right="193"/>
              <w:spacing w:after="0"/>
              <w:rPr>
                <w:sz w:val="20"/>
                <w:szCs w:val="20"/>
                <w:color w:val="auto"/>
              </w:rPr>
            </w:pPr>
            <w:r>
              <w:rPr>
                <w:rFonts w:ascii="Arial" w:cs="Arial" w:eastAsia="Arial" w:hAnsi="Arial"/>
                <w:sz w:val="13"/>
                <w:szCs w:val="13"/>
                <w:color w:val="auto"/>
              </w:rPr>
              <w:t>12,934</w:t>
            </w: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760" w:type="dxa"/>
            <w:vAlign w:val="bottom"/>
          </w:tcPr>
          <w:p>
            <w:pPr>
              <w:spacing w:after="0"/>
              <w:rPr>
                <w:sz w:val="16"/>
                <w:szCs w:val="16"/>
                <w:color w:val="auto"/>
              </w:rPr>
            </w:pPr>
          </w:p>
        </w:tc>
        <w:tc>
          <w:tcPr>
            <w:tcW w:w="860" w:type="dxa"/>
            <w:vAlign w:val="bottom"/>
          </w:tcPr>
          <w:p>
            <w:pPr>
              <w:jc w:val="right"/>
              <w:ind w:right="273"/>
              <w:spacing w:after="0"/>
              <w:rPr>
                <w:sz w:val="20"/>
                <w:szCs w:val="20"/>
                <w:color w:val="auto"/>
              </w:rPr>
            </w:pPr>
            <w:r>
              <w:rPr>
                <w:rFonts w:ascii="Arial" w:cs="Arial" w:eastAsia="Arial" w:hAnsi="Arial"/>
                <w:sz w:val="13"/>
                <w:szCs w:val="13"/>
                <w:color w:val="auto"/>
              </w:rPr>
              <w:t>70.99</w:t>
            </w:r>
          </w:p>
        </w:tc>
        <w:tc>
          <w:tcPr>
            <w:tcW w:w="1120" w:type="dxa"/>
            <w:vAlign w:val="bottom"/>
          </w:tcPr>
          <w:p>
            <w:pPr>
              <w:jc w:val="right"/>
              <w:ind w:right="153"/>
              <w:spacing w:after="0"/>
              <w:rPr>
                <w:sz w:val="20"/>
                <w:szCs w:val="20"/>
                <w:color w:val="auto"/>
              </w:rPr>
            </w:pPr>
            <w:r>
              <w:rPr>
                <w:rFonts w:ascii="Arial" w:cs="Arial" w:eastAsia="Arial" w:hAnsi="Arial"/>
                <w:sz w:val="13"/>
                <w:szCs w:val="13"/>
                <w:color w:val="auto"/>
              </w:rPr>
              <w:t>1/3/2032</w:t>
            </w:r>
          </w:p>
        </w:tc>
        <w:tc>
          <w:tcPr>
            <w:tcW w:w="11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5"/>
        </w:trPr>
        <w:tc>
          <w:tcPr>
            <w:tcW w:w="1920" w:type="dxa"/>
            <w:vAlign w:val="bottom"/>
          </w:tcPr>
          <w:p>
            <w:pPr>
              <w:spacing w:after="0"/>
              <w:rPr>
                <w:sz w:val="2"/>
                <w:szCs w:val="2"/>
                <w:color w:val="auto"/>
              </w:rPr>
            </w:pPr>
          </w:p>
        </w:tc>
        <w:tc>
          <w:tcPr>
            <w:tcW w:w="1340" w:type="dxa"/>
            <w:vAlign w:val="bottom"/>
            <w:tcBorders>
              <w:bottom w:val="single" w:sz="8" w:color="BCBEC0"/>
            </w:tcBorders>
          </w:tcPr>
          <w:p>
            <w:pPr>
              <w:spacing w:after="0"/>
              <w:rPr>
                <w:sz w:val="2"/>
                <w:szCs w:val="2"/>
                <w:color w:val="auto"/>
              </w:rPr>
            </w:pPr>
          </w:p>
        </w:tc>
        <w:tc>
          <w:tcPr>
            <w:tcW w:w="660" w:type="dxa"/>
            <w:vAlign w:val="bottom"/>
            <w:tcBorders>
              <w:bottom w:val="single" w:sz="8" w:color="BCBEC0"/>
            </w:tcBorders>
          </w:tcPr>
          <w:p>
            <w:pPr>
              <w:spacing w:after="0"/>
              <w:rPr>
                <w:sz w:val="2"/>
                <w:szCs w:val="2"/>
                <w:color w:val="auto"/>
              </w:rPr>
            </w:pPr>
          </w:p>
        </w:tc>
        <w:tc>
          <w:tcPr>
            <w:tcW w:w="760" w:type="dxa"/>
            <w:vAlign w:val="bottom"/>
            <w:tcBorders>
              <w:bottom w:val="single" w:sz="8" w:color="BCBEC0"/>
            </w:tcBorders>
          </w:tcPr>
          <w:p>
            <w:pPr>
              <w:spacing w:after="0"/>
              <w:rPr>
                <w:sz w:val="2"/>
                <w:szCs w:val="2"/>
                <w:color w:val="auto"/>
              </w:rPr>
            </w:pPr>
          </w:p>
        </w:tc>
        <w:tc>
          <w:tcPr>
            <w:tcW w:w="860" w:type="dxa"/>
            <w:vAlign w:val="bottom"/>
            <w:tcBorders>
              <w:bottom w:val="single" w:sz="8" w:color="BCBEC0"/>
            </w:tcBorders>
          </w:tcPr>
          <w:p>
            <w:pPr>
              <w:spacing w:after="0"/>
              <w:rPr>
                <w:sz w:val="2"/>
                <w:szCs w:val="2"/>
                <w:color w:val="auto"/>
              </w:rPr>
            </w:pPr>
          </w:p>
        </w:tc>
        <w:tc>
          <w:tcPr>
            <w:tcW w:w="1120" w:type="dxa"/>
            <w:vAlign w:val="bottom"/>
            <w:tcBorders>
              <w:bottom w:val="single" w:sz="8" w:color="BCBEC0"/>
            </w:tcBorders>
          </w:tcPr>
          <w:p>
            <w:pPr>
              <w:spacing w:after="0"/>
              <w:rPr>
                <w:sz w:val="2"/>
                <w:szCs w:val="2"/>
                <w:color w:val="auto"/>
              </w:rPr>
            </w:pPr>
          </w:p>
        </w:tc>
        <w:tc>
          <w:tcPr>
            <w:tcW w:w="1140" w:type="dxa"/>
            <w:vAlign w:val="bottom"/>
            <w:tcBorders>
              <w:bottom w:val="single" w:sz="8" w:color="BCBEC0"/>
            </w:tcBorders>
          </w:tcPr>
          <w:p>
            <w:pPr>
              <w:spacing w:after="0"/>
              <w:rPr>
                <w:sz w:val="2"/>
                <w:szCs w:val="2"/>
                <w:color w:val="auto"/>
              </w:rPr>
            </w:pPr>
          </w:p>
        </w:tc>
        <w:tc>
          <w:tcPr>
            <w:tcW w:w="1440" w:type="dxa"/>
            <w:vAlign w:val="bottom"/>
            <w:tcBorders>
              <w:bottom w:val="single" w:sz="8" w:color="BCBEC0"/>
            </w:tcBorders>
          </w:tcPr>
          <w:p>
            <w:pPr>
              <w:spacing w:after="0"/>
              <w:rPr>
                <w:sz w:val="2"/>
                <w:szCs w:val="2"/>
                <w:color w:val="auto"/>
              </w:rPr>
            </w:pPr>
          </w:p>
        </w:tc>
        <w:tc>
          <w:tcPr>
            <w:tcW w:w="980" w:type="dxa"/>
            <w:vAlign w:val="bottom"/>
            <w:tcBorders>
              <w:bottom w:val="single" w:sz="8" w:color="BCBEC0"/>
            </w:tcBorders>
          </w:tcPr>
          <w:p>
            <w:pPr>
              <w:spacing w:after="0"/>
              <w:rPr>
                <w:sz w:val="2"/>
                <w:szCs w:val="2"/>
                <w:color w:val="auto"/>
              </w:rPr>
            </w:pPr>
          </w:p>
        </w:tc>
        <w:tc>
          <w:tcPr>
            <w:tcW w:w="1020" w:type="dxa"/>
            <w:vAlign w:val="bottom"/>
            <w:tcBorders>
              <w:bottom w:val="single" w:sz="8" w:color="BCBEC0"/>
            </w:tcBorders>
          </w:tcPr>
          <w:p>
            <w:pPr>
              <w:spacing w:after="0"/>
              <w:rPr>
                <w:sz w:val="2"/>
                <w:szCs w:val="2"/>
                <w:color w:val="auto"/>
              </w:rPr>
            </w:pPr>
          </w:p>
        </w:tc>
      </w:tr>
      <w:tr>
        <w:trPr>
          <w:trHeight w:val="184"/>
        </w:trPr>
        <w:tc>
          <w:tcPr>
            <w:tcW w:w="1920" w:type="dxa"/>
            <w:vAlign w:val="bottom"/>
          </w:tcPr>
          <w:p>
            <w:pPr>
              <w:spacing w:after="0"/>
              <w:rPr>
                <w:sz w:val="16"/>
                <w:szCs w:val="16"/>
                <w:color w:val="auto"/>
              </w:rPr>
            </w:pPr>
          </w:p>
        </w:tc>
        <w:tc>
          <w:tcPr>
            <w:tcW w:w="1340" w:type="dxa"/>
            <w:vAlign w:val="bottom"/>
          </w:tcPr>
          <w:p>
            <w:pPr>
              <w:jc w:val="right"/>
              <w:ind w:right="193"/>
              <w:spacing w:after="0"/>
              <w:rPr>
                <w:sz w:val="20"/>
                <w:szCs w:val="20"/>
                <w:color w:val="auto"/>
              </w:rPr>
            </w:pPr>
            <w:r>
              <w:rPr>
                <w:rFonts w:ascii="Arial" w:cs="Arial" w:eastAsia="Arial" w:hAnsi="Arial"/>
                <w:sz w:val="13"/>
                <w:szCs w:val="13"/>
                <w:color w:val="auto"/>
              </w:rPr>
              <w:t>17,422</w:t>
            </w:r>
          </w:p>
        </w:tc>
        <w:tc>
          <w:tcPr>
            <w:tcW w:w="660" w:type="dxa"/>
            <w:vAlign w:val="bottom"/>
          </w:tcPr>
          <w:p>
            <w:pPr>
              <w:jc w:val="right"/>
              <w:spacing w:after="0"/>
              <w:rPr>
                <w:sz w:val="20"/>
                <w:szCs w:val="20"/>
                <w:color w:val="auto"/>
              </w:rPr>
            </w:pPr>
            <w:r>
              <w:rPr>
                <w:rFonts w:ascii="Arial" w:cs="Arial" w:eastAsia="Arial" w:hAnsi="Arial"/>
                <w:sz w:val="13"/>
                <w:szCs w:val="13"/>
                <w:color w:val="auto"/>
              </w:rPr>
              <w:t>8,712</w:t>
            </w:r>
          </w:p>
        </w:tc>
        <w:tc>
          <w:tcPr>
            <w:tcW w:w="760" w:type="dxa"/>
            <w:vAlign w:val="bottom"/>
          </w:tcPr>
          <w:p>
            <w:pPr>
              <w:jc w:val="center"/>
              <w:ind w:right="433"/>
              <w:spacing w:after="0"/>
              <w:rPr>
                <w:sz w:val="20"/>
                <w:szCs w:val="20"/>
                <w:color w:val="auto"/>
              </w:rPr>
            </w:pPr>
            <w:r>
              <w:rPr>
                <w:rFonts w:ascii="Arial" w:cs="Arial" w:eastAsia="Arial" w:hAnsi="Arial"/>
                <w:sz w:val="13"/>
                <w:szCs w:val="13"/>
                <w:color w:val="auto"/>
              </w:rPr>
              <w:t>(6)</w:t>
            </w:r>
          </w:p>
        </w:tc>
        <w:tc>
          <w:tcPr>
            <w:tcW w:w="860" w:type="dxa"/>
            <w:vAlign w:val="bottom"/>
          </w:tcPr>
          <w:p>
            <w:pPr>
              <w:jc w:val="right"/>
              <w:ind w:right="273"/>
              <w:spacing w:after="0"/>
              <w:rPr>
                <w:sz w:val="20"/>
                <w:szCs w:val="20"/>
                <w:color w:val="auto"/>
              </w:rPr>
            </w:pPr>
            <w:r>
              <w:rPr>
                <w:rFonts w:ascii="Arial" w:cs="Arial" w:eastAsia="Arial" w:hAnsi="Arial"/>
                <w:sz w:val="13"/>
                <w:szCs w:val="13"/>
                <w:color w:val="auto"/>
              </w:rPr>
              <w:t>45.20</w:t>
            </w:r>
          </w:p>
        </w:tc>
        <w:tc>
          <w:tcPr>
            <w:tcW w:w="1120" w:type="dxa"/>
            <w:vAlign w:val="bottom"/>
          </w:tcPr>
          <w:p>
            <w:pPr>
              <w:jc w:val="right"/>
              <w:ind w:right="153"/>
              <w:spacing w:after="0"/>
              <w:rPr>
                <w:sz w:val="20"/>
                <w:szCs w:val="20"/>
                <w:color w:val="auto"/>
              </w:rPr>
            </w:pPr>
            <w:r>
              <w:rPr>
                <w:rFonts w:ascii="Arial" w:cs="Arial" w:eastAsia="Arial" w:hAnsi="Arial"/>
                <w:sz w:val="13"/>
                <w:szCs w:val="13"/>
                <w:color w:val="auto"/>
              </w:rPr>
              <w:t>1/3/2033</w:t>
            </w:r>
          </w:p>
        </w:tc>
        <w:tc>
          <w:tcPr>
            <w:tcW w:w="11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5"/>
        </w:trPr>
        <w:tc>
          <w:tcPr>
            <w:tcW w:w="1920" w:type="dxa"/>
            <w:vAlign w:val="bottom"/>
          </w:tcPr>
          <w:p>
            <w:pPr>
              <w:spacing w:after="0"/>
              <w:rPr>
                <w:sz w:val="2"/>
                <w:szCs w:val="2"/>
                <w:color w:val="auto"/>
              </w:rPr>
            </w:pPr>
          </w:p>
        </w:tc>
        <w:tc>
          <w:tcPr>
            <w:tcW w:w="1340" w:type="dxa"/>
            <w:vAlign w:val="bottom"/>
            <w:tcBorders>
              <w:bottom w:val="single" w:sz="8" w:color="BCBEC0"/>
            </w:tcBorders>
          </w:tcPr>
          <w:p>
            <w:pPr>
              <w:spacing w:after="0"/>
              <w:rPr>
                <w:sz w:val="2"/>
                <w:szCs w:val="2"/>
                <w:color w:val="auto"/>
              </w:rPr>
            </w:pPr>
          </w:p>
        </w:tc>
        <w:tc>
          <w:tcPr>
            <w:tcW w:w="660" w:type="dxa"/>
            <w:vAlign w:val="bottom"/>
            <w:tcBorders>
              <w:bottom w:val="single" w:sz="8" w:color="BCBEC0"/>
            </w:tcBorders>
          </w:tcPr>
          <w:p>
            <w:pPr>
              <w:spacing w:after="0"/>
              <w:rPr>
                <w:sz w:val="2"/>
                <w:szCs w:val="2"/>
                <w:color w:val="auto"/>
              </w:rPr>
            </w:pPr>
          </w:p>
        </w:tc>
        <w:tc>
          <w:tcPr>
            <w:tcW w:w="760" w:type="dxa"/>
            <w:vAlign w:val="bottom"/>
            <w:tcBorders>
              <w:bottom w:val="single" w:sz="8" w:color="BCBEC0"/>
            </w:tcBorders>
          </w:tcPr>
          <w:p>
            <w:pPr>
              <w:spacing w:after="0"/>
              <w:rPr>
                <w:sz w:val="2"/>
                <w:szCs w:val="2"/>
                <w:color w:val="auto"/>
              </w:rPr>
            </w:pPr>
          </w:p>
        </w:tc>
        <w:tc>
          <w:tcPr>
            <w:tcW w:w="860" w:type="dxa"/>
            <w:vAlign w:val="bottom"/>
            <w:tcBorders>
              <w:bottom w:val="single" w:sz="8" w:color="BCBEC0"/>
            </w:tcBorders>
          </w:tcPr>
          <w:p>
            <w:pPr>
              <w:spacing w:after="0"/>
              <w:rPr>
                <w:sz w:val="2"/>
                <w:szCs w:val="2"/>
                <w:color w:val="auto"/>
              </w:rPr>
            </w:pPr>
          </w:p>
        </w:tc>
        <w:tc>
          <w:tcPr>
            <w:tcW w:w="1120" w:type="dxa"/>
            <w:vAlign w:val="bottom"/>
            <w:tcBorders>
              <w:bottom w:val="single" w:sz="8" w:color="BCBEC0"/>
            </w:tcBorders>
          </w:tcPr>
          <w:p>
            <w:pPr>
              <w:spacing w:after="0"/>
              <w:rPr>
                <w:sz w:val="2"/>
                <w:szCs w:val="2"/>
                <w:color w:val="auto"/>
              </w:rPr>
            </w:pPr>
          </w:p>
        </w:tc>
        <w:tc>
          <w:tcPr>
            <w:tcW w:w="1140" w:type="dxa"/>
            <w:vAlign w:val="bottom"/>
            <w:tcBorders>
              <w:bottom w:val="single" w:sz="8" w:color="BCBEC0"/>
            </w:tcBorders>
          </w:tcPr>
          <w:p>
            <w:pPr>
              <w:spacing w:after="0"/>
              <w:rPr>
                <w:sz w:val="2"/>
                <w:szCs w:val="2"/>
                <w:color w:val="auto"/>
              </w:rPr>
            </w:pPr>
          </w:p>
        </w:tc>
        <w:tc>
          <w:tcPr>
            <w:tcW w:w="1440" w:type="dxa"/>
            <w:vAlign w:val="bottom"/>
            <w:tcBorders>
              <w:bottom w:val="single" w:sz="8" w:color="BCBEC0"/>
            </w:tcBorders>
          </w:tcPr>
          <w:p>
            <w:pPr>
              <w:spacing w:after="0"/>
              <w:rPr>
                <w:sz w:val="2"/>
                <w:szCs w:val="2"/>
                <w:color w:val="auto"/>
              </w:rPr>
            </w:pPr>
          </w:p>
        </w:tc>
        <w:tc>
          <w:tcPr>
            <w:tcW w:w="980" w:type="dxa"/>
            <w:vAlign w:val="bottom"/>
            <w:tcBorders>
              <w:bottom w:val="single" w:sz="8" w:color="BCBEC0"/>
            </w:tcBorders>
          </w:tcPr>
          <w:p>
            <w:pPr>
              <w:spacing w:after="0"/>
              <w:rPr>
                <w:sz w:val="2"/>
                <w:szCs w:val="2"/>
                <w:color w:val="auto"/>
              </w:rPr>
            </w:pPr>
          </w:p>
        </w:tc>
        <w:tc>
          <w:tcPr>
            <w:tcW w:w="1020" w:type="dxa"/>
            <w:vAlign w:val="bottom"/>
            <w:tcBorders>
              <w:bottom w:val="single" w:sz="8" w:color="BCBEC0"/>
            </w:tcBorders>
          </w:tcPr>
          <w:p>
            <w:pPr>
              <w:spacing w:after="0"/>
              <w:rPr>
                <w:sz w:val="2"/>
                <w:szCs w:val="2"/>
                <w:color w:val="auto"/>
              </w:rPr>
            </w:pPr>
          </w:p>
        </w:tc>
      </w:tr>
      <w:tr>
        <w:trPr>
          <w:trHeight w:val="184"/>
        </w:trPr>
        <w:tc>
          <w:tcPr>
            <w:tcW w:w="1920" w:type="dxa"/>
            <w:vAlign w:val="bottom"/>
          </w:tcPr>
          <w:p>
            <w:pPr>
              <w:spacing w:after="0"/>
              <w:rPr>
                <w:sz w:val="16"/>
                <w:szCs w:val="16"/>
                <w:color w:val="auto"/>
              </w:rPr>
            </w:pPr>
          </w:p>
        </w:tc>
        <w:tc>
          <w:tcPr>
            <w:tcW w:w="1340" w:type="dxa"/>
            <w:vAlign w:val="bottom"/>
          </w:tcPr>
          <w:p>
            <w:pPr>
              <w:jc w:val="right"/>
              <w:ind w:right="193"/>
              <w:spacing w:after="0"/>
              <w:rPr>
                <w:sz w:val="20"/>
                <w:szCs w:val="20"/>
                <w:color w:val="auto"/>
              </w:rPr>
            </w:pPr>
            <w:r>
              <w:rPr>
                <w:rFonts w:ascii="Arial" w:cs="Arial" w:eastAsia="Arial" w:hAnsi="Arial"/>
                <w:sz w:val="13"/>
                <w:szCs w:val="13"/>
                <w:color w:val="auto"/>
              </w:rPr>
              <w:t>4,993</w:t>
            </w:r>
          </w:p>
        </w:tc>
        <w:tc>
          <w:tcPr>
            <w:tcW w:w="660" w:type="dxa"/>
            <w:vAlign w:val="bottom"/>
          </w:tcPr>
          <w:p>
            <w:pPr>
              <w:jc w:val="right"/>
              <w:spacing w:after="0"/>
              <w:rPr>
                <w:sz w:val="20"/>
                <w:szCs w:val="20"/>
                <w:color w:val="auto"/>
              </w:rPr>
            </w:pPr>
            <w:r>
              <w:rPr>
                <w:rFonts w:ascii="Arial" w:cs="Arial" w:eastAsia="Arial" w:hAnsi="Arial"/>
                <w:sz w:val="13"/>
                <w:szCs w:val="13"/>
                <w:color w:val="auto"/>
              </w:rPr>
              <w:t>9,988</w:t>
            </w:r>
          </w:p>
        </w:tc>
        <w:tc>
          <w:tcPr>
            <w:tcW w:w="760" w:type="dxa"/>
            <w:vAlign w:val="bottom"/>
          </w:tcPr>
          <w:p>
            <w:pPr>
              <w:jc w:val="center"/>
              <w:ind w:right="433"/>
              <w:spacing w:after="0"/>
              <w:rPr>
                <w:sz w:val="20"/>
                <w:szCs w:val="20"/>
                <w:color w:val="auto"/>
              </w:rPr>
            </w:pPr>
            <w:r>
              <w:rPr>
                <w:rFonts w:ascii="Arial" w:cs="Arial" w:eastAsia="Arial" w:hAnsi="Arial"/>
                <w:sz w:val="13"/>
                <w:szCs w:val="13"/>
                <w:color w:val="auto"/>
              </w:rPr>
              <w:t>(7)</w:t>
            </w:r>
          </w:p>
        </w:tc>
        <w:tc>
          <w:tcPr>
            <w:tcW w:w="860" w:type="dxa"/>
            <w:vAlign w:val="bottom"/>
          </w:tcPr>
          <w:p>
            <w:pPr>
              <w:jc w:val="right"/>
              <w:ind w:right="273"/>
              <w:spacing w:after="0"/>
              <w:rPr>
                <w:sz w:val="20"/>
                <w:szCs w:val="20"/>
                <w:color w:val="auto"/>
              </w:rPr>
            </w:pPr>
            <w:r>
              <w:rPr>
                <w:rFonts w:ascii="Arial" w:cs="Arial" w:eastAsia="Arial" w:hAnsi="Arial"/>
                <w:sz w:val="13"/>
                <w:szCs w:val="13"/>
                <w:color w:val="auto"/>
              </w:rPr>
              <w:t>70.92</w:t>
            </w:r>
          </w:p>
        </w:tc>
        <w:tc>
          <w:tcPr>
            <w:tcW w:w="1120" w:type="dxa"/>
            <w:vAlign w:val="bottom"/>
          </w:tcPr>
          <w:p>
            <w:pPr>
              <w:jc w:val="right"/>
              <w:ind w:right="153"/>
              <w:spacing w:after="0"/>
              <w:rPr>
                <w:sz w:val="20"/>
                <w:szCs w:val="20"/>
                <w:color w:val="auto"/>
              </w:rPr>
            </w:pPr>
            <w:r>
              <w:rPr>
                <w:rFonts w:ascii="Arial" w:cs="Arial" w:eastAsia="Arial" w:hAnsi="Arial"/>
                <w:sz w:val="13"/>
                <w:szCs w:val="13"/>
                <w:color w:val="auto"/>
              </w:rPr>
              <w:t>1/2/2034</w:t>
            </w:r>
          </w:p>
        </w:tc>
        <w:tc>
          <w:tcPr>
            <w:tcW w:w="11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5"/>
        </w:trPr>
        <w:tc>
          <w:tcPr>
            <w:tcW w:w="1920" w:type="dxa"/>
            <w:vAlign w:val="bottom"/>
          </w:tcPr>
          <w:p>
            <w:pPr>
              <w:spacing w:after="0"/>
              <w:rPr>
                <w:sz w:val="2"/>
                <w:szCs w:val="2"/>
                <w:color w:val="auto"/>
              </w:rPr>
            </w:pPr>
          </w:p>
        </w:tc>
        <w:tc>
          <w:tcPr>
            <w:tcW w:w="1340" w:type="dxa"/>
            <w:vAlign w:val="bottom"/>
            <w:tcBorders>
              <w:bottom w:val="single" w:sz="8" w:color="BCBEC0"/>
            </w:tcBorders>
          </w:tcPr>
          <w:p>
            <w:pPr>
              <w:spacing w:after="0"/>
              <w:rPr>
                <w:sz w:val="2"/>
                <w:szCs w:val="2"/>
                <w:color w:val="auto"/>
              </w:rPr>
            </w:pPr>
          </w:p>
        </w:tc>
        <w:tc>
          <w:tcPr>
            <w:tcW w:w="660" w:type="dxa"/>
            <w:vAlign w:val="bottom"/>
            <w:tcBorders>
              <w:bottom w:val="single" w:sz="8" w:color="BCBEC0"/>
            </w:tcBorders>
          </w:tcPr>
          <w:p>
            <w:pPr>
              <w:spacing w:after="0"/>
              <w:rPr>
                <w:sz w:val="2"/>
                <w:szCs w:val="2"/>
                <w:color w:val="auto"/>
              </w:rPr>
            </w:pPr>
          </w:p>
        </w:tc>
        <w:tc>
          <w:tcPr>
            <w:tcW w:w="760" w:type="dxa"/>
            <w:vAlign w:val="bottom"/>
            <w:tcBorders>
              <w:bottom w:val="single" w:sz="8" w:color="BCBEC0"/>
            </w:tcBorders>
          </w:tcPr>
          <w:p>
            <w:pPr>
              <w:spacing w:after="0"/>
              <w:rPr>
                <w:sz w:val="2"/>
                <w:szCs w:val="2"/>
                <w:color w:val="auto"/>
              </w:rPr>
            </w:pPr>
          </w:p>
        </w:tc>
        <w:tc>
          <w:tcPr>
            <w:tcW w:w="860" w:type="dxa"/>
            <w:vAlign w:val="bottom"/>
            <w:tcBorders>
              <w:bottom w:val="single" w:sz="8" w:color="BCBEC0"/>
            </w:tcBorders>
          </w:tcPr>
          <w:p>
            <w:pPr>
              <w:spacing w:after="0"/>
              <w:rPr>
                <w:sz w:val="2"/>
                <w:szCs w:val="2"/>
                <w:color w:val="auto"/>
              </w:rPr>
            </w:pPr>
          </w:p>
        </w:tc>
        <w:tc>
          <w:tcPr>
            <w:tcW w:w="1120" w:type="dxa"/>
            <w:vAlign w:val="bottom"/>
            <w:tcBorders>
              <w:bottom w:val="single" w:sz="8" w:color="BCBEC0"/>
            </w:tcBorders>
          </w:tcPr>
          <w:p>
            <w:pPr>
              <w:spacing w:after="0"/>
              <w:rPr>
                <w:sz w:val="2"/>
                <w:szCs w:val="2"/>
                <w:color w:val="auto"/>
              </w:rPr>
            </w:pPr>
          </w:p>
        </w:tc>
        <w:tc>
          <w:tcPr>
            <w:tcW w:w="1140" w:type="dxa"/>
            <w:vAlign w:val="bottom"/>
            <w:tcBorders>
              <w:bottom w:val="single" w:sz="8" w:color="BCBEC0"/>
            </w:tcBorders>
          </w:tcPr>
          <w:p>
            <w:pPr>
              <w:spacing w:after="0"/>
              <w:rPr>
                <w:sz w:val="2"/>
                <w:szCs w:val="2"/>
                <w:color w:val="auto"/>
              </w:rPr>
            </w:pPr>
          </w:p>
        </w:tc>
        <w:tc>
          <w:tcPr>
            <w:tcW w:w="1440" w:type="dxa"/>
            <w:vAlign w:val="bottom"/>
            <w:tcBorders>
              <w:bottom w:val="single" w:sz="8" w:color="BCBEC0"/>
            </w:tcBorders>
          </w:tcPr>
          <w:p>
            <w:pPr>
              <w:spacing w:after="0"/>
              <w:rPr>
                <w:sz w:val="2"/>
                <w:szCs w:val="2"/>
                <w:color w:val="auto"/>
              </w:rPr>
            </w:pPr>
          </w:p>
        </w:tc>
        <w:tc>
          <w:tcPr>
            <w:tcW w:w="980" w:type="dxa"/>
            <w:vAlign w:val="bottom"/>
            <w:tcBorders>
              <w:bottom w:val="single" w:sz="8" w:color="BCBEC0"/>
            </w:tcBorders>
          </w:tcPr>
          <w:p>
            <w:pPr>
              <w:spacing w:after="0"/>
              <w:rPr>
                <w:sz w:val="2"/>
                <w:szCs w:val="2"/>
                <w:color w:val="auto"/>
              </w:rPr>
            </w:pPr>
          </w:p>
        </w:tc>
        <w:tc>
          <w:tcPr>
            <w:tcW w:w="1020" w:type="dxa"/>
            <w:vAlign w:val="bottom"/>
            <w:tcBorders>
              <w:bottom w:val="single" w:sz="8" w:color="BCBEC0"/>
            </w:tcBorders>
          </w:tcPr>
          <w:p>
            <w:pPr>
              <w:spacing w:after="0"/>
              <w:rPr>
                <w:sz w:val="2"/>
                <w:szCs w:val="2"/>
                <w:color w:val="auto"/>
              </w:rPr>
            </w:pPr>
          </w:p>
        </w:tc>
      </w:tr>
      <w:tr>
        <w:trPr>
          <w:trHeight w:val="184"/>
        </w:trPr>
        <w:tc>
          <w:tcPr>
            <w:tcW w:w="19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10,209</w:t>
            </w:r>
          </w:p>
        </w:tc>
        <w:tc>
          <w:tcPr>
            <w:tcW w:w="760" w:type="dxa"/>
            <w:vAlign w:val="bottom"/>
          </w:tcPr>
          <w:p>
            <w:pPr>
              <w:jc w:val="center"/>
              <w:ind w:right="433"/>
              <w:spacing w:after="0"/>
              <w:rPr>
                <w:sz w:val="20"/>
                <w:szCs w:val="20"/>
                <w:color w:val="auto"/>
              </w:rPr>
            </w:pPr>
            <w:r>
              <w:rPr>
                <w:rFonts w:ascii="Arial" w:cs="Arial" w:eastAsia="Arial" w:hAnsi="Arial"/>
                <w:sz w:val="13"/>
                <w:szCs w:val="13"/>
                <w:color w:val="auto"/>
              </w:rPr>
              <w:t>(8)</w:t>
            </w:r>
          </w:p>
        </w:tc>
        <w:tc>
          <w:tcPr>
            <w:tcW w:w="860" w:type="dxa"/>
            <w:vAlign w:val="bottom"/>
          </w:tcPr>
          <w:p>
            <w:pPr>
              <w:jc w:val="right"/>
              <w:ind w:right="273"/>
              <w:spacing w:after="0"/>
              <w:rPr>
                <w:sz w:val="20"/>
                <w:szCs w:val="20"/>
                <w:color w:val="auto"/>
              </w:rPr>
            </w:pPr>
            <w:r>
              <w:rPr>
                <w:rFonts w:ascii="Arial" w:cs="Arial" w:eastAsia="Arial" w:hAnsi="Arial"/>
                <w:sz w:val="13"/>
                <w:szCs w:val="13"/>
                <w:color w:val="auto"/>
              </w:rPr>
              <w:t>100.40</w:t>
            </w:r>
          </w:p>
        </w:tc>
        <w:tc>
          <w:tcPr>
            <w:tcW w:w="1120" w:type="dxa"/>
            <w:vAlign w:val="bottom"/>
          </w:tcPr>
          <w:p>
            <w:pPr>
              <w:jc w:val="right"/>
              <w:ind w:right="153"/>
              <w:spacing w:after="0"/>
              <w:rPr>
                <w:sz w:val="20"/>
                <w:szCs w:val="20"/>
                <w:color w:val="auto"/>
              </w:rPr>
            </w:pPr>
            <w:r>
              <w:rPr>
                <w:rFonts w:ascii="Arial" w:cs="Arial" w:eastAsia="Arial" w:hAnsi="Arial"/>
                <w:sz w:val="13"/>
                <w:szCs w:val="13"/>
                <w:color w:val="auto"/>
              </w:rPr>
              <w:t>1/2/2035</w:t>
            </w:r>
          </w:p>
        </w:tc>
        <w:tc>
          <w:tcPr>
            <w:tcW w:w="11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5"/>
        </w:trPr>
        <w:tc>
          <w:tcPr>
            <w:tcW w:w="1920" w:type="dxa"/>
            <w:vAlign w:val="bottom"/>
            <w:tcBorders>
              <w:bottom w:val="single" w:sz="8" w:color="BCBEC0"/>
            </w:tcBorders>
          </w:tcPr>
          <w:p>
            <w:pPr>
              <w:spacing w:after="0"/>
              <w:rPr>
                <w:sz w:val="2"/>
                <w:szCs w:val="2"/>
                <w:color w:val="auto"/>
              </w:rPr>
            </w:pPr>
          </w:p>
        </w:tc>
        <w:tc>
          <w:tcPr>
            <w:tcW w:w="1340" w:type="dxa"/>
            <w:vAlign w:val="bottom"/>
            <w:tcBorders>
              <w:bottom w:val="single" w:sz="8" w:color="BCBEC0"/>
            </w:tcBorders>
          </w:tcPr>
          <w:p>
            <w:pPr>
              <w:spacing w:after="0"/>
              <w:rPr>
                <w:sz w:val="2"/>
                <w:szCs w:val="2"/>
                <w:color w:val="auto"/>
              </w:rPr>
            </w:pPr>
          </w:p>
        </w:tc>
        <w:tc>
          <w:tcPr>
            <w:tcW w:w="660" w:type="dxa"/>
            <w:vAlign w:val="bottom"/>
            <w:tcBorders>
              <w:bottom w:val="single" w:sz="8" w:color="BCBEC0"/>
            </w:tcBorders>
          </w:tcPr>
          <w:p>
            <w:pPr>
              <w:spacing w:after="0"/>
              <w:rPr>
                <w:sz w:val="2"/>
                <w:szCs w:val="2"/>
                <w:color w:val="auto"/>
              </w:rPr>
            </w:pPr>
          </w:p>
        </w:tc>
        <w:tc>
          <w:tcPr>
            <w:tcW w:w="760" w:type="dxa"/>
            <w:vAlign w:val="bottom"/>
            <w:tcBorders>
              <w:bottom w:val="single" w:sz="8" w:color="BCBEC0"/>
            </w:tcBorders>
          </w:tcPr>
          <w:p>
            <w:pPr>
              <w:spacing w:after="0"/>
              <w:rPr>
                <w:sz w:val="2"/>
                <w:szCs w:val="2"/>
                <w:color w:val="auto"/>
              </w:rPr>
            </w:pPr>
          </w:p>
        </w:tc>
        <w:tc>
          <w:tcPr>
            <w:tcW w:w="860" w:type="dxa"/>
            <w:vAlign w:val="bottom"/>
            <w:tcBorders>
              <w:bottom w:val="single" w:sz="8" w:color="BCBEC0"/>
            </w:tcBorders>
          </w:tcPr>
          <w:p>
            <w:pPr>
              <w:spacing w:after="0"/>
              <w:rPr>
                <w:sz w:val="2"/>
                <w:szCs w:val="2"/>
                <w:color w:val="auto"/>
              </w:rPr>
            </w:pPr>
          </w:p>
        </w:tc>
        <w:tc>
          <w:tcPr>
            <w:tcW w:w="1120" w:type="dxa"/>
            <w:vAlign w:val="bottom"/>
            <w:tcBorders>
              <w:bottom w:val="single" w:sz="8" w:color="BCBEC0"/>
            </w:tcBorders>
          </w:tcPr>
          <w:p>
            <w:pPr>
              <w:spacing w:after="0"/>
              <w:rPr>
                <w:sz w:val="2"/>
                <w:szCs w:val="2"/>
                <w:color w:val="auto"/>
              </w:rPr>
            </w:pPr>
          </w:p>
        </w:tc>
        <w:tc>
          <w:tcPr>
            <w:tcW w:w="1140" w:type="dxa"/>
            <w:vAlign w:val="bottom"/>
            <w:tcBorders>
              <w:bottom w:val="single" w:sz="8" w:color="BCBEC0"/>
            </w:tcBorders>
          </w:tcPr>
          <w:p>
            <w:pPr>
              <w:spacing w:after="0"/>
              <w:rPr>
                <w:sz w:val="2"/>
                <w:szCs w:val="2"/>
                <w:color w:val="auto"/>
              </w:rPr>
            </w:pPr>
          </w:p>
        </w:tc>
        <w:tc>
          <w:tcPr>
            <w:tcW w:w="1440" w:type="dxa"/>
            <w:vAlign w:val="bottom"/>
            <w:tcBorders>
              <w:bottom w:val="single" w:sz="8" w:color="BCBEC0"/>
            </w:tcBorders>
          </w:tcPr>
          <w:p>
            <w:pPr>
              <w:spacing w:after="0"/>
              <w:rPr>
                <w:sz w:val="2"/>
                <w:szCs w:val="2"/>
                <w:color w:val="auto"/>
              </w:rPr>
            </w:pPr>
          </w:p>
        </w:tc>
        <w:tc>
          <w:tcPr>
            <w:tcW w:w="980" w:type="dxa"/>
            <w:vAlign w:val="bottom"/>
            <w:tcBorders>
              <w:bottom w:val="single" w:sz="8" w:color="BCBEC0"/>
            </w:tcBorders>
          </w:tcPr>
          <w:p>
            <w:pPr>
              <w:spacing w:after="0"/>
              <w:rPr>
                <w:sz w:val="2"/>
                <w:szCs w:val="2"/>
                <w:color w:val="auto"/>
              </w:rPr>
            </w:pPr>
          </w:p>
        </w:tc>
        <w:tc>
          <w:tcPr>
            <w:tcW w:w="1020" w:type="dxa"/>
            <w:vAlign w:val="bottom"/>
            <w:tcBorders>
              <w:bottom w:val="single" w:sz="8" w:color="BCBEC0"/>
            </w:tcBorders>
          </w:tcPr>
          <w:p>
            <w:pPr>
              <w:spacing w:after="0"/>
              <w:rPr>
                <w:sz w:val="2"/>
                <w:szCs w:val="2"/>
                <w:color w:val="auto"/>
              </w:rPr>
            </w:pPr>
          </w:p>
        </w:tc>
      </w:tr>
      <w:tr>
        <w:trPr>
          <w:trHeight w:val="203"/>
        </w:trPr>
        <w:tc>
          <w:tcPr>
            <w:tcW w:w="1920" w:type="dxa"/>
            <w:vAlign w:val="bottom"/>
          </w:tcPr>
          <w:p>
            <w:pPr>
              <w:ind w:left="20"/>
              <w:spacing w:after="0"/>
              <w:rPr>
                <w:sz w:val="20"/>
                <w:szCs w:val="20"/>
                <w:color w:val="auto"/>
              </w:rPr>
            </w:pPr>
            <w:r>
              <w:rPr>
                <w:rFonts w:ascii="Arial" w:cs="Arial" w:eastAsia="Arial" w:hAnsi="Arial"/>
                <w:sz w:val="13"/>
                <w:szCs w:val="13"/>
                <w:b w:val="1"/>
                <w:bCs w:val="1"/>
                <w:color w:val="0C3471"/>
              </w:rPr>
              <w:t>De'Mon L. Wiggins</w:t>
            </w:r>
          </w:p>
        </w:tc>
        <w:tc>
          <w:tcPr>
            <w:tcW w:w="1340" w:type="dxa"/>
            <w:vAlign w:val="bottom"/>
            <w:tcBorders>
              <w:bottom w:val="single" w:sz="8" w:color="BCBEC0"/>
            </w:tcBorders>
          </w:tcPr>
          <w:p>
            <w:pPr>
              <w:spacing w:after="0"/>
              <w:rPr>
                <w:sz w:val="17"/>
                <w:szCs w:val="17"/>
                <w:color w:val="auto"/>
              </w:rPr>
            </w:pPr>
          </w:p>
        </w:tc>
        <w:tc>
          <w:tcPr>
            <w:tcW w:w="660" w:type="dxa"/>
            <w:vAlign w:val="bottom"/>
            <w:tcBorders>
              <w:bottom w:val="single" w:sz="8" w:color="BCBEC0"/>
            </w:tcBorders>
          </w:tcPr>
          <w:p>
            <w:pPr>
              <w:spacing w:after="0"/>
              <w:rPr>
                <w:sz w:val="17"/>
                <w:szCs w:val="17"/>
                <w:color w:val="auto"/>
              </w:rPr>
            </w:pPr>
          </w:p>
        </w:tc>
        <w:tc>
          <w:tcPr>
            <w:tcW w:w="760" w:type="dxa"/>
            <w:vAlign w:val="bottom"/>
            <w:tcBorders>
              <w:bottom w:val="single" w:sz="8" w:color="BCBEC0"/>
            </w:tcBorders>
          </w:tcPr>
          <w:p>
            <w:pPr>
              <w:spacing w:after="0"/>
              <w:rPr>
                <w:sz w:val="17"/>
                <w:szCs w:val="17"/>
                <w:color w:val="auto"/>
              </w:rPr>
            </w:pPr>
          </w:p>
        </w:tc>
        <w:tc>
          <w:tcPr>
            <w:tcW w:w="860" w:type="dxa"/>
            <w:vAlign w:val="bottom"/>
            <w:tcBorders>
              <w:bottom w:val="single" w:sz="8" w:color="BCBEC0"/>
            </w:tcBorders>
          </w:tcPr>
          <w:p>
            <w:pPr>
              <w:spacing w:after="0"/>
              <w:rPr>
                <w:sz w:val="17"/>
                <w:szCs w:val="17"/>
                <w:color w:val="auto"/>
              </w:rPr>
            </w:pPr>
          </w:p>
        </w:tc>
        <w:tc>
          <w:tcPr>
            <w:tcW w:w="1120" w:type="dxa"/>
            <w:vAlign w:val="bottom"/>
            <w:tcBorders>
              <w:bottom w:val="single" w:sz="8" w:color="BCBEC0"/>
            </w:tcBorders>
          </w:tcPr>
          <w:p>
            <w:pPr>
              <w:spacing w:after="0"/>
              <w:rPr>
                <w:sz w:val="17"/>
                <w:szCs w:val="17"/>
                <w:color w:val="auto"/>
              </w:rPr>
            </w:pPr>
          </w:p>
        </w:tc>
        <w:tc>
          <w:tcPr>
            <w:tcW w:w="1140" w:type="dxa"/>
            <w:vAlign w:val="bottom"/>
            <w:tcBorders>
              <w:bottom w:val="single" w:sz="8" w:color="BCBEC0"/>
            </w:tcBorders>
          </w:tcPr>
          <w:p>
            <w:pPr>
              <w:jc w:val="right"/>
              <w:ind w:right="177"/>
              <w:spacing w:after="0"/>
              <w:rPr>
                <w:sz w:val="20"/>
                <w:szCs w:val="20"/>
                <w:color w:val="auto"/>
              </w:rPr>
            </w:pPr>
            <w:r>
              <w:rPr>
                <w:rFonts w:ascii="Arial" w:cs="Arial" w:eastAsia="Arial" w:hAnsi="Arial"/>
                <w:sz w:val="13"/>
                <w:szCs w:val="13"/>
                <w:color w:val="auto"/>
              </w:rPr>
              <w:t>8,189</w:t>
            </w:r>
          </w:p>
        </w:tc>
        <w:tc>
          <w:tcPr>
            <w:tcW w:w="1440" w:type="dxa"/>
            <w:vAlign w:val="bottom"/>
            <w:tcBorders>
              <w:bottom w:val="single" w:sz="8" w:color="BCBEC0"/>
            </w:tcBorders>
          </w:tcPr>
          <w:p>
            <w:pPr>
              <w:jc w:val="right"/>
              <w:ind w:right="455"/>
              <w:spacing w:after="0"/>
              <w:rPr>
                <w:sz w:val="20"/>
                <w:szCs w:val="20"/>
                <w:color w:val="auto"/>
              </w:rPr>
            </w:pPr>
            <w:r>
              <w:rPr>
                <w:rFonts w:ascii="Arial" w:cs="Arial" w:eastAsia="Arial" w:hAnsi="Arial"/>
                <w:sz w:val="13"/>
                <w:szCs w:val="13"/>
                <w:color w:val="auto"/>
              </w:rPr>
              <w:t>852,802</w:t>
            </w:r>
          </w:p>
        </w:tc>
        <w:tc>
          <w:tcPr>
            <w:tcW w:w="980" w:type="dxa"/>
            <w:vAlign w:val="bottom"/>
            <w:tcBorders>
              <w:bottom w:val="single" w:sz="8" w:color="BCBEC0"/>
            </w:tcBorders>
          </w:tcPr>
          <w:p>
            <w:pPr>
              <w:spacing w:after="0"/>
              <w:rPr>
                <w:sz w:val="17"/>
                <w:szCs w:val="17"/>
                <w:color w:val="auto"/>
              </w:rPr>
            </w:pPr>
          </w:p>
        </w:tc>
        <w:tc>
          <w:tcPr>
            <w:tcW w:w="1020" w:type="dxa"/>
            <w:vAlign w:val="bottom"/>
            <w:tcBorders>
              <w:bottom w:val="single" w:sz="8" w:color="BCBEC0"/>
            </w:tcBorders>
          </w:tcPr>
          <w:p>
            <w:pPr>
              <w:spacing w:after="0"/>
              <w:rPr>
                <w:sz w:val="17"/>
                <w:szCs w:val="17"/>
                <w:color w:val="auto"/>
              </w:rPr>
            </w:pPr>
          </w:p>
        </w:tc>
      </w:tr>
      <w:tr>
        <w:trPr>
          <w:trHeight w:val="190"/>
        </w:trPr>
        <w:tc>
          <w:tcPr>
            <w:tcW w:w="19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980" w:type="dxa"/>
            <w:vAlign w:val="bottom"/>
          </w:tcPr>
          <w:p>
            <w:pPr>
              <w:jc w:val="right"/>
              <w:ind w:right="195"/>
              <w:spacing w:after="0"/>
              <w:rPr>
                <w:sz w:val="20"/>
                <w:szCs w:val="20"/>
                <w:color w:val="auto"/>
              </w:rPr>
            </w:pPr>
            <w:r>
              <w:rPr>
                <w:rFonts w:ascii="Arial" w:cs="Arial" w:eastAsia="Arial" w:hAnsi="Arial"/>
                <w:sz w:val="13"/>
                <w:szCs w:val="13"/>
                <w:color w:val="auto"/>
              </w:rPr>
              <w:t>15,431</w:t>
            </w:r>
          </w:p>
        </w:tc>
        <w:tc>
          <w:tcPr>
            <w:tcW w:w="1020" w:type="dxa"/>
            <w:vAlign w:val="bottom"/>
          </w:tcPr>
          <w:p>
            <w:pPr>
              <w:jc w:val="right"/>
              <w:spacing w:after="0"/>
              <w:rPr>
                <w:sz w:val="20"/>
                <w:szCs w:val="20"/>
                <w:color w:val="auto"/>
              </w:rPr>
            </w:pPr>
            <w:r>
              <w:rPr>
                <w:rFonts w:ascii="Arial" w:cs="Arial" w:eastAsia="Arial" w:hAnsi="Arial"/>
                <w:sz w:val="13"/>
                <w:szCs w:val="13"/>
                <w:color w:val="auto"/>
              </w:rPr>
              <w:t>1,606,984</w:t>
            </w:r>
          </w:p>
        </w:tc>
      </w:tr>
      <w:tr>
        <w:trPr>
          <w:trHeight w:val="25"/>
        </w:trPr>
        <w:tc>
          <w:tcPr>
            <w:tcW w:w="1920" w:type="dxa"/>
            <w:vAlign w:val="bottom"/>
          </w:tcPr>
          <w:p>
            <w:pPr>
              <w:spacing w:after="0"/>
              <w:rPr>
                <w:sz w:val="2"/>
                <w:szCs w:val="2"/>
                <w:color w:val="auto"/>
              </w:rPr>
            </w:pPr>
          </w:p>
        </w:tc>
        <w:tc>
          <w:tcPr>
            <w:tcW w:w="1340" w:type="dxa"/>
            <w:vAlign w:val="bottom"/>
            <w:tcBorders>
              <w:bottom w:val="single" w:sz="8" w:color="BCBEC0"/>
            </w:tcBorders>
          </w:tcPr>
          <w:p>
            <w:pPr>
              <w:spacing w:after="0"/>
              <w:rPr>
                <w:sz w:val="2"/>
                <w:szCs w:val="2"/>
                <w:color w:val="auto"/>
              </w:rPr>
            </w:pPr>
          </w:p>
        </w:tc>
        <w:tc>
          <w:tcPr>
            <w:tcW w:w="660" w:type="dxa"/>
            <w:vAlign w:val="bottom"/>
            <w:tcBorders>
              <w:bottom w:val="single" w:sz="8" w:color="BCBEC0"/>
            </w:tcBorders>
          </w:tcPr>
          <w:p>
            <w:pPr>
              <w:spacing w:after="0"/>
              <w:rPr>
                <w:sz w:val="2"/>
                <w:szCs w:val="2"/>
                <w:color w:val="auto"/>
              </w:rPr>
            </w:pPr>
          </w:p>
        </w:tc>
        <w:tc>
          <w:tcPr>
            <w:tcW w:w="760" w:type="dxa"/>
            <w:vAlign w:val="bottom"/>
            <w:tcBorders>
              <w:bottom w:val="single" w:sz="8" w:color="BCBEC0"/>
            </w:tcBorders>
          </w:tcPr>
          <w:p>
            <w:pPr>
              <w:spacing w:after="0"/>
              <w:rPr>
                <w:sz w:val="2"/>
                <w:szCs w:val="2"/>
                <w:color w:val="auto"/>
              </w:rPr>
            </w:pPr>
          </w:p>
        </w:tc>
        <w:tc>
          <w:tcPr>
            <w:tcW w:w="860" w:type="dxa"/>
            <w:vAlign w:val="bottom"/>
            <w:tcBorders>
              <w:bottom w:val="single" w:sz="8" w:color="BCBEC0"/>
            </w:tcBorders>
          </w:tcPr>
          <w:p>
            <w:pPr>
              <w:spacing w:after="0"/>
              <w:rPr>
                <w:sz w:val="2"/>
                <w:szCs w:val="2"/>
                <w:color w:val="auto"/>
              </w:rPr>
            </w:pPr>
          </w:p>
        </w:tc>
        <w:tc>
          <w:tcPr>
            <w:tcW w:w="1120" w:type="dxa"/>
            <w:vAlign w:val="bottom"/>
            <w:tcBorders>
              <w:bottom w:val="single" w:sz="8" w:color="BCBEC0"/>
            </w:tcBorders>
          </w:tcPr>
          <w:p>
            <w:pPr>
              <w:spacing w:after="0"/>
              <w:rPr>
                <w:sz w:val="2"/>
                <w:szCs w:val="2"/>
                <w:color w:val="auto"/>
              </w:rPr>
            </w:pPr>
          </w:p>
        </w:tc>
        <w:tc>
          <w:tcPr>
            <w:tcW w:w="1140" w:type="dxa"/>
            <w:vAlign w:val="bottom"/>
            <w:tcBorders>
              <w:bottom w:val="single" w:sz="8" w:color="BCBEC0"/>
            </w:tcBorders>
          </w:tcPr>
          <w:p>
            <w:pPr>
              <w:spacing w:after="0"/>
              <w:rPr>
                <w:sz w:val="2"/>
                <w:szCs w:val="2"/>
                <w:color w:val="auto"/>
              </w:rPr>
            </w:pPr>
          </w:p>
        </w:tc>
        <w:tc>
          <w:tcPr>
            <w:tcW w:w="1440" w:type="dxa"/>
            <w:vAlign w:val="bottom"/>
            <w:tcBorders>
              <w:bottom w:val="single" w:sz="8" w:color="BCBEC0"/>
            </w:tcBorders>
          </w:tcPr>
          <w:p>
            <w:pPr>
              <w:spacing w:after="0"/>
              <w:rPr>
                <w:sz w:val="2"/>
                <w:szCs w:val="2"/>
                <w:color w:val="auto"/>
              </w:rPr>
            </w:pPr>
          </w:p>
        </w:tc>
        <w:tc>
          <w:tcPr>
            <w:tcW w:w="980" w:type="dxa"/>
            <w:vAlign w:val="bottom"/>
            <w:tcBorders>
              <w:bottom w:val="single" w:sz="8" w:color="BCBEC0"/>
            </w:tcBorders>
          </w:tcPr>
          <w:p>
            <w:pPr>
              <w:spacing w:after="0"/>
              <w:rPr>
                <w:sz w:val="2"/>
                <w:szCs w:val="2"/>
                <w:color w:val="auto"/>
              </w:rPr>
            </w:pPr>
          </w:p>
        </w:tc>
        <w:tc>
          <w:tcPr>
            <w:tcW w:w="1020" w:type="dxa"/>
            <w:vAlign w:val="bottom"/>
            <w:tcBorders>
              <w:bottom w:val="single" w:sz="8" w:color="BCBEC0"/>
            </w:tcBorders>
          </w:tcPr>
          <w:p>
            <w:pPr>
              <w:spacing w:after="0"/>
              <w:rPr>
                <w:sz w:val="2"/>
                <w:szCs w:val="2"/>
                <w:color w:val="auto"/>
              </w:rPr>
            </w:pPr>
          </w:p>
        </w:tc>
      </w:tr>
      <w:tr>
        <w:trPr>
          <w:trHeight w:val="184"/>
        </w:trPr>
        <w:tc>
          <w:tcPr>
            <w:tcW w:w="1920" w:type="dxa"/>
            <w:vAlign w:val="bottom"/>
          </w:tcPr>
          <w:p>
            <w:pPr>
              <w:spacing w:after="0"/>
              <w:rPr>
                <w:sz w:val="16"/>
                <w:szCs w:val="16"/>
                <w:color w:val="auto"/>
              </w:rPr>
            </w:pPr>
          </w:p>
        </w:tc>
        <w:tc>
          <w:tcPr>
            <w:tcW w:w="1340" w:type="dxa"/>
            <w:vAlign w:val="bottom"/>
          </w:tcPr>
          <w:p>
            <w:pPr>
              <w:jc w:val="right"/>
              <w:ind w:right="193"/>
              <w:spacing w:after="0"/>
              <w:rPr>
                <w:sz w:val="20"/>
                <w:szCs w:val="20"/>
                <w:color w:val="auto"/>
              </w:rPr>
            </w:pPr>
            <w:r>
              <w:rPr>
                <w:rFonts w:ascii="Arial" w:cs="Arial" w:eastAsia="Arial" w:hAnsi="Arial"/>
                <w:sz w:val="13"/>
                <w:szCs w:val="13"/>
                <w:color w:val="auto"/>
              </w:rPr>
              <w:t>1,248</w:t>
            </w: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760" w:type="dxa"/>
            <w:vAlign w:val="bottom"/>
          </w:tcPr>
          <w:p>
            <w:pPr>
              <w:spacing w:after="0"/>
              <w:rPr>
                <w:sz w:val="16"/>
                <w:szCs w:val="16"/>
                <w:color w:val="auto"/>
              </w:rPr>
            </w:pPr>
          </w:p>
        </w:tc>
        <w:tc>
          <w:tcPr>
            <w:tcW w:w="860" w:type="dxa"/>
            <w:vAlign w:val="bottom"/>
          </w:tcPr>
          <w:p>
            <w:pPr>
              <w:jc w:val="right"/>
              <w:ind w:right="273"/>
              <w:spacing w:after="0"/>
              <w:rPr>
                <w:sz w:val="20"/>
                <w:szCs w:val="20"/>
                <w:color w:val="auto"/>
              </w:rPr>
            </w:pPr>
            <w:r>
              <w:rPr>
                <w:rFonts w:ascii="Arial" w:cs="Arial" w:eastAsia="Arial" w:hAnsi="Arial"/>
                <w:sz w:val="13"/>
                <w:szCs w:val="13"/>
                <w:color w:val="auto"/>
              </w:rPr>
              <w:t>42.68</w:t>
            </w:r>
          </w:p>
        </w:tc>
        <w:tc>
          <w:tcPr>
            <w:tcW w:w="1120" w:type="dxa"/>
            <w:vAlign w:val="bottom"/>
          </w:tcPr>
          <w:p>
            <w:pPr>
              <w:jc w:val="right"/>
              <w:ind w:right="153"/>
              <w:spacing w:after="0"/>
              <w:rPr>
                <w:sz w:val="20"/>
                <w:szCs w:val="20"/>
                <w:color w:val="auto"/>
              </w:rPr>
            </w:pPr>
            <w:r>
              <w:rPr>
                <w:rFonts w:ascii="Arial" w:cs="Arial" w:eastAsia="Arial" w:hAnsi="Arial"/>
                <w:sz w:val="13"/>
                <w:szCs w:val="13"/>
                <w:color w:val="auto"/>
              </w:rPr>
              <w:t>3/1/2029</w:t>
            </w:r>
          </w:p>
        </w:tc>
        <w:tc>
          <w:tcPr>
            <w:tcW w:w="11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5"/>
        </w:trPr>
        <w:tc>
          <w:tcPr>
            <w:tcW w:w="1920" w:type="dxa"/>
            <w:vAlign w:val="bottom"/>
          </w:tcPr>
          <w:p>
            <w:pPr>
              <w:spacing w:after="0"/>
              <w:rPr>
                <w:sz w:val="2"/>
                <w:szCs w:val="2"/>
                <w:color w:val="auto"/>
              </w:rPr>
            </w:pPr>
          </w:p>
        </w:tc>
        <w:tc>
          <w:tcPr>
            <w:tcW w:w="1340" w:type="dxa"/>
            <w:vAlign w:val="bottom"/>
            <w:tcBorders>
              <w:bottom w:val="single" w:sz="8" w:color="BCBEC0"/>
            </w:tcBorders>
          </w:tcPr>
          <w:p>
            <w:pPr>
              <w:spacing w:after="0"/>
              <w:rPr>
                <w:sz w:val="2"/>
                <w:szCs w:val="2"/>
                <w:color w:val="auto"/>
              </w:rPr>
            </w:pPr>
          </w:p>
        </w:tc>
        <w:tc>
          <w:tcPr>
            <w:tcW w:w="660" w:type="dxa"/>
            <w:vAlign w:val="bottom"/>
            <w:tcBorders>
              <w:bottom w:val="single" w:sz="8" w:color="BCBEC0"/>
            </w:tcBorders>
          </w:tcPr>
          <w:p>
            <w:pPr>
              <w:spacing w:after="0"/>
              <w:rPr>
                <w:sz w:val="2"/>
                <w:szCs w:val="2"/>
                <w:color w:val="auto"/>
              </w:rPr>
            </w:pPr>
          </w:p>
        </w:tc>
        <w:tc>
          <w:tcPr>
            <w:tcW w:w="760" w:type="dxa"/>
            <w:vAlign w:val="bottom"/>
            <w:tcBorders>
              <w:bottom w:val="single" w:sz="8" w:color="BCBEC0"/>
            </w:tcBorders>
          </w:tcPr>
          <w:p>
            <w:pPr>
              <w:spacing w:after="0"/>
              <w:rPr>
                <w:sz w:val="2"/>
                <w:szCs w:val="2"/>
                <w:color w:val="auto"/>
              </w:rPr>
            </w:pPr>
          </w:p>
        </w:tc>
        <w:tc>
          <w:tcPr>
            <w:tcW w:w="860" w:type="dxa"/>
            <w:vAlign w:val="bottom"/>
            <w:tcBorders>
              <w:bottom w:val="single" w:sz="8" w:color="BCBEC0"/>
            </w:tcBorders>
          </w:tcPr>
          <w:p>
            <w:pPr>
              <w:spacing w:after="0"/>
              <w:rPr>
                <w:sz w:val="2"/>
                <w:szCs w:val="2"/>
                <w:color w:val="auto"/>
              </w:rPr>
            </w:pPr>
          </w:p>
        </w:tc>
        <w:tc>
          <w:tcPr>
            <w:tcW w:w="1120" w:type="dxa"/>
            <w:vAlign w:val="bottom"/>
            <w:tcBorders>
              <w:bottom w:val="single" w:sz="8" w:color="BCBEC0"/>
            </w:tcBorders>
          </w:tcPr>
          <w:p>
            <w:pPr>
              <w:spacing w:after="0"/>
              <w:rPr>
                <w:sz w:val="2"/>
                <w:szCs w:val="2"/>
                <w:color w:val="auto"/>
              </w:rPr>
            </w:pPr>
          </w:p>
        </w:tc>
        <w:tc>
          <w:tcPr>
            <w:tcW w:w="1140" w:type="dxa"/>
            <w:vAlign w:val="bottom"/>
            <w:tcBorders>
              <w:bottom w:val="single" w:sz="8" w:color="BCBEC0"/>
            </w:tcBorders>
          </w:tcPr>
          <w:p>
            <w:pPr>
              <w:spacing w:after="0"/>
              <w:rPr>
                <w:sz w:val="2"/>
                <w:szCs w:val="2"/>
                <w:color w:val="auto"/>
              </w:rPr>
            </w:pPr>
          </w:p>
        </w:tc>
        <w:tc>
          <w:tcPr>
            <w:tcW w:w="1440" w:type="dxa"/>
            <w:vAlign w:val="bottom"/>
            <w:tcBorders>
              <w:bottom w:val="single" w:sz="8" w:color="BCBEC0"/>
            </w:tcBorders>
          </w:tcPr>
          <w:p>
            <w:pPr>
              <w:spacing w:after="0"/>
              <w:rPr>
                <w:sz w:val="2"/>
                <w:szCs w:val="2"/>
                <w:color w:val="auto"/>
              </w:rPr>
            </w:pPr>
          </w:p>
        </w:tc>
        <w:tc>
          <w:tcPr>
            <w:tcW w:w="980" w:type="dxa"/>
            <w:vAlign w:val="bottom"/>
            <w:tcBorders>
              <w:bottom w:val="single" w:sz="8" w:color="BCBEC0"/>
            </w:tcBorders>
          </w:tcPr>
          <w:p>
            <w:pPr>
              <w:spacing w:after="0"/>
              <w:rPr>
                <w:sz w:val="2"/>
                <w:szCs w:val="2"/>
                <w:color w:val="auto"/>
              </w:rPr>
            </w:pPr>
          </w:p>
        </w:tc>
        <w:tc>
          <w:tcPr>
            <w:tcW w:w="1020" w:type="dxa"/>
            <w:vAlign w:val="bottom"/>
            <w:tcBorders>
              <w:bottom w:val="single" w:sz="8" w:color="BCBEC0"/>
            </w:tcBorders>
          </w:tcPr>
          <w:p>
            <w:pPr>
              <w:spacing w:after="0"/>
              <w:rPr>
                <w:sz w:val="2"/>
                <w:szCs w:val="2"/>
                <w:color w:val="auto"/>
              </w:rPr>
            </w:pPr>
          </w:p>
        </w:tc>
      </w:tr>
      <w:tr>
        <w:trPr>
          <w:trHeight w:val="184"/>
        </w:trPr>
        <w:tc>
          <w:tcPr>
            <w:tcW w:w="1920" w:type="dxa"/>
            <w:vAlign w:val="bottom"/>
          </w:tcPr>
          <w:p>
            <w:pPr>
              <w:spacing w:after="0"/>
              <w:rPr>
                <w:sz w:val="16"/>
                <w:szCs w:val="16"/>
                <w:color w:val="auto"/>
              </w:rPr>
            </w:pPr>
          </w:p>
        </w:tc>
        <w:tc>
          <w:tcPr>
            <w:tcW w:w="1340" w:type="dxa"/>
            <w:vAlign w:val="bottom"/>
          </w:tcPr>
          <w:p>
            <w:pPr>
              <w:jc w:val="right"/>
              <w:ind w:right="193"/>
              <w:spacing w:after="0"/>
              <w:rPr>
                <w:sz w:val="20"/>
                <w:szCs w:val="20"/>
                <w:color w:val="auto"/>
              </w:rPr>
            </w:pPr>
            <w:r>
              <w:rPr>
                <w:rFonts w:ascii="Arial" w:cs="Arial" w:eastAsia="Arial" w:hAnsi="Arial"/>
                <w:sz w:val="13"/>
                <w:szCs w:val="13"/>
                <w:color w:val="auto"/>
              </w:rPr>
              <w:t>2,745</w:t>
            </w: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760" w:type="dxa"/>
            <w:vAlign w:val="bottom"/>
          </w:tcPr>
          <w:p>
            <w:pPr>
              <w:spacing w:after="0"/>
              <w:rPr>
                <w:sz w:val="16"/>
                <w:szCs w:val="16"/>
                <w:color w:val="auto"/>
              </w:rPr>
            </w:pPr>
          </w:p>
        </w:tc>
        <w:tc>
          <w:tcPr>
            <w:tcW w:w="860" w:type="dxa"/>
            <w:vAlign w:val="bottom"/>
          </w:tcPr>
          <w:p>
            <w:pPr>
              <w:jc w:val="right"/>
              <w:ind w:right="273"/>
              <w:spacing w:after="0"/>
              <w:rPr>
                <w:sz w:val="20"/>
                <w:szCs w:val="20"/>
                <w:color w:val="auto"/>
              </w:rPr>
            </w:pPr>
            <w:r>
              <w:rPr>
                <w:rFonts w:ascii="Arial" w:cs="Arial" w:eastAsia="Arial" w:hAnsi="Arial"/>
                <w:sz w:val="13"/>
                <w:szCs w:val="13"/>
                <w:color w:val="auto"/>
              </w:rPr>
              <w:t>41.08</w:t>
            </w:r>
          </w:p>
        </w:tc>
        <w:tc>
          <w:tcPr>
            <w:tcW w:w="1120" w:type="dxa"/>
            <w:vAlign w:val="bottom"/>
          </w:tcPr>
          <w:p>
            <w:pPr>
              <w:jc w:val="right"/>
              <w:ind w:right="153"/>
              <w:spacing w:after="0"/>
              <w:rPr>
                <w:sz w:val="20"/>
                <w:szCs w:val="20"/>
                <w:color w:val="auto"/>
              </w:rPr>
            </w:pPr>
            <w:r>
              <w:rPr>
                <w:rFonts w:ascii="Arial" w:cs="Arial" w:eastAsia="Arial" w:hAnsi="Arial"/>
                <w:sz w:val="13"/>
                <w:szCs w:val="13"/>
                <w:color w:val="auto"/>
              </w:rPr>
              <w:t>3/2/2030</w:t>
            </w:r>
          </w:p>
        </w:tc>
        <w:tc>
          <w:tcPr>
            <w:tcW w:w="11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5"/>
        </w:trPr>
        <w:tc>
          <w:tcPr>
            <w:tcW w:w="1920" w:type="dxa"/>
            <w:vAlign w:val="bottom"/>
          </w:tcPr>
          <w:p>
            <w:pPr>
              <w:spacing w:after="0"/>
              <w:rPr>
                <w:sz w:val="2"/>
                <w:szCs w:val="2"/>
                <w:color w:val="auto"/>
              </w:rPr>
            </w:pPr>
          </w:p>
        </w:tc>
        <w:tc>
          <w:tcPr>
            <w:tcW w:w="1340" w:type="dxa"/>
            <w:vAlign w:val="bottom"/>
            <w:tcBorders>
              <w:bottom w:val="single" w:sz="8" w:color="BCBEC0"/>
            </w:tcBorders>
          </w:tcPr>
          <w:p>
            <w:pPr>
              <w:spacing w:after="0"/>
              <w:rPr>
                <w:sz w:val="2"/>
                <w:szCs w:val="2"/>
                <w:color w:val="auto"/>
              </w:rPr>
            </w:pPr>
          </w:p>
        </w:tc>
        <w:tc>
          <w:tcPr>
            <w:tcW w:w="660" w:type="dxa"/>
            <w:vAlign w:val="bottom"/>
            <w:tcBorders>
              <w:bottom w:val="single" w:sz="8" w:color="BCBEC0"/>
            </w:tcBorders>
          </w:tcPr>
          <w:p>
            <w:pPr>
              <w:spacing w:after="0"/>
              <w:rPr>
                <w:sz w:val="2"/>
                <w:szCs w:val="2"/>
                <w:color w:val="auto"/>
              </w:rPr>
            </w:pPr>
          </w:p>
        </w:tc>
        <w:tc>
          <w:tcPr>
            <w:tcW w:w="760" w:type="dxa"/>
            <w:vAlign w:val="bottom"/>
            <w:tcBorders>
              <w:bottom w:val="single" w:sz="8" w:color="BCBEC0"/>
            </w:tcBorders>
          </w:tcPr>
          <w:p>
            <w:pPr>
              <w:spacing w:after="0"/>
              <w:rPr>
                <w:sz w:val="2"/>
                <w:szCs w:val="2"/>
                <w:color w:val="auto"/>
              </w:rPr>
            </w:pPr>
          </w:p>
        </w:tc>
        <w:tc>
          <w:tcPr>
            <w:tcW w:w="860" w:type="dxa"/>
            <w:vAlign w:val="bottom"/>
            <w:tcBorders>
              <w:bottom w:val="single" w:sz="8" w:color="BCBEC0"/>
            </w:tcBorders>
          </w:tcPr>
          <w:p>
            <w:pPr>
              <w:spacing w:after="0"/>
              <w:rPr>
                <w:sz w:val="2"/>
                <w:szCs w:val="2"/>
                <w:color w:val="auto"/>
              </w:rPr>
            </w:pPr>
          </w:p>
        </w:tc>
        <w:tc>
          <w:tcPr>
            <w:tcW w:w="1120" w:type="dxa"/>
            <w:vAlign w:val="bottom"/>
            <w:tcBorders>
              <w:bottom w:val="single" w:sz="8" w:color="BCBEC0"/>
            </w:tcBorders>
          </w:tcPr>
          <w:p>
            <w:pPr>
              <w:spacing w:after="0"/>
              <w:rPr>
                <w:sz w:val="2"/>
                <w:szCs w:val="2"/>
                <w:color w:val="auto"/>
              </w:rPr>
            </w:pPr>
          </w:p>
        </w:tc>
        <w:tc>
          <w:tcPr>
            <w:tcW w:w="1140" w:type="dxa"/>
            <w:vAlign w:val="bottom"/>
            <w:tcBorders>
              <w:bottom w:val="single" w:sz="8" w:color="BCBEC0"/>
            </w:tcBorders>
          </w:tcPr>
          <w:p>
            <w:pPr>
              <w:spacing w:after="0"/>
              <w:rPr>
                <w:sz w:val="2"/>
                <w:szCs w:val="2"/>
                <w:color w:val="auto"/>
              </w:rPr>
            </w:pPr>
          </w:p>
        </w:tc>
        <w:tc>
          <w:tcPr>
            <w:tcW w:w="1440" w:type="dxa"/>
            <w:vAlign w:val="bottom"/>
            <w:tcBorders>
              <w:bottom w:val="single" w:sz="8" w:color="BCBEC0"/>
            </w:tcBorders>
          </w:tcPr>
          <w:p>
            <w:pPr>
              <w:spacing w:after="0"/>
              <w:rPr>
                <w:sz w:val="2"/>
                <w:szCs w:val="2"/>
                <w:color w:val="auto"/>
              </w:rPr>
            </w:pPr>
          </w:p>
        </w:tc>
        <w:tc>
          <w:tcPr>
            <w:tcW w:w="980" w:type="dxa"/>
            <w:vAlign w:val="bottom"/>
            <w:tcBorders>
              <w:bottom w:val="single" w:sz="8" w:color="BCBEC0"/>
            </w:tcBorders>
          </w:tcPr>
          <w:p>
            <w:pPr>
              <w:spacing w:after="0"/>
              <w:rPr>
                <w:sz w:val="2"/>
                <w:szCs w:val="2"/>
                <w:color w:val="auto"/>
              </w:rPr>
            </w:pPr>
          </w:p>
        </w:tc>
        <w:tc>
          <w:tcPr>
            <w:tcW w:w="1020" w:type="dxa"/>
            <w:vAlign w:val="bottom"/>
            <w:tcBorders>
              <w:bottom w:val="single" w:sz="8" w:color="BCBEC0"/>
            </w:tcBorders>
          </w:tcPr>
          <w:p>
            <w:pPr>
              <w:spacing w:after="0"/>
              <w:rPr>
                <w:sz w:val="2"/>
                <w:szCs w:val="2"/>
                <w:color w:val="auto"/>
              </w:rPr>
            </w:pPr>
          </w:p>
        </w:tc>
      </w:tr>
      <w:tr>
        <w:trPr>
          <w:trHeight w:val="184"/>
        </w:trPr>
        <w:tc>
          <w:tcPr>
            <w:tcW w:w="1920" w:type="dxa"/>
            <w:vAlign w:val="bottom"/>
          </w:tcPr>
          <w:p>
            <w:pPr>
              <w:spacing w:after="0"/>
              <w:rPr>
                <w:sz w:val="16"/>
                <w:szCs w:val="16"/>
                <w:color w:val="auto"/>
              </w:rPr>
            </w:pPr>
          </w:p>
        </w:tc>
        <w:tc>
          <w:tcPr>
            <w:tcW w:w="1340" w:type="dxa"/>
            <w:vAlign w:val="bottom"/>
          </w:tcPr>
          <w:p>
            <w:pPr>
              <w:jc w:val="right"/>
              <w:ind w:right="193"/>
              <w:spacing w:after="0"/>
              <w:rPr>
                <w:sz w:val="20"/>
                <w:szCs w:val="20"/>
                <w:color w:val="auto"/>
              </w:rPr>
            </w:pPr>
            <w:r>
              <w:rPr>
                <w:rFonts w:ascii="Arial" w:cs="Arial" w:eastAsia="Arial" w:hAnsi="Arial"/>
                <w:sz w:val="13"/>
                <w:szCs w:val="13"/>
                <w:color w:val="auto"/>
              </w:rPr>
              <w:t>2,572</w:t>
            </w: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760" w:type="dxa"/>
            <w:vAlign w:val="bottom"/>
          </w:tcPr>
          <w:p>
            <w:pPr>
              <w:spacing w:after="0"/>
              <w:rPr>
                <w:sz w:val="16"/>
                <w:szCs w:val="16"/>
                <w:color w:val="auto"/>
              </w:rPr>
            </w:pPr>
          </w:p>
        </w:tc>
        <w:tc>
          <w:tcPr>
            <w:tcW w:w="860" w:type="dxa"/>
            <w:vAlign w:val="bottom"/>
          </w:tcPr>
          <w:p>
            <w:pPr>
              <w:jc w:val="right"/>
              <w:ind w:right="273"/>
              <w:spacing w:after="0"/>
              <w:rPr>
                <w:sz w:val="20"/>
                <w:szCs w:val="20"/>
                <w:color w:val="auto"/>
              </w:rPr>
            </w:pPr>
            <w:r>
              <w:rPr>
                <w:rFonts w:ascii="Arial" w:cs="Arial" w:eastAsia="Arial" w:hAnsi="Arial"/>
                <w:sz w:val="13"/>
                <w:szCs w:val="13"/>
                <w:color w:val="auto"/>
              </w:rPr>
              <w:t>58.28</w:t>
            </w:r>
          </w:p>
        </w:tc>
        <w:tc>
          <w:tcPr>
            <w:tcW w:w="1120" w:type="dxa"/>
            <w:vAlign w:val="bottom"/>
          </w:tcPr>
          <w:p>
            <w:pPr>
              <w:jc w:val="right"/>
              <w:ind w:right="153"/>
              <w:spacing w:after="0"/>
              <w:rPr>
                <w:sz w:val="20"/>
                <w:szCs w:val="20"/>
                <w:color w:val="auto"/>
              </w:rPr>
            </w:pPr>
            <w:r>
              <w:rPr>
                <w:rFonts w:ascii="Arial" w:cs="Arial" w:eastAsia="Arial" w:hAnsi="Arial"/>
                <w:sz w:val="13"/>
                <w:szCs w:val="13"/>
                <w:color w:val="auto"/>
              </w:rPr>
              <w:t>3/1/2031</w:t>
            </w:r>
          </w:p>
        </w:tc>
        <w:tc>
          <w:tcPr>
            <w:tcW w:w="11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5"/>
        </w:trPr>
        <w:tc>
          <w:tcPr>
            <w:tcW w:w="1920" w:type="dxa"/>
            <w:vAlign w:val="bottom"/>
          </w:tcPr>
          <w:p>
            <w:pPr>
              <w:spacing w:after="0"/>
              <w:rPr>
                <w:sz w:val="2"/>
                <w:szCs w:val="2"/>
                <w:color w:val="auto"/>
              </w:rPr>
            </w:pPr>
          </w:p>
        </w:tc>
        <w:tc>
          <w:tcPr>
            <w:tcW w:w="1340" w:type="dxa"/>
            <w:vAlign w:val="bottom"/>
            <w:tcBorders>
              <w:bottom w:val="single" w:sz="8" w:color="BCBEC0"/>
            </w:tcBorders>
          </w:tcPr>
          <w:p>
            <w:pPr>
              <w:spacing w:after="0"/>
              <w:rPr>
                <w:sz w:val="2"/>
                <w:szCs w:val="2"/>
                <w:color w:val="auto"/>
              </w:rPr>
            </w:pPr>
          </w:p>
        </w:tc>
        <w:tc>
          <w:tcPr>
            <w:tcW w:w="660" w:type="dxa"/>
            <w:vAlign w:val="bottom"/>
            <w:tcBorders>
              <w:bottom w:val="single" w:sz="8" w:color="BCBEC0"/>
            </w:tcBorders>
          </w:tcPr>
          <w:p>
            <w:pPr>
              <w:spacing w:after="0"/>
              <w:rPr>
                <w:sz w:val="2"/>
                <w:szCs w:val="2"/>
                <w:color w:val="auto"/>
              </w:rPr>
            </w:pPr>
          </w:p>
        </w:tc>
        <w:tc>
          <w:tcPr>
            <w:tcW w:w="760" w:type="dxa"/>
            <w:vAlign w:val="bottom"/>
            <w:tcBorders>
              <w:bottom w:val="single" w:sz="8" w:color="BCBEC0"/>
            </w:tcBorders>
          </w:tcPr>
          <w:p>
            <w:pPr>
              <w:spacing w:after="0"/>
              <w:rPr>
                <w:sz w:val="2"/>
                <w:szCs w:val="2"/>
                <w:color w:val="auto"/>
              </w:rPr>
            </w:pPr>
          </w:p>
        </w:tc>
        <w:tc>
          <w:tcPr>
            <w:tcW w:w="860" w:type="dxa"/>
            <w:vAlign w:val="bottom"/>
            <w:tcBorders>
              <w:bottom w:val="single" w:sz="8" w:color="BCBEC0"/>
            </w:tcBorders>
          </w:tcPr>
          <w:p>
            <w:pPr>
              <w:spacing w:after="0"/>
              <w:rPr>
                <w:sz w:val="2"/>
                <w:szCs w:val="2"/>
                <w:color w:val="auto"/>
              </w:rPr>
            </w:pPr>
          </w:p>
        </w:tc>
        <w:tc>
          <w:tcPr>
            <w:tcW w:w="1120" w:type="dxa"/>
            <w:vAlign w:val="bottom"/>
            <w:tcBorders>
              <w:bottom w:val="single" w:sz="8" w:color="BCBEC0"/>
            </w:tcBorders>
          </w:tcPr>
          <w:p>
            <w:pPr>
              <w:spacing w:after="0"/>
              <w:rPr>
                <w:sz w:val="2"/>
                <w:szCs w:val="2"/>
                <w:color w:val="auto"/>
              </w:rPr>
            </w:pPr>
          </w:p>
        </w:tc>
        <w:tc>
          <w:tcPr>
            <w:tcW w:w="1140" w:type="dxa"/>
            <w:vAlign w:val="bottom"/>
            <w:tcBorders>
              <w:bottom w:val="single" w:sz="8" w:color="BCBEC0"/>
            </w:tcBorders>
          </w:tcPr>
          <w:p>
            <w:pPr>
              <w:spacing w:after="0"/>
              <w:rPr>
                <w:sz w:val="2"/>
                <w:szCs w:val="2"/>
                <w:color w:val="auto"/>
              </w:rPr>
            </w:pPr>
          </w:p>
        </w:tc>
        <w:tc>
          <w:tcPr>
            <w:tcW w:w="1440" w:type="dxa"/>
            <w:vAlign w:val="bottom"/>
            <w:tcBorders>
              <w:bottom w:val="single" w:sz="8" w:color="BCBEC0"/>
            </w:tcBorders>
          </w:tcPr>
          <w:p>
            <w:pPr>
              <w:spacing w:after="0"/>
              <w:rPr>
                <w:sz w:val="2"/>
                <w:szCs w:val="2"/>
                <w:color w:val="auto"/>
              </w:rPr>
            </w:pPr>
          </w:p>
        </w:tc>
        <w:tc>
          <w:tcPr>
            <w:tcW w:w="980" w:type="dxa"/>
            <w:vAlign w:val="bottom"/>
            <w:tcBorders>
              <w:bottom w:val="single" w:sz="8" w:color="BCBEC0"/>
            </w:tcBorders>
          </w:tcPr>
          <w:p>
            <w:pPr>
              <w:spacing w:after="0"/>
              <w:rPr>
                <w:sz w:val="2"/>
                <w:szCs w:val="2"/>
                <w:color w:val="auto"/>
              </w:rPr>
            </w:pPr>
          </w:p>
        </w:tc>
        <w:tc>
          <w:tcPr>
            <w:tcW w:w="1020" w:type="dxa"/>
            <w:vAlign w:val="bottom"/>
            <w:tcBorders>
              <w:bottom w:val="single" w:sz="8" w:color="BCBEC0"/>
            </w:tcBorders>
          </w:tcPr>
          <w:p>
            <w:pPr>
              <w:spacing w:after="0"/>
              <w:rPr>
                <w:sz w:val="2"/>
                <w:szCs w:val="2"/>
                <w:color w:val="auto"/>
              </w:rPr>
            </w:pPr>
          </w:p>
        </w:tc>
      </w:tr>
      <w:tr>
        <w:trPr>
          <w:trHeight w:val="184"/>
        </w:trPr>
        <w:tc>
          <w:tcPr>
            <w:tcW w:w="1920" w:type="dxa"/>
            <w:vAlign w:val="bottom"/>
          </w:tcPr>
          <w:p>
            <w:pPr>
              <w:spacing w:after="0"/>
              <w:rPr>
                <w:sz w:val="16"/>
                <w:szCs w:val="16"/>
                <w:color w:val="auto"/>
              </w:rPr>
            </w:pPr>
          </w:p>
        </w:tc>
        <w:tc>
          <w:tcPr>
            <w:tcW w:w="1340" w:type="dxa"/>
            <w:vAlign w:val="bottom"/>
          </w:tcPr>
          <w:p>
            <w:pPr>
              <w:jc w:val="right"/>
              <w:ind w:right="193"/>
              <w:spacing w:after="0"/>
              <w:rPr>
                <w:sz w:val="20"/>
                <w:szCs w:val="20"/>
                <w:color w:val="auto"/>
              </w:rPr>
            </w:pPr>
            <w:r>
              <w:rPr>
                <w:rFonts w:ascii="Arial" w:cs="Arial" w:eastAsia="Arial" w:hAnsi="Arial"/>
                <w:sz w:val="13"/>
                <w:szCs w:val="13"/>
                <w:color w:val="auto"/>
              </w:rPr>
              <w:t>4,915</w:t>
            </w: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760" w:type="dxa"/>
            <w:vAlign w:val="bottom"/>
          </w:tcPr>
          <w:p>
            <w:pPr>
              <w:spacing w:after="0"/>
              <w:rPr>
                <w:sz w:val="16"/>
                <w:szCs w:val="16"/>
                <w:color w:val="auto"/>
              </w:rPr>
            </w:pPr>
          </w:p>
        </w:tc>
        <w:tc>
          <w:tcPr>
            <w:tcW w:w="860" w:type="dxa"/>
            <w:vAlign w:val="bottom"/>
          </w:tcPr>
          <w:p>
            <w:pPr>
              <w:jc w:val="right"/>
              <w:ind w:right="273"/>
              <w:spacing w:after="0"/>
              <w:rPr>
                <w:sz w:val="20"/>
                <w:szCs w:val="20"/>
                <w:color w:val="auto"/>
              </w:rPr>
            </w:pPr>
            <w:r>
              <w:rPr>
                <w:rFonts w:ascii="Arial" w:cs="Arial" w:eastAsia="Arial" w:hAnsi="Arial"/>
                <w:sz w:val="13"/>
                <w:szCs w:val="13"/>
                <w:color w:val="auto"/>
              </w:rPr>
              <w:t>56.04</w:t>
            </w:r>
          </w:p>
        </w:tc>
        <w:tc>
          <w:tcPr>
            <w:tcW w:w="1120" w:type="dxa"/>
            <w:vAlign w:val="bottom"/>
          </w:tcPr>
          <w:p>
            <w:pPr>
              <w:jc w:val="right"/>
              <w:ind w:right="153"/>
              <w:spacing w:after="0"/>
              <w:rPr>
                <w:sz w:val="20"/>
                <w:szCs w:val="20"/>
                <w:color w:val="auto"/>
              </w:rPr>
            </w:pPr>
            <w:r>
              <w:rPr>
                <w:rFonts w:ascii="Arial" w:cs="Arial" w:eastAsia="Arial" w:hAnsi="Arial"/>
                <w:sz w:val="13"/>
                <w:szCs w:val="13"/>
                <w:color w:val="auto"/>
              </w:rPr>
              <w:t>3/1/2032</w:t>
            </w:r>
          </w:p>
        </w:tc>
        <w:tc>
          <w:tcPr>
            <w:tcW w:w="11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5"/>
        </w:trPr>
        <w:tc>
          <w:tcPr>
            <w:tcW w:w="1920" w:type="dxa"/>
            <w:vAlign w:val="bottom"/>
          </w:tcPr>
          <w:p>
            <w:pPr>
              <w:spacing w:after="0"/>
              <w:rPr>
                <w:sz w:val="2"/>
                <w:szCs w:val="2"/>
                <w:color w:val="auto"/>
              </w:rPr>
            </w:pPr>
          </w:p>
        </w:tc>
        <w:tc>
          <w:tcPr>
            <w:tcW w:w="1340" w:type="dxa"/>
            <w:vAlign w:val="bottom"/>
            <w:tcBorders>
              <w:bottom w:val="single" w:sz="8" w:color="BCBEC0"/>
            </w:tcBorders>
          </w:tcPr>
          <w:p>
            <w:pPr>
              <w:spacing w:after="0"/>
              <w:rPr>
                <w:sz w:val="2"/>
                <w:szCs w:val="2"/>
                <w:color w:val="auto"/>
              </w:rPr>
            </w:pPr>
          </w:p>
        </w:tc>
        <w:tc>
          <w:tcPr>
            <w:tcW w:w="660" w:type="dxa"/>
            <w:vAlign w:val="bottom"/>
            <w:tcBorders>
              <w:bottom w:val="single" w:sz="8" w:color="BCBEC0"/>
            </w:tcBorders>
          </w:tcPr>
          <w:p>
            <w:pPr>
              <w:spacing w:after="0"/>
              <w:rPr>
                <w:sz w:val="2"/>
                <w:szCs w:val="2"/>
                <w:color w:val="auto"/>
              </w:rPr>
            </w:pPr>
          </w:p>
        </w:tc>
        <w:tc>
          <w:tcPr>
            <w:tcW w:w="760" w:type="dxa"/>
            <w:vAlign w:val="bottom"/>
            <w:tcBorders>
              <w:bottom w:val="single" w:sz="8" w:color="BCBEC0"/>
            </w:tcBorders>
          </w:tcPr>
          <w:p>
            <w:pPr>
              <w:spacing w:after="0"/>
              <w:rPr>
                <w:sz w:val="2"/>
                <w:szCs w:val="2"/>
                <w:color w:val="auto"/>
              </w:rPr>
            </w:pPr>
          </w:p>
        </w:tc>
        <w:tc>
          <w:tcPr>
            <w:tcW w:w="860" w:type="dxa"/>
            <w:vAlign w:val="bottom"/>
            <w:tcBorders>
              <w:bottom w:val="single" w:sz="8" w:color="BCBEC0"/>
            </w:tcBorders>
          </w:tcPr>
          <w:p>
            <w:pPr>
              <w:spacing w:after="0"/>
              <w:rPr>
                <w:sz w:val="2"/>
                <w:szCs w:val="2"/>
                <w:color w:val="auto"/>
              </w:rPr>
            </w:pPr>
          </w:p>
        </w:tc>
        <w:tc>
          <w:tcPr>
            <w:tcW w:w="1120" w:type="dxa"/>
            <w:vAlign w:val="bottom"/>
            <w:tcBorders>
              <w:bottom w:val="single" w:sz="8" w:color="BCBEC0"/>
            </w:tcBorders>
          </w:tcPr>
          <w:p>
            <w:pPr>
              <w:spacing w:after="0"/>
              <w:rPr>
                <w:sz w:val="2"/>
                <w:szCs w:val="2"/>
                <w:color w:val="auto"/>
              </w:rPr>
            </w:pPr>
          </w:p>
        </w:tc>
        <w:tc>
          <w:tcPr>
            <w:tcW w:w="1140" w:type="dxa"/>
            <w:vAlign w:val="bottom"/>
            <w:tcBorders>
              <w:bottom w:val="single" w:sz="8" w:color="BCBEC0"/>
            </w:tcBorders>
          </w:tcPr>
          <w:p>
            <w:pPr>
              <w:spacing w:after="0"/>
              <w:rPr>
                <w:sz w:val="2"/>
                <w:szCs w:val="2"/>
                <w:color w:val="auto"/>
              </w:rPr>
            </w:pPr>
          </w:p>
        </w:tc>
        <w:tc>
          <w:tcPr>
            <w:tcW w:w="1440" w:type="dxa"/>
            <w:vAlign w:val="bottom"/>
            <w:tcBorders>
              <w:bottom w:val="single" w:sz="8" w:color="BCBEC0"/>
            </w:tcBorders>
          </w:tcPr>
          <w:p>
            <w:pPr>
              <w:spacing w:after="0"/>
              <w:rPr>
                <w:sz w:val="2"/>
                <w:szCs w:val="2"/>
                <w:color w:val="auto"/>
              </w:rPr>
            </w:pPr>
          </w:p>
        </w:tc>
        <w:tc>
          <w:tcPr>
            <w:tcW w:w="980" w:type="dxa"/>
            <w:vAlign w:val="bottom"/>
            <w:tcBorders>
              <w:bottom w:val="single" w:sz="8" w:color="BCBEC0"/>
            </w:tcBorders>
          </w:tcPr>
          <w:p>
            <w:pPr>
              <w:spacing w:after="0"/>
              <w:rPr>
                <w:sz w:val="2"/>
                <w:szCs w:val="2"/>
                <w:color w:val="auto"/>
              </w:rPr>
            </w:pPr>
          </w:p>
        </w:tc>
        <w:tc>
          <w:tcPr>
            <w:tcW w:w="1020" w:type="dxa"/>
            <w:vAlign w:val="bottom"/>
            <w:tcBorders>
              <w:bottom w:val="single" w:sz="8" w:color="BCBEC0"/>
            </w:tcBorders>
          </w:tcPr>
          <w:p>
            <w:pPr>
              <w:spacing w:after="0"/>
              <w:rPr>
                <w:sz w:val="2"/>
                <w:szCs w:val="2"/>
                <w:color w:val="auto"/>
              </w:rPr>
            </w:pPr>
          </w:p>
        </w:tc>
      </w:tr>
      <w:tr>
        <w:trPr>
          <w:trHeight w:val="184"/>
        </w:trPr>
        <w:tc>
          <w:tcPr>
            <w:tcW w:w="1920" w:type="dxa"/>
            <w:vAlign w:val="bottom"/>
          </w:tcPr>
          <w:p>
            <w:pPr>
              <w:spacing w:after="0"/>
              <w:rPr>
                <w:sz w:val="16"/>
                <w:szCs w:val="16"/>
                <w:color w:val="auto"/>
              </w:rPr>
            </w:pPr>
          </w:p>
        </w:tc>
        <w:tc>
          <w:tcPr>
            <w:tcW w:w="1340" w:type="dxa"/>
            <w:vAlign w:val="bottom"/>
          </w:tcPr>
          <w:p>
            <w:pPr>
              <w:jc w:val="right"/>
              <w:ind w:right="193"/>
              <w:spacing w:after="0"/>
              <w:rPr>
                <w:sz w:val="20"/>
                <w:szCs w:val="20"/>
                <w:color w:val="auto"/>
              </w:rPr>
            </w:pPr>
            <w:r>
              <w:rPr>
                <w:rFonts w:ascii="Arial" w:cs="Arial" w:eastAsia="Arial" w:hAnsi="Arial"/>
                <w:sz w:val="13"/>
                <w:szCs w:val="13"/>
                <w:color w:val="auto"/>
              </w:rPr>
              <w:t>12,444</w:t>
            </w:r>
          </w:p>
        </w:tc>
        <w:tc>
          <w:tcPr>
            <w:tcW w:w="660" w:type="dxa"/>
            <w:vAlign w:val="bottom"/>
          </w:tcPr>
          <w:p>
            <w:pPr>
              <w:jc w:val="right"/>
              <w:spacing w:after="0"/>
              <w:rPr>
                <w:sz w:val="20"/>
                <w:szCs w:val="20"/>
                <w:color w:val="auto"/>
              </w:rPr>
            </w:pPr>
            <w:r>
              <w:rPr>
                <w:rFonts w:ascii="Arial" w:cs="Arial" w:eastAsia="Arial" w:hAnsi="Arial"/>
                <w:sz w:val="13"/>
                <w:szCs w:val="13"/>
                <w:color w:val="auto"/>
              </w:rPr>
              <w:t>6,223</w:t>
            </w:r>
          </w:p>
        </w:tc>
        <w:tc>
          <w:tcPr>
            <w:tcW w:w="760" w:type="dxa"/>
            <w:vAlign w:val="bottom"/>
          </w:tcPr>
          <w:p>
            <w:pPr>
              <w:jc w:val="center"/>
              <w:ind w:right="433"/>
              <w:spacing w:after="0"/>
              <w:rPr>
                <w:sz w:val="20"/>
                <w:szCs w:val="20"/>
                <w:color w:val="auto"/>
              </w:rPr>
            </w:pPr>
            <w:r>
              <w:rPr>
                <w:rFonts w:ascii="Arial" w:cs="Arial" w:eastAsia="Arial" w:hAnsi="Arial"/>
                <w:sz w:val="13"/>
                <w:szCs w:val="13"/>
                <w:color w:val="auto"/>
              </w:rPr>
              <w:t>(6)</w:t>
            </w:r>
          </w:p>
        </w:tc>
        <w:tc>
          <w:tcPr>
            <w:tcW w:w="860" w:type="dxa"/>
            <w:vAlign w:val="bottom"/>
          </w:tcPr>
          <w:p>
            <w:pPr>
              <w:jc w:val="right"/>
              <w:ind w:right="273"/>
              <w:spacing w:after="0"/>
              <w:rPr>
                <w:sz w:val="20"/>
                <w:szCs w:val="20"/>
                <w:color w:val="auto"/>
              </w:rPr>
            </w:pPr>
            <w:r>
              <w:rPr>
                <w:rFonts w:ascii="Arial" w:cs="Arial" w:eastAsia="Arial" w:hAnsi="Arial"/>
                <w:sz w:val="13"/>
                <w:szCs w:val="13"/>
                <w:color w:val="auto"/>
              </w:rPr>
              <w:t>45.20</w:t>
            </w:r>
          </w:p>
        </w:tc>
        <w:tc>
          <w:tcPr>
            <w:tcW w:w="1120" w:type="dxa"/>
            <w:vAlign w:val="bottom"/>
          </w:tcPr>
          <w:p>
            <w:pPr>
              <w:jc w:val="right"/>
              <w:ind w:right="153"/>
              <w:spacing w:after="0"/>
              <w:rPr>
                <w:sz w:val="20"/>
                <w:szCs w:val="20"/>
                <w:color w:val="auto"/>
              </w:rPr>
            </w:pPr>
            <w:r>
              <w:rPr>
                <w:rFonts w:ascii="Arial" w:cs="Arial" w:eastAsia="Arial" w:hAnsi="Arial"/>
                <w:sz w:val="13"/>
                <w:szCs w:val="13"/>
                <w:color w:val="auto"/>
              </w:rPr>
              <w:t>1/3/2033</w:t>
            </w:r>
          </w:p>
        </w:tc>
        <w:tc>
          <w:tcPr>
            <w:tcW w:w="11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5"/>
        </w:trPr>
        <w:tc>
          <w:tcPr>
            <w:tcW w:w="1920" w:type="dxa"/>
            <w:vAlign w:val="bottom"/>
          </w:tcPr>
          <w:p>
            <w:pPr>
              <w:spacing w:after="0"/>
              <w:rPr>
                <w:sz w:val="2"/>
                <w:szCs w:val="2"/>
                <w:color w:val="auto"/>
              </w:rPr>
            </w:pPr>
          </w:p>
        </w:tc>
        <w:tc>
          <w:tcPr>
            <w:tcW w:w="1340" w:type="dxa"/>
            <w:vAlign w:val="bottom"/>
            <w:tcBorders>
              <w:bottom w:val="single" w:sz="8" w:color="BCBEC0"/>
            </w:tcBorders>
          </w:tcPr>
          <w:p>
            <w:pPr>
              <w:spacing w:after="0"/>
              <w:rPr>
                <w:sz w:val="2"/>
                <w:szCs w:val="2"/>
                <w:color w:val="auto"/>
              </w:rPr>
            </w:pPr>
          </w:p>
        </w:tc>
        <w:tc>
          <w:tcPr>
            <w:tcW w:w="660" w:type="dxa"/>
            <w:vAlign w:val="bottom"/>
            <w:tcBorders>
              <w:bottom w:val="single" w:sz="8" w:color="BCBEC0"/>
            </w:tcBorders>
          </w:tcPr>
          <w:p>
            <w:pPr>
              <w:spacing w:after="0"/>
              <w:rPr>
                <w:sz w:val="2"/>
                <w:szCs w:val="2"/>
                <w:color w:val="auto"/>
              </w:rPr>
            </w:pPr>
          </w:p>
        </w:tc>
        <w:tc>
          <w:tcPr>
            <w:tcW w:w="760" w:type="dxa"/>
            <w:vAlign w:val="bottom"/>
            <w:tcBorders>
              <w:bottom w:val="single" w:sz="8" w:color="BCBEC0"/>
            </w:tcBorders>
          </w:tcPr>
          <w:p>
            <w:pPr>
              <w:spacing w:after="0"/>
              <w:rPr>
                <w:sz w:val="2"/>
                <w:szCs w:val="2"/>
                <w:color w:val="auto"/>
              </w:rPr>
            </w:pPr>
          </w:p>
        </w:tc>
        <w:tc>
          <w:tcPr>
            <w:tcW w:w="860" w:type="dxa"/>
            <w:vAlign w:val="bottom"/>
            <w:tcBorders>
              <w:bottom w:val="single" w:sz="8" w:color="BCBEC0"/>
            </w:tcBorders>
          </w:tcPr>
          <w:p>
            <w:pPr>
              <w:spacing w:after="0"/>
              <w:rPr>
                <w:sz w:val="2"/>
                <w:szCs w:val="2"/>
                <w:color w:val="auto"/>
              </w:rPr>
            </w:pPr>
          </w:p>
        </w:tc>
        <w:tc>
          <w:tcPr>
            <w:tcW w:w="1120" w:type="dxa"/>
            <w:vAlign w:val="bottom"/>
            <w:tcBorders>
              <w:bottom w:val="single" w:sz="8" w:color="BCBEC0"/>
            </w:tcBorders>
          </w:tcPr>
          <w:p>
            <w:pPr>
              <w:spacing w:after="0"/>
              <w:rPr>
                <w:sz w:val="2"/>
                <w:szCs w:val="2"/>
                <w:color w:val="auto"/>
              </w:rPr>
            </w:pPr>
          </w:p>
        </w:tc>
        <w:tc>
          <w:tcPr>
            <w:tcW w:w="1140" w:type="dxa"/>
            <w:vAlign w:val="bottom"/>
            <w:tcBorders>
              <w:bottom w:val="single" w:sz="8" w:color="BCBEC0"/>
            </w:tcBorders>
          </w:tcPr>
          <w:p>
            <w:pPr>
              <w:spacing w:after="0"/>
              <w:rPr>
                <w:sz w:val="2"/>
                <w:szCs w:val="2"/>
                <w:color w:val="auto"/>
              </w:rPr>
            </w:pPr>
          </w:p>
        </w:tc>
        <w:tc>
          <w:tcPr>
            <w:tcW w:w="1440" w:type="dxa"/>
            <w:vAlign w:val="bottom"/>
            <w:tcBorders>
              <w:bottom w:val="single" w:sz="8" w:color="BCBEC0"/>
            </w:tcBorders>
          </w:tcPr>
          <w:p>
            <w:pPr>
              <w:spacing w:after="0"/>
              <w:rPr>
                <w:sz w:val="2"/>
                <w:szCs w:val="2"/>
                <w:color w:val="auto"/>
              </w:rPr>
            </w:pPr>
          </w:p>
        </w:tc>
        <w:tc>
          <w:tcPr>
            <w:tcW w:w="980" w:type="dxa"/>
            <w:vAlign w:val="bottom"/>
            <w:tcBorders>
              <w:bottom w:val="single" w:sz="8" w:color="BCBEC0"/>
            </w:tcBorders>
          </w:tcPr>
          <w:p>
            <w:pPr>
              <w:spacing w:after="0"/>
              <w:rPr>
                <w:sz w:val="2"/>
                <w:szCs w:val="2"/>
                <w:color w:val="auto"/>
              </w:rPr>
            </w:pPr>
          </w:p>
        </w:tc>
        <w:tc>
          <w:tcPr>
            <w:tcW w:w="1020" w:type="dxa"/>
            <w:vAlign w:val="bottom"/>
            <w:tcBorders>
              <w:bottom w:val="single" w:sz="8" w:color="BCBEC0"/>
            </w:tcBorders>
          </w:tcPr>
          <w:p>
            <w:pPr>
              <w:spacing w:after="0"/>
              <w:rPr>
                <w:sz w:val="2"/>
                <w:szCs w:val="2"/>
                <w:color w:val="auto"/>
              </w:rPr>
            </w:pPr>
          </w:p>
        </w:tc>
      </w:tr>
      <w:tr>
        <w:trPr>
          <w:trHeight w:val="184"/>
        </w:trPr>
        <w:tc>
          <w:tcPr>
            <w:tcW w:w="1920" w:type="dxa"/>
            <w:vAlign w:val="bottom"/>
          </w:tcPr>
          <w:p>
            <w:pPr>
              <w:spacing w:after="0"/>
              <w:rPr>
                <w:sz w:val="16"/>
                <w:szCs w:val="16"/>
                <w:color w:val="auto"/>
              </w:rPr>
            </w:pPr>
          </w:p>
        </w:tc>
        <w:tc>
          <w:tcPr>
            <w:tcW w:w="1340" w:type="dxa"/>
            <w:vAlign w:val="bottom"/>
          </w:tcPr>
          <w:p>
            <w:pPr>
              <w:jc w:val="right"/>
              <w:ind w:right="193"/>
              <w:spacing w:after="0"/>
              <w:rPr>
                <w:sz w:val="20"/>
                <w:szCs w:val="20"/>
                <w:color w:val="auto"/>
              </w:rPr>
            </w:pPr>
            <w:r>
              <w:rPr>
                <w:rFonts w:ascii="Arial" w:cs="Arial" w:eastAsia="Arial" w:hAnsi="Arial"/>
                <w:sz w:val="13"/>
                <w:szCs w:val="13"/>
                <w:color w:val="auto"/>
              </w:rPr>
              <w:t>4,132</w:t>
            </w:r>
          </w:p>
        </w:tc>
        <w:tc>
          <w:tcPr>
            <w:tcW w:w="660" w:type="dxa"/>
            <w:vAlign w:val="bottom"/>
          </w:tcPr>
          <w:p>
            <w:pPr>
              <w:jc w:val="right"/>
              <w:spacing w:after="0"/>
              <w:rPr>
                <w:sz w:val="20"/>
                <w:szCs w:val="20"/>
                <w:color w:val="auto"/>
              </w:rPr>
            </w:pPr>
            <w:r>
              <w:rPr>
                <w:rFonts w:ascii="Arial" w:cs="Arial" w:eastAsia="Arial" w:hAnsi="Arial"/>
                <w:sz w:val="13"/>
                <w:szCs w:val="13"/>
                <w:color w:val="auto"/>
              </w:rPr>
              <w:t>8,266</w:t>
            </w:r>
          </w:p>
        </w:tc>
        <w:tc>
          <w:tcPr>
            <w:tcW w:w="760" w:type="dxa"/>
            <w:vAlign w:val="bottom"/>
          </w:tcPr>
          <w:p>
            <w:pPr>
              <w:jc w:val="center"/>
              <w:ind w:right="433"/>
              <w:spacing w:after="0"/>
              <w:rPr>
                <w:sz w:val="20"/>
                <w:szCs w:val="20"/>
                <w:color w:val="auto"/>
              </w:rPr>
            </w:pPr>
            <w:r>
              <w:rPr>
                <w:rFonts w:ascii="Arial" w:cs="Arial" w:eastAsia="Arial" w:hAnsi="Arial"/>
                <w:sz w:val="13"/>
                <w:szCs w:val="13"/>
                <w:color w:val="auto"/>
              </w:rPr>
              <w:t>(7)</w:t>
            </w:r>
          </w:p>
        </w:tc>
        <w:tc>
          <w:tcPr>
            <w:tcW w:w="860" w:type="dxa"/>
            <w:vAlign w:val="bottom"/>
          </w:tcPr>
          <w:p>
            <w:pPr>
              <w:jc w:val="right"/>
              <w:ind w:right="273"/>
              <w:spacing w:after="0"/>
              <w:rPr>
                <w:sz w:val="20"/>
                <w:szCs w:val="20"/>
                <w:color w:val="auto"/>
              </w:rPr>
            </w:pPr>
            <w:r>
              <w:rPr>
                <w:rFonts w:ascii="Arial" w:cs="Arial" w:eastAsia="Arial" w:hAnsi="Arial"/>
                <w:sz w:val="13"/>
                <w:szCs w:val="13"/>
                <w:color w:val="auto"/>
              </w:rPr>
              <w:t>70.92</w:t>
            </w:r>
          </w:p>
        </w:tc>
        <w:tc>
          <w:tcPr>
            <w:tcW w:w="1120" w:type="dxa"/>
            <w:vAlign w:val="bottom"/>
          </w:tcPr>
          <w:p>
            <w:pPr>
              <w:jc w:val="right"/>
              <w:ind w:right="153"/>
              <w:spacing w:after="0"/>
              <w:rPr>
                <w:sz w:val="20"/>
                <w:szCs w:val="20"/>
                <w:color w:val="auto"/>
              </w:rPr>
            </w:pPr>
            <w:r>
              <w:rPr>
                <w:rFonts w:ascii="Arial" w:cs="Arial" w:eastAsia="Arial" w:hAnsi="Arial"/>
                <w:sz w:val="13"/>
                <w:szCs w:val="13"/>
                <w:color w:val="auto"/>
              </w:rPr>
              <w:t>1/2/2034</w:t>
            </w:r>
          </w:p>
        </w:tc>
        <w:tc>
          <w:tcPr>
            <w:tcW w:w="11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5"/>
        </w:trPr>
        <w:tc>
          <w:tcPr>
            <w:tcW w:w="1920" w:type="dxa"/>
            <w:vAlign w:val="bottom"/>
          </w:tcPr>
          <w:p>
            <w:pPr>
              <w:spacing w:after="0"/>
              <w:rPr>
                <w:sz w:val="2"/>
                <w:szCs w:val="2"/>
                <w:color w:val="auto"/>
              </w:rPr>
            </w:pPr>
          </w:p>
        </w:tc>
        <w:tc>
          <w:tcPr>
            <w:tcW w:w="1340" w:type="dxa"/>
            <w:vAlign w:val="bottom"/>
            <w:tcBorders>
              <w:bottom w:val="single" w:sz="8" w:color="BCBEC0"/>
            </w:tcBorders>
          </w:tcPr>
          <w:p>
            <w:pPr>
              <w:spacing w:after="0"/>
              <w:rPr>
                <w:sz w:val="2"/>
                <w:szCs w:val="2"/>
                <w:color w:val="auto"/>
              </w:rPr>
            </w:pPr>
          </w:p>
        </w:tc>
        <w:tc>
          <w:tcPr>
            <w:tcW w:w="660" w:type="dxa"/>
            <w:vAlign w:val="bottom"/>
            <w:tcBorders>
              <w:bottom w:val="single" w:sz="8" w:color="BCBEC0"/>
            </w:tcBorders>
          </w:tcPr>
          <w:p>
            <w:pPr>
              <w:spacing w:after="0"/>
              <w:rPr>
                <w:sz w:val="2"/>
                <w:szCs w:val="2"/>
                <w:color w:val="auto"/>
              </w:rPr>
            </w:pPr>
          </w:p>
        </w:tc>
        <w:tc>
          <w:tcPr>
            <w:tcW w:w="760" w:type="dxa"/>
            <w:vAlign w:val="bottom"/>
            <w:tcBorders>
              <w:bottom w:val="single" w:sz="8" w:color="BCBEC0"/>
            </w:tcBorders>
          </w:tcPr>
          <w:p>
            <w:pPr>
              <w:spacing w:after="0"/>
              <w:rPr>
                <w:sz w:val="2"/>
                <w:szCs w:val="2"/>
                <w:color w:val="auto"/>
              </w:rPr>
            </w:pPr>
          </w:p>
        </w:tc>
        <w:tc>
          <w:tcPr>
            <w:tcW w:w="860" w:type="dxa"/>
            <w:vAlign w:val="bottom"/>
            <w:tcBorders>
              <w:bottom w:val="single" w:sz="8" w:color="BCBEC0"/>
            </w:tcBorders>
          </w:tcPr>
          <w:p>
            <w:pPr>
              <w:spacing w:after="0"/>
              <w:rPr>
                <w:sz w:val="2"/>
                <w:szCs w:val="2"/>
                <w:color w:val="auto"/>
              </w:rPr>
            </w:pPr>
          </w:p>
        </w:tc>
        <w:tc>
          <w:tcPr>
            <w:tcW w:w="1120" w:type="dxa"/>
            <w:vAlign w:val="bottom"/>
            <w:tcBorders>
              <w:bottom w:val="single" w:sz="8" w:color="BCBEC0"/>
            </w:tcBorders>
          </w:tcPr>
          <w:p>
            <w:pPr>
              <w:spacing w:after="0"/>
              <w:rPr>
                <w:sz w:val="2"/>
                <w:szCs w:val="2"/>
                <w:color w:val="auto"/>
              </w:rPr>
            </w:pPr>
          </w:p>
        </w:tc>
        <w:tc>
          <w:tcPr>
            <w:tcW w:w="1140" w:type="dxa"/>
            <w:vAlign w:val="bottom"/>
            <w:tcBorders>
              <w:bottom w:val="single" w:sz="8" w:color="BCBEC0"/>
            </w:tcBorders>
          </w:tcPr>
          <w:p>
            <w:pPr>
              <w:spacing w:after="0"/>
              <w:rPr>
                <w:sz w:val="2"/>
                <w:szCs w:val="2"/>
                <w:color w:val="auto"/>
              </w:rPr>
            </w:pPr>
          </w:p>
        </w:tc>
        <w:tc>
          <w:tcPr>
            <w:tcW w:w="1440" w:type="dxa"/>
            <w:vAlign w:val="bottom"/>
            <w:tcBorders>
              <w:bottom w:val="single" w:sz="8" w:color="BCBEC0"/>
            </w:tcBorders>
          </w:tcPr>
          <w:p>
            <w:pPr>
              <w:spacing w:after="0"/>
              <w:rPr>
                <w:sz w:val="2"/>
                <w:szCs w:val="2"/>
                <w:color w:val="auto"/>
              </w:rPr>
            </w:pPr>
          </w:p>
        </w:tc>
        <w:tc>
          <w:tcPr>
            <w:tcW w:w="980" w:type="dxa"/>
            <w:vAlign w:val="bottom"/>
            <w:tcBorders>
              <w:bottom w:val="single" w:sz="8" w:color="BCBEC0"/>
            </w:tcBorders>
          </w:tcPr>
          <w:p>
            <w:pPr>
              <w:spacing w:after="0"/>
              <w:rPr>
                <w:sz w:val="2"/>
                <w:szCs w:val="2"/>
                <w:color w:val="auto"/>
              </w:rPr>
            </w:pPr>
          </w:p>
        </w:tc>
        <w:tc>
          <w:tcPr>
            <w:tcW w:w="1020" w:type="dxa"/>
            <w:vAlign w:val="bottom"/>
            <w:tcBorders>
              <w:bottom w:val="single" w:sz="8" w:color="BCBEC0"/>
            </w:tcBorders>
          </w:tcPr>
          <w:p>
            <w:pPr>
              <w:spacing w:after="0"/>
              <w:rPr>
                <w:sz w:val="2"/>
                <w:szCs w:val="2"/>
                <w:color w:val="auto"/>
              </w:rPr>
            </w:pPr>
          </w:p>
        </w:tc>
      </w:tr>
      <w:tr>
        <w:trPr>
          <w:trHeight w:val="184"/>
        </w:trPr>
        <w:tc>
          <w:tcPr>
            <w:tcW w:w="19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9,188</w:t>
            </w:r>
          </w:p>
        </w:tc>
        <w:tc>
          <w:tcPr>
            <w:tcW w:w="760" w:type="dxa"/>
            <w:vAlign w:val="bottom"/>
          </w:tcPr>
          <w:p>
            <w:pPr>
              <w:jc w:val="center"/>
              <w:ind w:right="433"/>
              <w:spacing w:after="0"/>
              <w:rPr>
                <w:sz w:val="20"/>
                <w:szCs w:val="20"/>
                <w:color w:val="auto"/>
              </w:rPr>
            </w:pPr>
            <w:r>
              <w:rPr>
                <w:rFonts w:ascii="Arial" w:cs="Arial" w:eastAsia="Arial" w:hAnsi="Arial"/>
                <w:sz w:val="13"/>
                <w:szCs w:val="13"/>
                <w:color w:val="auto"/>
              </w:rPr>
              <w:t>(8)</w:t>
            </w:r>
          </w:p>
        </w:tc>
        <w:tc>
          <w:tcPr>
            <w:tcW w:w="860" w:type="dxa"/>
            <w:vAlign w:val="bottom"/>
          </w:tcPr>
          <w:p>
            <w:pPr>
              <w:jc w:val="right"/>
              <w:ind w:right="273"/>
              <w:spacing w:after="0"/>
              <w:rPr>
                <w:sz w:val="20"/>
                <w:szCs w:val="20"/>
                <w:color w:val="auto"/>
              </w:rPr>
            </w:pPr>
            <w:r>
              <w:rPr>
                <w:rFonts w:ascii="Arial" w:cs="Arial" w:eastAsia="Arial" w:hAnsi="Arial"/>
                <w:sz w:val="13"/>
                <w:szCs w:val="13"/>
                <w:color w:val="auto"/>
              </w:rPr>
              <w:t>100.40</w:t>
            </w:r>
          </w:p>
        </w:tc>
        <w:tc>
          <w:tcPr>
            <w:tcW w:w="1120" w:type="dxa"/>
            <w:vAlign w:val="bottom"/>
          </w:tcPr>
          <w:p>
            <w:pPr>
              <w:jc w:val="right"/>
              <w:ind w:right="153"/>
              <w:spacing w:after="0"/>
              <w:rPr>
                <w:sz w:val="20"/>
                <w:szCs w:val="20"/>
                <w:color w:val="auto"/>
              </w:rPr>
            </w:pPr>
            <w:r>
              <w:rPr>
                <w:rFonts w:ascii="Arial" w:cs="Arial" w:eastAsia="Arial" w:hAnsi="Arial"/>
                <w:sz w:val="13"/>
                <w:szCs w:val="13"/>
                <w:color w:val="auto"/>
              </w:rPr>
              <w:t>1/2/2035</w:t>
            </w:r>
          </w:p>
        </w:tc>
        <w:tc>
          <w:tcPr>
            <w:tcW w:w="11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5"/>
        </w:trPr>
        <w:tc>
          <w:tcPr>
            <w:tcW w:w="1920" w:type="dxa"/>
            <w:vAlign w:val="bottom"/>
            <w:tcBorders>
              <w:bottom w:val="single" w:sz="8" w:color="BCBEC0"/>
            </w:tcBorders>
          </w:tcPr>
          <w:p>
            <w:pPr>
              <w:spacing w:after="0"/>
              <w:rPr>
                <w:sz w:val="2"/>
                <w:szCs w:val="2"/>
                <w:color w:val="auto"/>
              </w:rPr>
            </w:pPr>
          </w:p>
        </w:tc>
        <w:tc>
          <w:tcPr>
            <w:tcW w:w="1340" w:type="dxa"/>
            <w:vAlign w:val="bottom"/>
            <w:tcBorders>
              <w:bottom w:val="single" w:sz="8" w:color="BCBEC0"/>
            </w:tcBorders>
          </w:tcPr>
          <w:p>
            <w:pPr>
              <w:spacing w:after="0"/>
              <w:rPr>
                <w:sz w:val="2"/>
                <w:szCs w:val="2"/>
                <w:color w:val="auto"/>
              </w:rPr>
            </w:pPr>
          </w:p>
        </w:tc>
        <w:tc>
          <w:tcPr>
            <w:tcW w:w="660" w:type="dxa"/>
            <w:vAlign w:val="bottom"/>
            <w:tcBorders>
              <w:bottom w:val="single" w:sz="8" w:color="BCBEC0"/>
            </w:tcBorders>
          </w:tcPr>
          <w:p>
            <w:pPr>
              <w:spacing w:after="0"/>
              <w:rPr>
                <w:sz w:val="2"/>
                <w:szCs w:val="2"/>
                <w:color w:val="auto"/>
              </w:rPr>
            </w:pPr>
          </w:p>
        </w:tc>
        <w:tc>
          <w:tcPr>
            <w:tcW w:w="760" w:type="dxa"/>
            <w:vAlign w:val="bottom"/>
            <w:tcBorders>
              <w:bottom w:val="single" w:sz="8" w:color="BCBEC0"/>
            </w:tcBorders>
          </w:tcPr>
          <w:p>
            <w:pPr>
              <w:spacing w:after="0"/>
              <w:rPr>
                <w:sz w:val="2"/>
                <w:szCs w:val="2"/>
                <w:color w:val="auto"/>
              </w:rPr>
            </w:pPr>
          </w:p>
        </w:tc>
        <w:tc>
          <w:tcPr>
            <w:tcW w:w="860" w:type="dxa"/>
            <w:vAlign w:val="bottom"/>
            <w:tcBorders>
              <w:bottom w:val="single" w:sz="8" w:color="BCBEC0"/>
            </w:tcBorders>
          </w:tcPr>
          <w:p>
            <w:pPr>
              <w:spacing w:after="0"/>
              <w:rPr>
                <w:sz w:val="2"/>
                <w:szCs w:val="2"/>
                <w:color w:val="auto"/>
              </w:rPr>
            </w:pPr>
          </w:p>
        </w:tc>
        <w:tc>
          <w:tcPr>
            <w:tcW w:w="1120" w:type="dxa"/>
            <w:vAlign w:val="bottom"/>
            <w:tcBorders>
              <w:bottom w:val="single" w:sz="8" w:color="BCBEC0"/>
            </w:tcBorders>
          </w:tcPr>
          <w:p>
            <w:pPr>
              <w:spacing w:after="0"/>
              <w:rPr>
                <w:sz w:val="2"/>
                <w:szCs w:val="2"/>
                <w:color w:val="auto"/>
              </w:rPr>
            </w:pPr>
          </w:p>
        </w:tc>
        <w:tc>
          <w:tcPr>
            <w:tcW w:w="1140" w:type="dxa"/>
            <w:vAlign w:val="bottom"/>
            <w:tcBorders>
              <w:bottom w:val="single" w:sz="8" w:color="BCBEC0"/>
            </w:tcBorders>
          </w:tcPr>
          <w:p>
            <w:pPr>
              <w:spacing w:after="0"/>
              <w:rPr>
                <w:sz w:val="2"/>
                <w:szCs w:val="2"/>
                <w:color w:val="auto"/>
              </w:rPr>
            </w:pPr>
          </w:p>
        </w:tc>
        <w:tc>
          <w:tcPr>
            <w:tcW w:w="1440" w:type="dxa"/>
            <w:vAlign w:val="bottom"/>
            <w:tcBorders>
              <w:bottom w:val="single" w:sz="8" w:color="BCBEC0"/>
            </w:tcBorders>
          </w:tcPr>
          <w:p>
            <w:pPr>
              <w:spacing w:after="0"/>
              <w:rPr>
                <w:sz w:val="2"/>
                <w:szCs w:val="2"/>
                <w:color w:val="auto"/>
              </w:rPr>
            </w:pPr>
          </w:p>
        </w:tc>
        <w:tc>
          <w:tcPr>
            <w:tcW w:w="980" w:type="dxa"/>
            <w:vAlign w:val="bottom"/>
            <w:tcBorders>
              <w:bottom w:val="single" w:sz="8" w:color="BCBEC0"/>
            </w:tcBorders>
          </w:tcPr>
          <w:p>
            <w:pPr>
              <w:spacing w:after="0"/>
              <w:rPr>
                <w:sz w:val="2"/>
                <w:szCs w:val="2"/>
                <w:color w:val="auto"/>
              </w:rPr>
            </w:pPr>
          </w:p>
        </w:tc>
        <w:tc>
          <w:tcPr>
            <w:tcW w:w="1020" w:type="dxa"/>
            <w:vAlign w:val="bottom"/>
            <w:tcBorders>
              <w:bottom w:val="single" w:sz="8" w:color="BCBEC0"/>
            </w:tcBorders>
          </w:tcPr>
          <w:p>
            <w:pPr>
              <w:spacing w:after="0"/>
              <w:rPr>
                <w:sz w:val="2"/>
                <w:szCs w:val="2"/>
                <w:color w:val="auto"/>
              </w:rPr>
            </w:pPr>
          </w:p>
        </w:tc>
      </w:tr>
      <w:tr>
        <w:trPr>
          <w:trHeight w:val="203"/>
        </w:trPr>
        <w:tc>
          <w:tcPr>
            <w:tcW w:w="1920" w:type="dxa"/>
            <w:vAlign w:val="bottom"/>
          </w:tcPr>
          <w:p>
            <w:pPr>
              <w:ind w:left="20"/>
              <w:spacing w:after="0"/>
              <w:rPr>
                <w:sz w:val="20"/>
                <w:szCs w:val="20"/>
                <w:color w:val="auto"/>
              </w:rPr>
            </w:pPr>
            <w:r>
              <w:rPr>
                <w:rFonts w:ascii="Arial" w:cs="Arial" w:eastAsia="Arial" w:hAnsi="Arial"/>
                <w:sz w:val="13"/>
                <w:szCs w:val="13"/>
                <w:b w:val="1"/>
                <w:bCs w:val="1"/>
                <w:color w:val="0C3471"/>
              </w:rPr>
              <w:t>Adrian C. Chiu</w:t>
            </w:r>
          </w:p>
        </w:tc>
        <w:tc>
          <w:tcPr>
            <w:tcW w:w="1340" w:type="dxa"/>
            <w:vAlign w:val="bottom"/>
            <w:tcBorders>
              <w:bottom w:val="single" w:sz="8" w:color="BCBEC0"/>
            </w:tcBorders>
          </w:tcPr>
          <w:p>
            <w:pPr>
              <w:spacing w:after="0"/>
              <w:rPr>
                <w:sz w:val="17"/>
                <w:szCs w:val="17"/>
                <w:color w:val="auto"/>
              </w:rPr>
            </w:pPr>
          </w:p>
        </w:tc>
        <w:tc>
          <w:tcPr>
            <w:tcW w:w="660" w:type="dxa"/>
            <w:vAlign w:val="bottom"/>
            <w:tcBorders>
              <w:bottom w:val="single" w:sz="8" w:color="BCBEC0"/>
            </w:tcBorders>
          </w:tcPr>
          <w:p>
            <w:pPr>
              <w:spacing w:after="0"/>
              <w:rPr>
                <w:sz w:val="17"/>
                <w:szCs w:val="17"/>
                <w:color w:val="auto"/>
              </w:rPr>
            </w:pPr>
          </w:p>
        </w:tc>
        <w:tc>
          <w:tcPr>
            <w:tcW w:w="760" w:type="dxa"/>
            <w:vAlign w:val="bottom"/>
            <w:tcBorders>
              <w:bottom w:val="single" w:sz="8" w:color="BCBEC0"/>
            </w:tcBorders>
          </w:tcPr>
          <w:p>
            <w:pPr>
              <w:spacing w:after="0"/>
              <w:rPr>
                <w:sz w:val="17"/>
                <w:szCs w:val="17"/>
                <w:color w:val="auto"/>
              </w:rPr>
            </w:pPr>
          </w:p>
        </w:tc>
        <w:tc>
          <w:tcPr>
            <w:tcW w:w="860" w:type="dxa"/>
            <w:vAlign w:val="bottom"/>
            <w:tcBorders>
              <w:bottom w:val="single" w:sz="8" w:color="BCBEC0"/>
            </w:tcBorders>
          </w:tcPr>
          <w:p>
            <w:pPr>
              <w:spacing w:after="0"/>
              <w:rPr>
                <w:sz w:val="17"/>
                <w:szCs w:val="17"/>
                <w:color w:val="auto"/>
              </w:rPr>
            </w:pPr>
          </w:p>
        </w:tc>
        <w:tc>
          <w:tcPr>
            <w:tcW w:w="1120" w:type="dxa"/>
            <w:vAlign w:val="bottom"/>
            <w:tcBorders>
              <w:bottom w:val="single" w:sz="8" w:color="BCBEC0"/>
            </w:tcBorders>
          </w:tcPr>
          <w:p>
            <w:pPr>
              <w:spacing w:after="0"/>
              <w:rPr>
                <w:sz w:val="17"/>
                <w:szCs w:val="17"/>
                <w:color w:val="auto"/>
              </w:rPr>
            </w:pPr>
          </w:p>
        </w:tc>
        <w:tc>
          <w:tcPr>
            <w:tcW w:w="1140" w:type="dxa"/>
            <w:vAlign w:val="bottom"/>
            <w:tcBorders>
              <w:bottom w:val="single" w:sz="8" w:color="BCBEC0"/>
            </w:tcBorders>
          </w:tcPr>
          <w:p>
            <w:pPr>
              <w:jc w:val="right"/>
              <w:ind w:right="177"/>
              <w:spacing w:after="0"/>
              <w:rPr>
                <w:sz w:val="20"/>
                <w:szCs w:val="20"/>
                <w:color w:val="auto"/>
              </w:rPr>
            </w:pPr>
            <w:r>
              <w:rPr>
                <w:rFonts w:ascii="Arial" w:cs="Arial" w:eastAsia="Arial" w:hAnsi="Arial"/>
                <w:sz w:val="13"/>
                <w:szCs w:val="13"/>
                <w:color w:val="auto"/>
              </w:rPr>
              <w:t>8,381</w:t>
            </w:r>
          </w:p>
        </w:tc>
        <w:tc>
          <w:tcPr>
            <w:tcW w:w="1440" w:type="dxa"/>
            <w:vAlign w:val="bottom"/>
            <w:tcBorders>
              <w:bottom w:val="single" w:sz="8" w:color="BCBEC0"/>
            </w:tcBorders>
          </w:tcPr>
          <w:p>
            <w:pPr>
              <w:jc w:val="right"/>
              <w:ind w:right="455"/>
              <w:spacing w:after="0"/>
              <w:rPr>
                <w:sz w:val="20"/>
                <w:szCs w:val="20"/>
                <w:color w:val="auto"/>
              </w:rPr>
            </w:pPr>
            <w:r>
              <w:rPr>
                <w:rFonts w:ascii="Arial" w:cs="Arial" w:eastAsia="Arial" w:hAnsi="Arial"/>
                <w:sz w:val="13"/>
                <w:szCs w:val="13"/>
                <w:color w:val="auto"/>
              </w:rPr>
              <w:t>872,797</w:t>
            </w:r>
          </w:p>
        </w:tc>
        <w:tc>
          <w:tcPr>
            <w:tcW w:w="980" w:type="dxa"/>
            <w:vAlign w:val="bottom"/>
            <w:tcBorders>
              <w:bottom w:val="single" w:sz="8" w:color="BCBEC0"/>
            </w:tcBorders>
          </w:tcPr>
          <w:p>
            <w:pPr>
              <w:spacing w:after="0"/>
              <w:rPr>
                <w:sz w:val="17"/>
                <w:szCs w:val="17"/>
                <w:color w:val="auto"/>
              </w:rPr>
            </w:pPr>
          </w:p>
        </w:tc>
        <w:tc>
          <w:tcPr>
            <w:tcW w:w="1020" w:type="dxa"/>
            <w:vAlign w:val="bottom"/>
            <w:tcBorders>
              <w:bottom w:val="single" w:sz="8" w:color="BCBEC0"/>
            </w:tcBorders>
          </w:tcPr>
          <w:p>
            <w:pPr>
              <w:spacing w:after="0"/>
              <w:rPr>
                <w:sz w:val="17"/>
                <w:szCs w:val="17"/>
                <w:color w:val="auto"/>
              </w:rPr>
            </w:pPr>
          </w:p>
        </w:tc>
      </w:tr>
      <w:tr>
        <w:trPr>
          <w:trHeight w:val="190"/>
        </w:trPr>
        <w:tc>
          <w:tcPr>
            <w:tcW w:w="19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980" w:type="dxa"/>
            <w:vAlign w:val="bottom"/>
          </w:tcPr>
          <w:p>
            <w:pPr>
              <w:jc w:val="right"/>
              <w:ind w:right="195"/>
              <w:spacing w:after="0"/>
              <w:rPr>
                <w:sz w:val="20"/>
                <w:szCs w:val="20"/>
                <w:color w:val="auto"/>
              </w:rPr>
            </w:pPr>
            <w:r>
              <w:rPr>
                <w:rFonts w:ascii="Arial" w:cs="Arial" w:eastAsia="Arial" w:hAnsi="Arial"/>
                <w:sz w:val="13"/>
                <w:szCs w:val="13"/>
                <w:color w:val="auto"/>
              </w:rPr>
              <w:t>15,431</w:t>
            </w:r>
          </w:p>
        </w:tc>
        <w:tc>
          <w:tcPr>
            <w:tcW w:w="1020" w:type="dxa"/>
            <w:vAlign w:val="bottom"/>
          </w:tcPr>
          <w:p>
            <w:pPr>
              <w:jc w:val="right"/>
              <w:spacing w:after="0"/>
              <w:rPr>
                <w:sz w:val="20"/>
                <w:szCs w:val="20"/>
                <w:color w:val="auto"/>
              </w:rPr>
            </w:pPr>
            <w:r>
              <w:rPr>
                <w:rFonts w:ascii="Arial" w:cs="Arial" w:eastAsia="Arial" w:hAnsi="Arial"/>
                <w:sz w:val="13"/>
                <w:szCs w:val="13"/>
                <w:color w:val="auto"/>
              </w:rPr>
              <w:t>1,606,984</w:t>
            </w:r>
          </w:p>
        </w:tc>
      </w:tr>
      <w:tr>
        <w:trPr>
          <w:trHeight w:val="25"/>
        </w:trPr>
        <w:tc>
          <w:tcPr>
            <w:tcW w:w="1920" w:type="dxa"/>
            <w:vAlign w:val="bottom"/>
          </w:tcPr>
          <w:p>
            <w:pPr>
              <w:spacing w:after="0"/>
              <w:rPr>
                <w:sz w:val="2"/>
                <w:szCs w:val="2"/>
                <w:color w:val="auto"/>
              </w:rPr>
            </w:pPr>
          </w:p>
        </w:tc>
        <w:tc>
          <w:tcPr>
            <w:tcW w:w="1340" w:type="dxa"/>
            <w:vAlign w:val="bottom"/>
            <w:tcBorders>
              <w:bottom w:val="single" w:sz="8" w:color="BCBEC0"/>
            </w:tcBorders>
          </w:tcPr>
          <w:p>
            <w:pPr>
              <w:spacing w:after="0"/>
              <w:rPr>
                <w:sz w:val="2"/>
                <w:szCs w:val="2"/>
                <w:color w:val="auto"/>
              </w:rPr>
            </w:pPr>
          </w:p>
        </w:tc>
        <w:tc>
          <w:tcPr>
            <w:tcW w:w="660" w:type="dxa"/>
            <w:vAlign w:val="bottom"/>
            <w:tcBorders>
              <w:bottom w:val="single" w:sz="8" w:color="BCBEC0"/>
            </w:tcBorders>
          </w:tcPr>
          <w:p>
            <w:pPr>
              <w:spacing w:after="0"/>
              <w:rPr>
                <w:sz w:val="2"/>
                <w:szCs w:val="2"/>
                <w:color w:val="auto"/>
              </w:rPr>
            </w:pPr>
          </w:p>
        </w:tc>
        <w:tc>
          <w:tcPr>
            <w:tcW w:w="760" w:type="dxa"/>
            <w:vAlign w:val="bottom"/>
            <w:tcBorders>
              <w:bottom w:val="single" w:sz="8" w:color="BCBEC0"/>
            </w:tcBorders>
          </w:tcPr>
          <w:p>
            <w:pPr>
              <w:spacing w:after="0"/>
              <w:rPr>
                <w:sz w:val="2"/>
                <w:szCs w:val="2"/>
                <w:color w:val="auto"/>
              </w:rPr>
            </w:pPr>
          </w:p>
        </w:tc>
        <w:tc>
          <w:tcPr>
            <w:tcW w:w="860" w:type="dxa"/>
            <w:vAlign w:val="bottom"/>
            <w:tcBorders>
              <w:bottom w:val="single" w:sz="8" w:color="BCBEC0"/>
            </w:tcBorders>
          </w:tcPr>
          <w:p>
            <w:pPr>
              <w:spacing w:after="0"/>
              <w:rPr>
                <w:sz w:val="2"/>
                <w:szCs w:val="2"/>
                <w:color w:val="auto"/>
              </w:rPr>
            </w:pPr>
          </w:p>
        </w:tc>
        <w:tc>
          <w:tcPr>
            <w:tcW w:w="1120" w:type="dxa"/>
            <w:vAlign w:val="bottom"/>
            <w:tcBorders>
              <w:bottom w:val="single" w:sz="8" w:color="BCBEC0"/>
            </w:tcBorders>
          </w:tcPr>
          <w:p>
            <w:pPr>
              <w:spacing w:after="0"/>
              <w:rPr>
                <w:sz w:val="2"/>
                <w:szCs w:val="2"/>
                <w:color w:val="auto"/>
              </w:rPr>
            </w:pPr>
          </w:p>
        </w:tc>
        <w:tc>
          <w:tcPr>
            <w:tcW w:w="1140" w:type="dxa"/>
            <w:vAlign w:val="bottom"/>
            <w:tcBorders>
              <w:bottom w:val="single" w:sz="8" w:color="BCBEC0"/>
            </w:tcBorders>
          </w:tcPr>
          <w:p>
            <w:pPr>
              <w:spacing w:after="0"/>
              <w:rPr>
                <w:sz w:val="2"/>
                <w:szCs w:val="2"/>
                <w:color w:val="auto"/>
              </w:rPr>
            </w:pPr>
          </w:p>
        </w:tc>
        <w:tc>
          <w:tcPr>
            <w:tcW w:w="1440" w:type="dxa"/>
            <w:vAlign w:val="bottom"/>
            <w:tcBorders>
              <w:bottom w:val="single" w:sz="8" w:color="BCBEC0"/>
            </w:tcBorders>
          </w:tcPr>
          <w:p>
            <w:pPr>
              <w:spacing w:after="0"/>
              <w:rPr>
                <w:sz w:val="2"/>
                <w:szCs w:val="2"/>
                <w:color w:val="auto"/>
              </w:rPr>
            </w:pPr>
          </w:p>
        </w:tc>
        <w:tc>
          <w:tcPr>
            <w:tcW w:w="980" w:type="dxa"/>
            <w:vAlign w:val="bottom"/>
            <w:tcBorders>
              <w:bottom w:val="single" w:sz="8" w:color="BCBEC0"/>
            </w:tcBorders>
          </w:tcPr>
          <w:p>
            <w:pPr>
              <w:spacing w:after="0"/>
              <w:rPr>
                <w:sz w:val="2"/>
                <w:szCs w:val="2"/>
                <w:color w:val="auto"/>
              </w:rPr>
            </w:pPr>
          </w:p>
        </w:tc>
        <w:tc>
          <w:tcPr>
            <w:tcW w:w="1020" w:type="dxa"/>
            <w:vAlign w:val="bottom"/>
            <w:tcBorders>
              <w:bottom w:val="single" w:sz="8" w:color="BCBEC0"/>
            </w:tcBorders>
          </w:tcPr>
          <w:p>
            <w:pPr>
              <w:spacing w:after="0"/>
              <w:rPr>
                <w:sz w:val="2"/>
                <w:szCs w:val="2"/>
                <w:color w:val="auto"/>
              </w:rPr>
            </w:pPr>
          </w:p>
        </w:tc>
      </w:tr>
      <w:tr>
        <w:trPr>
          <w:trHeight w:val="184"/>
        </w:trPr>
        <w:tc>
          <w:tcPr>
            <w:tcW w:w="1920" w:type="dxa"/>
            <w:vAlign w:val="bottom"/>
          </w:tcPr>
          <w:p>
            <w:pPr>
              <w:spacing w:after="0"/>
              <w:rPr>
                <w:sz w:val="16"/>
                <w:szCs w:val="16"/>
                <w:color w:val="auto"/>
              </w:rPr>
            </w:pPr>
          </w:p>
        </w:tc>
        <w:tc>
          <w:tcPr>
            <w:tcW w:w="1340" w:type="dxa"/>
            <w:vAlign w:val="bottom"/>
          </w:tcPr>
          <w:p>
            <w:pPr>
              <w:jc w:val="right"/>
              <w:ind w:right="193"/>
              <w:spacing w:after="0"/>
              <w:rPr>
                <w:sz w:val="20"/>
                <w:szCs w:val="20"/>
                <w:color w:val="auto"/>
              </w:rPr>
            </w:pPr>
            <w:r>
              <w:rPr>
                <w:rFonts w:ascii="Arial" w:cs="Arial" w:eastAsia="Arial" w:hAnsi="Arial"/>
                <w:sz w:val="13"/>
                <w:szCs w:val="13"/>
                <w:color w:val="auto"/>
              </w:rPr>
              <w:t>2,760</w:t>
            </w: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760" w:type="dxa"/>
            <w:vAlign w:val="bottom"/>
          </w:tcPr>
          <w:p>
            <w:pPr>
              <w:spacing w:after="0"/>
              <w:rPr>
                <w:sz w:val="16"/>
                <w:szCs w:val="16"/>
                <w:color w:val="auto"/>
              </w:rPr>
            </w:pPr>
          </w:p>
        </w:tc>
        <w:tc>
          <w:tcPr>
            <w:tcW w:w="860" w:type="dxa"/>
            <w:vAlign w:val="bottom"/>
          </w:tcPr>
          <w:p>
            <w:pPr>
              <w:jc w:val="right"/>
              <w:ind w:right="273"/>
              <w:spacing w:after="0"/>
              <w:rPr>
                <w:sz w:val="20"/>
                <w:szCs w:val="20"/>
                <w:color w:val="auto"/>
              </w:rPr>
            </w:pPr>
            <w:r>
              <w:rPr>
                <w:rFonts w:ascii="Arial" w:cs="Arial" w:eastAsia="Arial" w:hAnsi="Arial"/>
                <w:sz w:val="13"/>
                <w:szCs w:val="13"/>
                <w:color w:val="auto"/>
              </w:rPr>
              <w:t>32.75</w:t>
            </w:r>
          </w:p>
        </w:tc>
        <w:tc>
          <w:tcPr>
            <w:tcW w:w="1120" w:type="dxa"/>
            <w:vAlign w:val="bottom"/>
          </w:tcPr>
          <w:p>
            <w:pPr>
              <w:jc w:val="right"/>
              <w:ind w:right="153"/>
              <w:spacing w:after="0"/>
              <w:rPr>
                <w:sz w:val="20"/>
                <w:szCs w:val="20"/>
                <w:color w:val="auto"/>
              </w:rPr>
            </w:pPr>
            <w:r>
              <w:rPr>
                <w:rFonts w:ascii="Arial" w:cs="Arial" w:eastAsia="Arial" w:hAnsi="Arial"/>
                <w:sz w:val="13"/>
                <w:szCs w:val="13"/>
                <w:color w:val="auto"/>
              </w:rPr>
              <w:t>3/1/2026</w:t>
            </w:r>
          </w:p>
        </w:tc>
        <w:tc>
          <w:tcPr>
            <w:tcW w:w="11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5"/>
        </w:trPr>
        <w:tc>
          <w:tcPr>
            <w:tcW w:w="1920" w:type="dxa"/>
            <w:vAlign w:val="bottom"/>
          </w:tcPr>
          <w:p>
            <w:pPr>
              <w:spacing w:after="0"/>
              <w:rPr>
                <w:sz w:val="2"/>
                <w:szCs w:val="2"/>
                <w:color w:val="auto"/>
              </w:rPr>
            </w:pPr>
          </w:p>
        </w:tc>
        <w:tc>
          <w:tcPr>
            <w:tcW w:w="1340" w:type="dxa"/>
            <w:vAlign w:val="bottom"/>
            <w:tcBorders>
              <w:bottom w:val="single" w:sz="8" w:color="BCBEC0"/>
            </w:tcBorders>
          </w:tcPr>
          <w:p>
            <w:pPr>
              <w:spacing w:after="0"/>
              <w:rPr>
                <w:sz w:val="2"/>
                <w:szCs w:val="2"/>
                <w:color w:val="auto"/>
              </w:rPr>
            </w:pPr>
          </w:p>
        </w:tc>
        <w:tc>
          <w:tcPr>
            <w:tcW w:w="660" w:type="dxa"/>
            <w:vAlign w:val="bottom"/>
            <w:tcBorders>
              <w:bottom w:val="single" w:sz="8" w:color="BCBEC0"/>
            </w:tcBorders>
          </w:tcPr>
          <w:p>
            <w:pPr>
              <w:spacing w:after="0"/>
              <w:rPr>
                <w:sz w:val="2"/>
                <w:szCs w:val="2"/>
                <w:color w:val="auto"/>
              </w:rPr>
            </w:pPr>
          </w:p>
        </w:tc>
        <w:tc>
          <w:tcPr>
            <w:tcW w:w="760" w:type="dxa"/>
            <w:vAlign w:val="bottom"/>
            <w:tcBorders>
              <w:bottom w:val="single" w:sz="8" w:color="BCBEC0"/>
            </w:tcBorders>
          </w:tcPr>
          <w:p>
            <w:pPr>
              <w:spacing w:after="0"/>
              <w:rPr>
                <w:sz w:val="2"/>
                <w:szCs w:val="2"/>
                <w:color w:val="auto"/>
              </w:rPr>
            </w:pPr>
          </w:p>
        </w:tc>
        <w:tc>
          <w:tcPr>
            <w:tcW w:w="860" w:type="dxa"/>
            <w:vAlign w:val="bottom"/>
            <w:tcBorders>
              <w:bottom w:val="single" w:sz="8" w:color="BCBEC0"/>
            </w:tcBorders>
          </w:tcPr>
          <w:p>
            <w:pPr>
              <w:spacing w:after="0"/>
              <w:rPr>
                <w:sz w:val="2"/>
                <w:szCs w:val="2"/>
                <w:color w:val="auto"/>
              </w:rPr>
            </w:pPr>
          </w:p>
        </w:tc>
        <w:tc>
          <w:tcPr>
            <w:tcW w:w="1120" w:type="dxa"/>
            <w:vAlign w:val="bottom"/>
            <w:tcBorders>
              <w:bottom w:val="single" w:sz="8" w:color="BCBEC0"/>
            </w:tcBorders>
          </w:tcPr>
          <w:p>
            <w:pPr>
              <w:spacing w:after="0"/>
              <w:rPr>
                <w:sz w:val="2"/>
                <w:szCs w:val="2"/>
                <w:color w:val="auto"/>
              </w:rPr>
            </w:pPr>
          </w:p>
        </w:tc>
        <w:tc>
          <w:tcPr>
            <w:tcW w:w="1140" w:type="dxa"/>
            <w:vAlign w:val="bottom"/>
            <w:tcBorders>
              <w:bottom w:val="single" w:sz="8" w:color="BCBEC0"/>
            </w:tcBorders>
          </w:tcPr>
          <w:p>
            <w:pPr>
              <w:spacing w:after="0"/>
              <w:rPr>
                <w:sz w:val="2"/>
                <w:szCs w:val="2"/>
                <w:color w:val="auto"/>
              </w:rPr>
            </w:pPr>
          </w:p>
        </w:tc>
        <w:tc>
          <w:tcPr>
            <w:tcW w:w="1440" w:type="dxa"/>
            <w:vAlign w:val="bottom"/>
            <w:tcBorders>
              <w:bottom w:val="single" w:sz="8" w:color="BCBEC0"/>
            </w:tcBorders>
          </w:tcPr>
          <w:p>
            <w:pPr>
              <w:spacing w:after="0"/>
              <w:rPr>
                <w:sz w:val="2"/>
                <w:szCs w:val="2"/>
                <w:color w:val="auto"/>
              </w:rPr>
            </w:pPr>
          </w:p>
        </w:tc>
        <w:tc>
          <w:tcPr>
            <w:tcW w:w="980" w:type="dxa"/>
            <w:vAlign w:val="bottom"/>
            <w:tcBorders>
              <w:bottom w:val="single" w:sz="8" w:color="BCBEC0"/>
            </w:tcBorders>
          </w:tcPr>
          <w:p>
            <w:pPr>
              <w:spacing w:after="0"/>
              <w:rPr>
                <w:sz w:val="2"/>
                <w:szCs w:val="2"/>
                <w:color w:val="auto"/>
              </w:rPr>
            </w:pPr>
          </w:p>
        </w:tc>
        <w:tc>
          <w:tcPr>
            <w:tcW w:w="1020" w:type="dxa"/>
            <w:vAlign w:val="bottom"/>
            <w:tcBorders>
              <w:bottom w:val="single" w:sz="8" w:color="BCBEC0"/>
            </w:tcBorders>
          </w:tcPr>
          <w:p>
            <w:pPr>
              <w:spacing w:after="0"/>
              <w:rPr>
                <w:sz w:val="2"/>
                <w:szCs w:val="2"/>
                <w:color w:val="auto"/>
              </w:rPr>
            </w:pPr>
          </w:p>
        </w:tc>
      </w:tr>
      <w:tr>
        <w:trPr>
          <w:trHeight w:val="184"/>
        </w:trPr>
        <w:tc>
          <w:tcPr>
            <w:tcW w:w="1920" w:type="dxa"/>
            <w:vAlign w:val="bottom"/>
          </w:tcPr>
          <w:p>
            <w:pPr>
              <w:spacing w:after="0"/>
              <w:rPr>
                <w:sz w:val="16"/>
                <w:szCs w:val="16"/>
                <w:color w:val="auto"/>
              </w:rPr>
            </w:pPr>
          </w:p>
        </w:tc>
        <w:tc>
          <w:tcPr>
            <w:tcW w:w="1340" w:type="dxa"/>
            <w:vAlign w:val="bottom"/>
          </w:tcPr>
          <w:p>
            <w:pPr>
              <w:jc w:val="right"/>
              <w:ind w:right="193"/>
              <w:spacing w:after="0"/>
              <w:rPr>
                <w:sz w:val="20"/>
                <w:szCs w:val="20"/>
                <w:color w:val="auto"/>
              </w:rPr>
            </w:pPr>
            <w:r>
              <w:rPr>
                <w:rFonts w:ascii="Arial" w:cs="Arial" w:eastAsia="Arial" w:hAnsi="Arial"/>
                <w:sz w:val="13"/>
                <w:szCs w:val="13"/>
                <w:color w:val="auto"/>
              </w:rPr>
              <w:t>3,254</w:t>
            </w: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760" w:type="dxa"/>
            <w:vAlign w:val="bottom"/>
          </w:tcPr>
          <w:p>
            <w:pPr>
              <w:spacing w:after="0"/>
              <w:rPr>
                <w:sz w:val="16"/>
                <w:szCs w:val="16"/>
                <w:color w:val="auto"/>
              </w:rPr>
            </w:pPr>
          </w:p>
        </w:tc>
        <w:tc>
          <w:tcPr>
            <w:tcW w:w="860" w:type="dxa"/>
            <w:vAlign w:val="bottom"/>
          </w:tcPr>
          <w:p>
            <w:pPr>
              <w:jc w:val="right"/>
              <w:ind w:right="273"/>
              <w:spacing w:after="0"/>
              <w:rPr>
                <w:sz w:val="20"/>
                <w:szCs w:val="20"/>
                <w:color w:val="auto"/>
              </w:rPr>
            </w:pPr>
            <w:r>
              <w:rPr>
                <w:rFonts w:ascii="Arial" w:cs="Arial" w:eastAsia="Arial" w:hAnsi="Arial"/>
                <w:sz w:val="13"/>
                <w:szCs w:val="13"/>
                <w:color w:val="auto"/>
              </w:rPr>
              <w:t>39.88</w:t>
            </w:r>
          </w:p>
        </w:tc>
        <w:tc>
          <w:tcPr>
            <w:tcW w:w="1120" w:type="dxa"/>
            <w:vAlign w:val="bottom"/>
          </w:tcPr>
          <w:p>
            <w:pPr>
              <w:jc w:val="right"/>
              <w:ind w:right="153"/>
              <w:spacing w:after="0"/>
              <w:rPr>
                <w:sz w:val="20"/>
                <w:szCs w:val="20"/>
                <w:color w:val="auto"/>
              </w:rPr>
            </w:pPr>
            <w:r>
              <w:rPr>
                <w:rFonts w:ascii="Arial" w:cs="Arial" w:eastAsia="Arial" w:hAnsi="Arial"/>
                <w:sz w:val="13"/>
                <w:szCs w:val="13"/>
                <w:color w:val="auto"/>
              </w:rPr>
              <w:t>3/1/2027</w:t>
            </w:r>
          </w:p>
        </w:tc>
        <w:tc>
          <w:tcPr>
            <w:tcW w:w="11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5"/>
        </w:trPr>
        <w:tc>
          <w:tcPr>
            <w:tcW w:w="1920" w:type="dxa"/>
            <w:vAlign w:val="bottom"/>
          </w:tcPr>
          <w:p>
            <w:pPr>
              <w:spacing w:after="0"/>
              <w:rPr>
                <w:sz w:val="2"/>
                <w:szCs w:val="2"/>
                <w:color w:val="auto"/>
              </w:rPr>
            </w:pPr>
          </w:p>
        </w:tc>
        <w:tc>
          <w:tcPr>
            <w:tcW w:w="1340" w:type="dxa"/>
            <w:vAlign w:val="bottom"/>
            <w:tcBorders>
              <w:bottom w:val="single" w:sz="8" w:color="BCBEC0"/>
            </w:tcBorders>
          </w:tcPr>
          <w:p>
            <w:pPr>
              <w:spacing w:after="0"/>
              <w:rPr>
                <w:sz w:val="2"/>
                <w:szCs w:val="2"/>
                <w:color w:val="auto"/>
              </w:rPr>
            </w:pPr>
          </w:p>
        </w:tc>
        <w:tc>
          <w:tcPr>
            <w:tcW w:w="660" w:type="dxa"/>
            <w:vAlign w:val="bottom"/>
            <w:tcBorders>
              <w:bottom w:val="single" w:sz="8" w:color="BCBEC0"/>
            </w:tcBorders>
          </w:tcPr>
          <w:p>
            <w:pPr>
              <w:spacing w:after="0"/>
              <w:rPr>
                <w:sz w:val="2"/>
                <w:szCs w:val="2"/>
                <w:color w:val="auto"/>
              </w:rPr>
            </w:pPr>
          </w:p>
        </w:tc>
        <w:tc>
          <w:tcPr>
            <w:tcW w:w="760" w:type="dxa"/>
            <w:vAlign w:val="bottom"/>
            <w:tcBorders>
              <w:bottom w:val="single" w:sz="8" w:color="BCBEC0"/>
            </w:tcBorders>
          </w:tcPr>
          <w:p>
            <w:pPr>
              <w:spacing w:after="0"/>
              <w:rPr>
                <w:sz w:val="2"/>
                <w:szCs w:val="2"/>
                <w:color w:val="auto"/>
              </w:rPr>
            </w:pPr>
          </w:p>
        </w:tc>
        <w:tc>
          <w:tcPr>
            <w:tcW w:w="860" w:type="dxa"/>
            <w:vAlign w:val="bottom"/>
            <w:tcBorders>
              <w:bottom w:val="single" w:sz="8" w:color="BCBEC0"/>
            </w:tcBorders>
          </w:tcPr>
          <w:p>
            <w:pPr>
              <w:spacing w:after="0"/>
              <w:rPr>
                <w:sz w:val="2"/>
                <w:szCs w:val="2"/>
                <w:color w:val="auto"/>
              </w:rPr>
            </w:pPr>
          </w:p>
        </w:tc>
        <w:tc>
          <w:tcPr>
            <w:tcW w:w="1120" w:type="dxa"/>
            <w:vAlign w:val="bottom"/>
            <w:tcBorders>
              <w:bottom w:val="single" w:sz="8" w:color="BCBEC0"/>
            </w:tcBorders>
          </w:tcPr>
          <w:p>
            <w:pPr>
              <w:spacing w:after="0"/>
              <w:rPr>
                <w:sz w:val="2"/>
                <w:szCs w:val="2"/>
                <w:color w:val="auto"/>
              </w:rPr>
            </w:pPr>
          </w:p>
        </w:tc>
        <w:tc>
          <w:tcPr>
            <w:tcW w:w="1140" w:type="dxa"/>
            <w:vAlign w:val="bottom"/>
            <w:tcBorders>
              <w:bottom w:val="single" w:sz="8" w:color="BCBEC0"/>
            </w:tcBorders>
          </w:tcPr>
          <w:p>
            <w:pPr>
              <w:spacing w:after="0"/>
              <w:rPr>
                <w:sz w:val="2"/>
                <w:szCs w:val="2"/>
                <w:color w:val="auto"/>
              </w:rPr>
            </w:pPr>
          </w:p>
        </w:tc>
        <w:tc>
          <w:tcPr>
            <w:tcW w:w="1440" w:type="dxa"/>
            <w:vAlign w:val="bottom"/>
            <w:tcBorders>
              <w:bottom w:val="single" w:sz="8" w:color="BCBEC0"/>
            </w:tcBorders>
          </w:tcPr>
          <w:p>
            <w:pPr>
              <w:spacing w:after="0"/>
              <w:rPr>
                <w:sz w:val="2"/>
                <w:szCs w:val="2"/>
                <w:color w:val="auto"/>
              </w:rPr>
            </w:pPr>
          </w:p>
        </w:tc>
        <w:tc>
          <w:tcPr>
            <w:tcW w:w="980" w:type="dxa"/>
            <w:vAlign w:val="bottom"/>
            <w:tcBorders>
              <w:bottom w:val="single" w:sz="8" w:color="BCBEC0"/>
            </w:tcBorders>
          </w:tcPr>
          <w:p>
            <w:pPr>
              <w:spacing w:after="0"/>
              <w:rPr>
                <w:sz w:val="2"/>
                <w:szCs w:val="2"/>
                <w:color w:val="auto"/>
              </w:rPr>
            </w:pPr>
          </w:p>
        </w:tc>
        <w:tc>
          <w:tcPr>
            <w:tcW w:w="1020" w:type="dxa"/>
            <w:vAlign w:val="bottom"/>
            <w:tcBorders>
              <w:bottom w:val="single" w:sz="8" w:color="BCBEC0"/>
            </w:tcBorders>
          </w:tcPr>
          <w:p>
            <w:pPr>
              <w:spacing w:after="0"/>
              <w:rPr>
                <w:sz w:val="2"/>
                <w:szCs w:val="2"/>
                <w:color w:val="auto"/>
              </w:rPr>
            </w:pPr>
          </w:p>
        </w:tc>
      </w:tr>
      <w:tr>
        <w:trPr>
          <w:trHeight w:val="184"/>
        </w:trPr>
        <w:tc>
          <w:tcPr>
            <w:tcW w:w="1920" w:type="dxa"/>
            <w:vAlign w:val="bottom"/>
          </w:tcPr>
          <w:p>
            <w:pPr>
              <w:spacing w:after="0"/>
              <w:rPr>
                <w:sz w:val="16"/>
                <w:szCs w:val="16"/>
                <w:color w:val="auto"/>
              </w:rPr>
            </w:pPr>
          </w:p>
        </w:tc>
        <w:tc>
          <w:tcPr>
            <w:tcW w:w="1340" w:type="dxa"/>
            <w:vAlign w:val="bottom"/>
          </w:tcPr>
          <w:p>
            <w:pPr>
              <w:jc w:val="right"/>
              <w:ind w:right="193"/>
              <w:spacing w:after="0"/>
              <w:rPr>
                <w:sz w:val="20"/>
                <w:szCs w:val="20"/>
                <w:color w:val="auto"/>
              </w:rPr>
            </w:pPr>
            <w:r>
              <w:rPr>
                <w:rFonts w:ascii="Arial" w:cs="Arial" w:eastAsia="Arial" w:hAnsi="Arial"/>
                <w:sz w:val="13"/>
                <w:szCs w:val="13"/>
                <w:color w:val="auto"/>
              </w:rPr>
              <w:t>4,885</w:t>
            </w: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760" w:type="dxa"/>
            <w:vAlign w:val="bottom"/>
          </w:tcPr>
          <w:p>
            <w:pPr>
              <w:spacing w:after="0"/>
              <w:rPr>
                <w:sz w:val="16"/>
                <w:szCs w:val="16"/>
                <w:color w:val="auto"/>
              </w:rPr>
            </w:pPr>
          </w:p>
        </w:tc>
        <w:tc>
          <w:tcPr>
            <w:tcW w:w="860" w:type="dxa"/>
            <w:vAlign w:val="bottom"/>
          </w:tcPr>
          <w:p>
            <w:pPr>
              <w:jc w:val="right"/>
              <w:ind w:right="273"/>
              <w:spacing w:after="0"/>
              <w:rPr>
                <w:sz w:val="20"/>
                <w:szCs w:val="20"/>
                <w:color w:val="auto"/>
              </w:rPr>
            </w:pPr>
            <w:r>
              <w:rPr>
                <w:rFonts w:ascii="Arial" w:cs="Arial" w:eastAsia="Arial" w:hAnsi="Arial"/>
                <w:sz w:val="13"/>
                <w:szCs w:val="13"/>
                <w:color w:val="auto"/>
              </w:rPr>
              <w:t>45.42</w:t>
            </w:r>
          </w:p>
        </w:tc>
        <w:tc>
          <w:tcPr>
            <w:tcW w:w="1120" w:type="dxa"/>
            <w:vAlign w:val="bottom"/>
          </w:tcPr>
          <w:p>
            <w:pPr>
              <w:jc w:val="right"/>
              <w:ind w:right="153"/>
              <w:spacing w:after="0"/>
              <w:rPr>
                <w:sz w:val="20"/>
                <w:szCs w:val="20"/>
                <w:color w:val="auto"/>
              </w:rPr>
            </w:pPr>
            <w:r>
              <w:rPr>
                <w:rFonts w:ascii="Arial" w:cs="Arial" w:eastAsia="Arial" w:hAnsi="Arial"/>
                <w:sz w:val="13"/>
                <w:szCs w:val="13"/>
                <w:color w:val="auto"/>
              </w:rPr>
              <w:t>5/2/2028</w:t>
            </w:r>
          </w:p>
        </w:tc>
        <w:tc>
          <w:tcPr>
            <w:tcW w:w="11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5"/>
        </w:trPr>
        <w:tc>
          <w:tcPr>
            <w:tcW w:w="1920" w:type="dxa"/>
            <w:vAlign w:val="bottom"/>
          </w:tcPr>
          <w:p>
            <w:pPr>
              <w:spacing w:after="0"/>
              <w:rPr>
                <w:sz w:val="2"/>
                <w:szCs w:val="2"/>
                <w:color w:val="auto"/>
              </w:rPr>
            </w:pPr>
          </w:p>
        </w:tc>
        <w:tc>
          <w:tcPr>
            <w:tcW w:w="1340" w:type="dxa"/>
            <w:vAlign w:val="bottom"/>
            <w:tcBorders>
              <w:bottom w:val="single" w:sz="8" w:color="BCBEC0"/>
            </w:tcBorders>
          </w:tcPr>
          <w:p>
            <w:pPr>
              <w:spacing w:after="0"/>
              <w:rPr>
                <w:sz w:val="2"/>
                <w:szCs w:val="2"/>
                <w:color w:val="auto"/>
              </w:rPr>
            </w:pPr>
          </w:p>
        </w:tc>
        <w:tc>
          <w:tcPr>
            <w:tcW w:w="660" w:type="dxa"/>
            <w:vAlign w:val="bottom"/>
            <w:tcBorders>
              <w:bottom w:val="single" w:sz="8" w:color="BCBEC0"/>
            </w:tcBorders>
          </w:tcPr>
          <w:p>
            <w:pPr>
              <w:spacing w:after="0"/>
              <w:rPr>
                <w:sz w:val="2"/>
                <w:szCs w:val="2"/>
                <w:color w:val="auto"/>
              </w:rPr>
            </w:pPr>
          </w:p>
        </w:tc>
        <w:tc>
          <w:tcPr>
            <w:tcW w:w="760" w:type="dxa"/>
            <w:vAlign w:val="bottom"/>
            <w:tcBorders>
              <w:bottom w:val="single" w:sz="8" w:color="BCBEC0"/>
            </w:tcBorders>
          </w:tcPr>
          <w:p>
            <w:pPr>
              <w:spacing w:after="0"/>
              <w:rPr>
                <w:sz w:val="2"/>
                <w:szCs w:val="2"/>
                <w:color w:val="auto"/>
              </w:rPr>
            </w:pPr>
          </w:p>
        </w:tc>
        <w:tc>
          <w:tcPr>
            <w:tcW w:w="860" w:type="dxa"/>
            <w:vAlign w:val="bottom"/>
            <w:tcBorders>
              <w:bottom w:val="single" w:sz="8" w:color="BCBEC0"/>
            </w:tcBorders>
          </w:tcPr>
          <w:p>
            <w:pPr>
              <w:spacing w:after="0"/>
              <w:rPr>
                <w:sz w:val="2"/>
                <w:szCs w:val="2"/>
                <w:color w:val="auto"/>
              </w:rPr>
            </w:pPr>
          </w:p>
        </w:tc>
        <w:tc>
          <w:tcPr>
            <w:tcW w:w="1120" w:type="dxa"/>
            <w:vAlign w:val="bottom"/>
            <w:tcBorders>
              <w:bottom w:val="single" w:sz="8" w:color="BCBEC0"/>
            </w:tcBorders>
          </w:tcPr>
          <w:p>
            <w:pPr>
              <w:spacing w:after="0"/>
              <w:rPr>
                <w:sz w:val="2"/>
                <w:szCs w:val="2"/>
                <w:color w:val="auto"/>
              </w:rPr>
            </w:pPr>
          </w:p>
        </w:tc>
        <w:tc>
          <w:tcPr>
            <w:tcW w:w="1140" w:type="dxa"/>
            <w:vAlign w:val="bottom"/>
            <w:tcBorders>
              <w:bottom w:val="single" w:sz="8" w:color="BCBEC0"/>
            </w:tcBorders>
          </w:tcPr>
          <w:p>
            <w:pPr>
              <w:spacing w:after="0"/>
              <w:rPr>
                <w:sz w:val="2"/>
                <w:szCs w:val="2"/>
                <w:color w:val="auto"/>
              </w:rPr>
            </w:pPr>
          </w:p>
        </w:tc>
        <w:tc>
          <w:tcPr>
            <w:tcW w:w="1440" w:type="dxa"/>
            <w:vAlign w:val="bottom"/>
            <w:tcBorders>
              <w:bottom w:val="single" w:sz="8" w:color="BCBEC0"/>
            </w:tcBorders>
          </w:tcPr>
          <w:p>
            <w:pPr>
              <w:spacing w:after="0"/>
              <w:rPr>
                <w:sz w:val="2"/>
                <w:szCs w:val="2"/>
                <w:color w:val="auto"/>
              </w:rPr>
            </w:pPr>
          </w:p>
        </w:tc>
        <w:tc>
          <w:tcPr>
            <w:tcW w:w="980" w:type="dxa"/>
            <w:vAlign w:val="bottom"/>
            <w:tcBorders>
              <w:bottom w:val="single" w:sz="8" w:color="BCBEC0"/>
            </w:tcBorders>
          </w:tcPr>
          <w:p>
            <w:pPr>
              <w:spacing w:after="0"/>
              <w:rPr>
                <w:sz w:val="2"/>
                <w:szCs w:val="2"/>
                <w:color w:val="auto"/>
              </w:rPr>
            </w:pPr>
          </w:p>
        </w:tc>
        <w:tc>
          <w:tcPr>
            <w:tcW w:w="1020" w:type="dxa"/>
            <w:vAlign w:val="bottom"/>
            <w:tcBorders>
              <w:bottom w:val="single" w:sz="8" w:color="BCBEC0"/>
            </w:tcBorders>
          </w:tcPr>
          <w:p>
            <w:pPr>
              <w:spacing w:after="0"/>
              <w:rPr>
                <w:sz w:val="2"/>
                <w:szCs w:val="2"/>
                <w:color w:val="auto"/>
              </w:rPr>
            </w:pPr>
          </w:p>
        </w:tc>
      </w:tr>
      <w:tr>
        <w:trPr>
          <w:trHeight w:val="184"/>
        </w:trPr>
        <w:tc>
          <w:tcPr>
            <w:tcW w:w="1920" w:type="dxa"/>
            <w:vAlign w:val="bottom"/>
          </w:tcPr>
          <w:p>
            <w:pPr>
              <w:spacing w:after="0"/>
              <w:rPr>
                <w:sz w:val="16"/>
                <w:szCs w:val="16"/>
                <w:color w:val="auto"/>
              </w:rPr>
            </w:pPr>
          </w:p>
        </w:tc>
        <w:tc>
          <w:tcPr>
            <w:tcW w:w="1340" w:type="dxa"/>
            <w:vAlign w:val="bottom"/>
          </w:tcPr>
          <w:p>
            <w:pPr>
              <w:jc w:val="right"/>
              <w:ind w:right="193"/>
              <w:spacing w:after="0"/>
              <w:rPr>
                <w:sz w:val="20"/>
                <w:szCs w:val="20"/>
                <w:color w:val="auto"/>
              </w:rPr>
            </w:pPr>
            <w:r>
              <w:rPr>
                <w:rFonts w:ascii="Arial" w:cs="Arial" w:eastAsia="Arial" w:hAnsi="Arial"/>
                <w:sz w:val="13"/>
                <w:szCs w:val="13"/>
                <w:color w:val="auto"/>
              </w:rPr>
              <w:t>3,744</w:t>
            </w: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760" w:type="dxa"/>
            <w:vAlign w:val="bottom"/>
          </w:tcPr>
          <w:p>
            <w:pPr>
              <w:spacing w:after="0"/>
              <w:rPr>
                <w:sz w:val="16"/>
                <w:szCs w:val="16"/>
                <w:color w:val="auto"/>
              </w:rPr>
            </w:pPr>
          </w:p>
        </w:tc>
        <w:tc>
          <w:tcPr>
            <w:tcW w:w="860" w:type="dxa"/>
            <w:vAlign w:val="bottom"/>
          </w:tcPr>
          <w:p>
            <w:pPr>
              <w:jc w:val="right"/>
              <w:ind w:right="273"/>
              <w:spacing w:after="0"/>
              <w:rPr>
                <w:sz w:val="20"/>
                <w:szCs w:val="20"/>
                <w:color w:val="auto"/>
              </w:rPr>
            </w:pPr>
            <w:r>
              <w:rPr>
                <w:rFonts w:ascii="Arial" w:cs="Arial" w:eastAsia="Arial" w:hAnsi="Arial"/>
                <w:sz w:val="13"/>
                <w:szCs w:val="13"/>
                <w:color w:val="auto"/>
              </w:rPr>
              <w:t>42.68</w:t>
            </w:r>
          </w:p>
        </w:tc>
        <w:tc>
          <w:tcPr>
            <w:tcW w:w="1120" w:type="dxa"/>
            <w:vAlign w:val="bottom"/>
          </w:tcPr>
          <w:p>
            <w:pPr>
              <w:jc w:val="right"/>
              <w:ind w:right="153"/>
              <w:spacing w:after="0"/>
              <w:rPr>
                <w:sz w:val="20"/>
                <w:szCs w:val="20"/>
                <w:color w:val="auto"/>
              </w:rPr>
            </w:pPr>
            <w:r>
              <w:rPr>
                <w:rFonts w:ascii="Arial" w:cs="Arial" w:eastAsia="Arial" w:hAnsi="Arial"/>
                <w:sz w:val="13"/>
                <w:szCs w:val="13"/>
                <w:color w:val="auto"/>
              </w:rPr>
              <w:t>3/1/2029</w:t>
            </w:r>
          </w:p>
        </w:tc>
        <w:tc>
          <w:tcPr>
            <w:tcW w:w="11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5"/>
        </w:trPr>
        <w:tc>
          <w:tcPr>
            <w:tcW w:w="1920" w:type="dxa"/>
            <w:vAlign w:val="bottom"/>
          </w:tcPr>
          <w:p>
            <w:pPr>
              <w:spacing w:after="0"/>
              <w:rPr>
                <w:sz w:val="2"/>
                <w:szCs w:val="2"/>
                <w:color w:val="auto"/>
              </w:rPr>
            </w:pPr>
          </w:p>
        </w:tc>
        <w:tc>
          <w:tcPr>
            <w:tcW w:w="1340" w:type="dxa"/>
            <w:vAlign w:val="bottom"/>
            <w:tcBorders>
              <w:bottom w:val="single" w:sz="8" w:color="BCBEC0"/>
            </w:tcBorders>
          </w:tcPr>
          <w:p>
            <w:pPr>
              <w:spacing w:after="0"/>
              <w:rPr>
                <w:sz w:val="2"/>
                <w:szCs w:val="2"/>
                <w:color w:val="auto"/>
              </w:rPr>
            </w:pPr>
          </w:p>
        </w:tc>
        <w:tc>
          <w:tcPr>
            <w:tcW w:w="660" w:type="dxa"/>
            <w:vAlign w:val="bottom"/>
            <w:tcBorders>
              <w:bottom w:val="single" w:sz="8" w:color="BCBEC0"/>
            </w:tcBorders>
          </w:tcPr>
          <w:p>
            <w:pPr>
              <w:spacing w:after="0"/>
              <w:rPr>
                <w:sz w:val="2"/>
                <w:szCs w:val="2"/>
                <w:color w:val="auto"/>
              </w:rPr>
            </w:pPr>
          </w:p>
        </w:tc>
        <w:tc>
          <w:tcPr>
            <w:tcW w:w="760" w:type="dxa"/>
            <w:vAlign w:val="bottom"/>
            <w:tcBorders>
              <w:bottom w:val="single" w:sz="8" w:color="BCBEC0"/>
            </w:tcBorders>
          </w:tcPr>
          <w:p>
            <w:pPr>
              <w:spacing w:after="0"/>
              <w:rPr>
                <w:sz w:val="2"/>
                <w:szCs w:val="2"/>
                <w:color w:val="auto"/>
              </w:rPr>
            </w:pPr>
          </w:p>
        </w:tc>
        <w:tc>
          <w:tcPr>
            <w:tcW w:w="860" w:type="dxa"/>
            <w:vAlign w:val="bottom"/>
            <w:tcBorders>
              <w:bottom w:val="single" w:sz="8" w:color="BCBEC0"/>
            </w:tcBorders>
          </w:tcPr>
          <w:p>
            <w:pPr>
              <w:spacing w:after="0"/>
              <w:rPr>
                <w:sz w:val="2"/>
                <w:szCs w:val="2"/>
                <w:color w:val="auto"/>
              </w:rPr>
            </w:pPr>
          </w:p>
        </w:tc>
        <w:tc>
          <w:tcPr>
            <w:tcW w:w="1120" w:type="dxa"/>
            <w:vAlign w:val="bottom"/>
            <w:tcBorders>
              <w:bottom w:val="single" w:sz="8" w:color="BCBEC0"/>
            </w:tcBorders>
          </w:tcPr>
          <w:p>
            <w:pPr>
              <w:spacing w:after="0"/>
              <w:rPr>
                <w:sz w:val="2"/>
                <w:szCs w:val="2"/>
                <w:color w:val="auto"/>
              </w:rPr>
            </w:pPr>
          </w:p>
        </w:tc>
        <w:tc>
          <w:tcPr>
            <w:tcW w:w="1140" w:type="dxa"/>
            <w:vAlign w:val="bottom"/>
            <w:tcBorders>
              <w:bottom w:val="single" w:sz="8" w:color="BCBEC0"/>
            </w:tcBorders>
          </w:tcPr>
          <w:p>
            <w:pPr>
              <w:spacing w:after="0"/>
              <w:rPr>
                <w:sz w:val="2"/>
                <w:szCs w:val="2"/>
                <w:color w:val="auto"/>
              </w:rPr>
            </w:pPr>
          </w:p>
        </w:tc>
        <w:tc>
          <w:tcPr>
            <w:tcW w:w="1440" w:type="dxa"/>
            <w:vAlign w:val="bottom"/>
            <w:tcBorders>
              <w:bottom w:val="single" w:sz="8" w:color="BCBEC0"/>
            </w:tcBorders>
          </w:tcPr>
          <w:p>
            <w:pPr>
              <w:spacing w:after="0"/>
              <w:rPr>
                <w:sz w:val="2"/>
                <w:szCs w:val="2"/>
                <w:color w:val="auto"/>
              </w:rPr>
            </w:pPr>
          </w:p>
        </w:tc>
        <w:tc>
          <w:tcPr>
            <w:tcW w:w="980" w:type="dxa"/>
            <w:vAlign w:val="bottom"/>
            <w:tcBorders>
              <w:bottom w:val="single" w:sz="8" w:color="BCBEC0"/>
            </w:tcBorders>
          </w:tcPr>
          <w:p>
            <w:pPr>
              <w:spacing w:after="0"/>
              <w:rPr>
                <w:sz w:val="2"/>
                <w:szCs w:val="2"/>
                <w:color w:val="auto"/>
              </w:rPr>
            </w:pPr>
          </w:p>
        </w:tc>
        <w:tc>
          <w:tcPr>
            <w:tcW w:w="1020" w:type="dxa"/>
            <w:vAlign w:val="bottom"/>
            <w:tcBorders>
              <w:bottom w:val="single" w:sz="8" w:color="BCBEC0"/>
            </w:tcBorders>
          </w:tcPr>
          <w:p>
            <w:pPr>
              <w:spacing w:after="0"/>
              <w:rPr>
                <w:sz w:val="2"/>
                <w:szCs w:val="2"/>
                <w:color w:val="auto"/>
              </w:rPr>
            </w:pPr>
          </w:p>
        </w:tc>
      </w:tr>
      <w:tr>
        <w:trPr>
          <w:trHeight w:val="184"/>
        </w:trPr>
        <w:tc>
          <w:tcPr>
            <w:tcW w:w="1920" w:type="dxa"/>
            <w:vAlign w:val="bottom"/>
          </w:tcPr>
          <w:p>
            <w:pPr>
              <w:spacing w:after="0"/>
              <w:rPr>
                <w:sz w:val="16"/>
                <w:szCs w:val="16"/>
                <w:color w:val="auto"/>
              </w:rPr>
            </w:pPr>
          </w:p>
        </w:tc>
        <w:tc>
          <w:tcPr>
            <w:tcW w:w="1340" w:type="dxa"/>
            <w:vAlign w:val="bottom"/>
          </w:tcPr>
          <w:p>
            <w:pPr>
              <w:jc w:val="right"/>
              <w:ind w:right="193"/>
              <w:spacing w:after="0"/>
              <w:rPr>
                <w:sz w:val="20"/>
                <w:szCs w:val="20"/>
                <w:color w:val="auto"/>
              </w:rPr>
            </w:pPr>
            <w:r>
              <w:rPr>
                <w:rFonts w:ascii="Arial" w:cs="Arial" w:eastAsia="Arial" w:hAnsi="Arial"/>
                <w:sz w:val="13"/>
                <w:szCs w:val="13"/>
                <w:color w:val="auto"/>
              </w:rPr>
              <w:t>4,117</w:t>
            </w: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760" w:type="dxa"/>
            <w:vAlign w:val="bottom"/>
          </w:tcPr>
          <w:p>
            <w:pPr>
              <w:spacing w:after="0"/>
              <w:rPr>
                <w:sz w:val="16"/>
                <w:szCs w:val="16"/>
                <w:color w:val="auto"/>
              </w:rPr>
            </w:pPr>
          </w:p>
        </w:tc>
        <w:tc>
          <w:tcPr>
            <w:tcW w:w="860" w:type="dxa"/>
            <w:vAlign w:val="bottom"/>
          </w:tcPr>
          <w:p>
            <w:pPr>
              <w:jc w:val="right"/>
              <w:ind w:right="273"/>
              <w:spacing w:after="0"/>
              <w:rPr>
                <w:sz w:val="20"/>
                <w:szCs w:val="20"/>
                <w:color w:val="auto"/>
              </w:rPr>
            </w:pPr>
            <w:r>
              <w:rPr>
                <w:rFonts w:ascii="Arial" w:cs="Arial" w:eastAsia="Arial" w:hAnsi="Arial"/>
                <w:sz w:val="13"/>
                <w:szCs w:val="13"/>
                <w:color w:val="auto"/>
              </w:rPr>
              <w:t>41.08</w:t>
            </w:r>
          </w:p>
        </w:tc>
        <w:tc>
          <w:tcPr>
            <w:tcW w:w="1120" w:type="dxa"/>
            <w:vAlign w:val="bottom"/>
          </w:tcPr>
          <w:p>
            <w:pPr>
              <w:jc w:val="right"/>
              <w:ind w:right="153"/>
              <w:spacing w:after="0"/>
              <w:rPr>
                <w:sz w:val="20"/>
                <w:szCs w:val="20"/>
                <w:color w:val="auto"/>
              </w:rPr>
            </w:pPr>
            <w:r>
              <w:rPr>
                <w:rFonts w:ascii="Arial" w:cs="Arial" w:eastAsia="Arial" w:hAnsi="Arial"/>
                <w:sz w:val="13"/>
                <w:szCs w:val="13"/>
                <w:color w:val="auto"/>
              </w:rPr>
              <w:t>3/2/2030</w:t>
            </w:r>
          </w:p>
        </w:tc>
        <w:tc>
          <w:tcPr>
            <w:tcW w:w="11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5"/>
        </w:trPr>
        <w:tc>
          <w:tcPr>
            <w:tcW w:w="1920" w:type="dxa"/>
            <w:vAlign w:val="bottom"/>
          </w:tcPr>
          <w:p>
            <w:pPr>
              <w:spacing w:after="0"/>
              <w:rPr>
                <w:sz w:val="2"/>
                <w:szCs w:val="2"/>
                <w:color w:val="auto"/>
              </w:rPr>
            </w:pPr>
          </w:p>
        </w:tc>
        <w:tc>
          <w:tcPr>
            <w:tcW w:w="1340" w:type="dxa"/>
            <w:vAlign w:val="bottom"/>
            <w:tcBorders>
              <w:bottom w:val="single" w:sz="8" w:color="BCBEC0"/>
            </w:tcBorders>
          </w:tcPr>
          <w:p>
            <w:pPr>
              <w:spacing w:after="0"/>
              <w:rPr>
                <w:sz w:val="2"/>
                <w:szCs w:val="2"/>
                <w:color w:val="auto"/>
              </w:rPr>
            </w:pPr>
          </w:p>
        </w:tc>
        <w:tc>
          <w:tcPr>
            <w:tcW w:w="660" w:type="dxa"/>
            <w:vAlign w:val="bottom"/>
            <w:tcBorders>
              <w:bottom w:val="single" w:sz="8" w:color="BCBEC0"/>
            </w:tcBorders>
          </w:tcPr>
          <w:p>
            <w:pPr>
              <w:spacing w:after="0"/>
              <w:rPr>
                <w:sz w:val="2"/>
                <w:szCs w:val="2"/>
                <w:color w:val="auto"/>
              </w:rPr>
            </w:pPr>
          </w:p>
        </w:tc>
        <w:tc>
          <w:tcPr>
            <w:tcW w:w="760" w:type="dxa"/>
            <w:vAlign w:val="bottom"/>
            <w:tcBorders>
              <w:bottom w:val="single" w:sz="8" w:color="BCBEC0"/>
            </w:tcBorders>
          </w:tcPr>
          <w:p>
            <w:pPr>
              <w:spacing w:after="0"/>
              <w:rPr>
                <w:sz w:val="2"/>
                <w:szCs w:val="2"/>
                <w:color w:val="auto"/>
              </w:rPr>
            </w:pPr>
          </w:p>
        </w:tc>
        <w:tc>
          <w:tcPr>
            <w:tcW w:w="860" w:type="dxa"/>
            <w:vAlign w:val="bottom"/>
            <w:tcBorders>
              <w:bottom w:val="single" w:sz="8" w:color="BCBEC0"/>
            </w:tcBorders>
          </w:tcPr>
          <w:p>
            <w:pPr>
              <w:spacing w:after="0"/>
              <w:rPr>
                <w:sz w:val="2"/>
                <w:szCs w:val="2"/>
                <w:color w:val="auto"/>
              </w:rPr>
            </w:pPr>
          </w:p>
        </w:tc>
        <w:tc>
          <w:tcPr>
            <w:tcW w:w="1120" w:type="dxa"/>
            <w:vAlign w:val="bottom"/>
            <w:tcBorders>
              <w:bottom w:val="single" w:sz="8" w:color="BCBEC0"/>
            </w:tcBorders>
          </w:tcPr>
          <w:p>
            <w:pPr>
              <w:spacing w:after="0"/>
              <w:rPr>
                <w:sz w:val="2"/>
                <w:szCs w:val="2"/>
                <w:color w:val="auto"/>
              </w:rPr>
            </w:pPr>
          </w:p>
        </w:tc>
        <w:tc>
          <w:tcPr>
            <w:tcW w:w="1140" w:type="dxa"/>
            <w:vAlign w:val="bottom"/>
            <w:tcBorders>
              <w:bottom w:val="single" w:sz="8" w:color="BCBEC0"/>
            </w:tcBorders>
          </w:tcPr>
          <w:p>
            <w:pPr>
              <w:spacing w:after="0"/>
              <w:rPr>
                <w:sz w:val="2"/>
                <w:szCs w:val="2"/>
                <w:color w:val="auto"/>
              </w:rPr>
            </w:pPr>
          </w:p>
        </w:tc>
        <w:tc>
          <w:tcPr>
            <w:tcW w:w="1440" w:type="dxa"/>
            <w:vAlign w:val="bottom"/>
            <w:tcBorders>
              <w:bottom w:val="single" w:sz="8" w:color="BCBEC0"/>
            </w:tcBorders>
          </w:tcPr>
          <w:p>
            <w:pPr>
              <w:spacing w:after="0"/>
              <w:rPr>
                <w:sz w:val="2"/>
                <w:szCs w:val="2"/>
                <w:color w:val="auto"/>
              </w:rPr>
            </w:pPr>
          </w:p>
        </w:tc>
        <w:tc>
          <w:tcPr>
            <w:tcW w:w="980" w:type="dxa"/>
            <w:vAlign w:val="bottom"/>
            <w:tcBorders>
              <w:bottom w:val="single" w:sz="8" w:color="BCBEC0"/>
            </w:tcBorders>
          </w:tcPr>
          <w:p>
            <w:pPr>
              <w:spacing w:after="0"/>
              <w:rPr>
                <w:sz w:val="2"/>
                <w:szCs w:val="2"/>
                <w:color w:val="auto"/>
              </w:rPr>
            </w:pPr>
          </w:p>
        </w:tc>
        <w:tc>
          <w:tcPr>
            <w:tcW w:w="1020" w:type="dxa"/>
            <w:vAlign w:val="bottom"/>
            <w:tcBorders>
              <w:bottom w:val="single" w:sz="8" w:color="BCBEC0"/>
            </w:tcBorders>
          </w:tcPr>
          <w:p>
            <w:pPr>
              <w:spacing w:after="0"/>
              <w:rPr>
                <w:sz w:val="2"/>
                <w:szCs w:val="2"/>
                <w:color w:val="auto"/>
              </w:rPr>
            </w:pPr>
          </w:p>
        </w:tc>
      </w:tr>
      <w:tr>
        <w:trPr>
          <w:trHeight w:val="184"/>
        </w:trPr>
        <w:tc>
          <w:tcPr>
            <w:tcW w:w="1920" w:type="dxa"/>
            <w:vAlign w:val="bottom"/>
          </w:tcPr>
          <w:p>
            <w:pPr>
              <w:spacing w:after="0"/>
              <w:rPr>
                <w:sz w:val="16"/>
                <w:szCs w:val="16"/>
                <w:color w:val="auto"/>
              </w:rPr>
            </w:pPr>
          </w:p>
        </w:tc>
        <w:tc>
          <w:tcPr>
            <w:tcW w:w="1340" w:type="dxa"/>
            <w:vAlign w:val="bottom"/>
          </w:tcPr>
          <w:p>
            <w:pPr>
              <w:jc w:val="right"/>
              <w:ind w:right="193"/>
              <w:spacing w:after="0"/>
              <w:rPr>
                <w:sz w:val="20"/>
                <w:szCs w:val="20"/>
                <w:color w:val="auto"/>
              </w:rPr>
            </w:pPr>
            <w:r>
              <w:rPr>
                <w:rFonts w:ascii="Arial" w:cs="Arial" w:eastAsia="Arial" w:hAnsi="Arial"/>
                <w:sz w:val="13"/>
                <w:szCs w:val="13"/>
                <w:color w:val="auto"/>
              </w:rPr>
              <w:t>5,321</w:t>
            </w: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760" w:type="dxa"/>
            <w:vAlign w:val="bottom"/>
          </w:tcPr>
          <w:p>
            <w:pPr>
              <w:spacing w:after="0"/>
              <w:rPr>
                <w:sz w:val="16"/>
                <w:szCs w:val="16"/>
                <w:color w:val="auto"/>
              </w:rPr>
            </w:pPr>
          </w:p>
        </w:tc>
        <w:tc>
          <w:tcPr>
            <w:tcW w:w="860" w:type="dxa"/>
            <w:vAlign w:val="bottom"/>
          </w:tcPr>
          <w:p>
            <w:pPr>
              <w:jc w:val="right"/>
              <w:ind w:right="273"/>
              <w:spacing w:after="0"/>
              <w:rPr>
                <w:sz w:val="20"/>
                <w:szCs w:val="20"/>
                <w:color w:val="auto"/>
              </w:rPr>
            </w:pPr>
            <w:r>
              <w:rPr>
                <w:rFonts w:ascii="Arial" w:cs="Arial" w:eastAsia="Arial" w:hAnsi="Arial"/>
                <w:sz w:val="13"/>
                <w:szCs w:val="13"/>
                <w:color w:val="auto"/>
              </w:rPr>
              <w:t>58.28</w:t>
            </w:r>
          </w:p>
        </w:tc>
        <w:tc>
          <w:tcPr>
            <w:tcW w:w="1120" w:type="dxa"/>
            <w:vAlign w:val="bottom"/>
          </w:tcPr>
          <w:p>
            <w:pPr>
              <w:jc w:val="right"/>
              <w:ind w:right="153"/>
              <w:spacing w:after="0"/>
              <w:rPr>
                <w:sz w:val="20"/>
                <w:szCs w:val="20"/>
                <w:color w:val="auto"/>
              </w:rPr>
            </w:pPr>
            <w:r>
              <w:rPr>
                <w:rFonts w:ascii="Arial" w:cs="Arial" w:eastAsia="Arial" w:hAnsi="Arial"/>
                <w:sz w:val="13"/>
                <w:szCs w:val="13"/>
                <w:color w:val="auto"/>
              </w:rPr>
              <w:t>3/1/2031</w:t>
            </w:r>
          </w:p>
        </w:tc>
        <w:tc>
          <w:tcPr>
            <w:tcW w:w="11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5"/>
        </w:trPr>
        <w:tc>
          <w:tcPr>
            <w:tcW w:w="1920" w:type="dxa"/>
            <w:vAlign w:val="bottom"/>
          </w:tcPr>
          <w:p>
            <w:pPr>
              <w:spacing w:after="0"/>
              <w:rPr>
                <w:sz w:val="2"/>
                <w:szCs w:val="2"/>
                <w:color w:val="auto"/>
              </w:rPr>
            </w:pPr>
          </w:p>
        </w:tc>
        <w:tc>
          <w:tcPr>
            <w:tcW w:w="1340" w:type="dxa"/>
            <w:vAlign w:val="bottom"/>
            <w:tcBorders>
              <w:bottom w:val="single" w:sz="8" w:color="BCBEC0"/>
            </w:tcBorders>
          </w:tcPr>
          <w:p>
            <w:pPr>
              <w:spacing w:after="0"/>
              <w:rPr>
                <w:sz w:val="2"/>
                <w:szCs w:val="2"/>
                <w:color w:val="auto"/>
              </w:rPr>
            </w:pPr>
          </w:p>
        </w:tc>
        <w:tc>
          <w:tcPr>
            <w:tcW w:w="660" w:type="dxa"/>
            <w:vAlign w:val="bottom"/>
            <w:tcBorders>
              <w:bottom w:val="single" w:sz="8" w:color="BCBEC0"/>
            </w:tcBorders>
          </w:tcPr>
          <w:p>
            <w:pPr>
              <w:spacing w:after="0"/>
              <w:rPr>
                <w:sz w:val="2"/>
                <w:szCs w:val="2"/>
                <w:color w:val="auto"/>
              </w:rPr>
            </w:pPr>
          </w:p>
        </w:tc>
        <w:tc>
          <w:tcPr>
            <w:tcW w:w="760" w:type="dxa"/>
            <w:vAlign w:val="bottom"/>
            <w:tcBorders>
              <w:bottom w:val="single" w:sz="8" w:color="BCBEC0"/>
            </w:tcBorders>
          </w:tcPr>
          <w:p>
            <w:pPr>
              <w:spacing w:after="0"/>
              <w:rPr>
                <w:sz w:val="2"/>
                <w:szCs w:val="2"/>
                <w:color w:val="auto"/>
              </w:rPr>
            </w:pPr>
          </w:p>
        </w:tc>
        <w:tc>
          <w:tcPr>
            <w:tcW w:w="860" w:type="dxa"/>
            <w:vAlign w:val="bottom"/>
            <w:tcBorders>
              <w:bottom w:val="single" w:sz="8" w:color="BCBEC0"/>
            </w:tcBorders>
          </w:tcPr>
          <w:p>
            <w:pPr>
              <w:spacing w:after="0"/>
              <w:rPr>
                <w:sz w:val="2"/>
                <w:szCs w:val="2"/>
                <w:color w:val="auto"/>
              </w:rPr>
            </w:pPr>
          </w:p>
        </w:tc>
        <w:tc>
          <w:tcPr>
            <w:tcW w:w="1120" w:type="dxa"/>
            <w:vAlign w:val="bottom"/>
            <w:tcBorders>
              <w:bottom w:val="single" w:sz="8" w:color="BCBEC0"/>
            </w:tcBorders>
          </w:tcPr>
          <w:p>
            <w:pPr>
              <w:spacing w:after="0"/>
              <w:rPr>
                <w:sz w:val="2"/>
                <w:szCs w:val="2"/>
                <w:color w:val="auto"/>
              </w:rPr>
            </w:pPr>
          </w:p>
        </w:tc>
        <w:tc>
          <w:tcPr>
            <w:tcW w:w="1140" w:type="dxa"/>
            <w:vAlign w:val="bottom"/>
            <w:tcBorders>
              <w:bottom w:val="single" w:sz="8" w:color="BCBEC0"/>
            </w:tcBorders>
          </w:tcPr>
          <w:p>
            <w:pPr>
              <w:spacing w:after="0"/>
              <w:rPr>
                <w:sz w:val="2"/>
                <w:szCs w:val="2"/>
                <w:color w:val="auto"/>
              </w:rPr>
            </w:pPr>
          </w:p>
        </w:tc>
        <w:tc>
          <w:tcPr>
            <w:tcW w:w="1440" w:type="dxa"/>
            <w:vAlign w:val="bottom"/>
            <w:tcBorders>
              <w:bottom w:val="single" w:sz="8" w:color="BCBEC0"/>
            </w:tcBorders>
          </w:tcPr>
          <w:p>
            <w:pPr>
              <w:spacing w:after="0"/>
              <w:rPr>
                <w:sz w:val="2"/>
                <w:szCs w:val="2"/>
                <w:color w:val="auto"/>
              </w:rPr>
            </w:pPr>
          </w:p>
        </w:tc>
        <w:tc>
          <w:tcPr>
            <w:tcW w:w="980" w:type="dxa"/>
            <w:vAlign w:val="bottom"/>
            <w:tcBorders>
              <w:bottom w:val="single" w:sz="8" w:color="BCBEC0"/>
            </w:tcBorders>
          </w:tcPr>
          <w:p>
            <w:pPr>
              <w:spacing w:after="0"/>
              <w:rPr>
                <w:sz w:val="2"/>
                <w:szCs w:val="2"/>
                <w:color w:val="auto"/>
              </w:rPr>
            </w:pPr>
          </w:p>
        </w:tc>
        <w:tc>
          <w:tcPr>
            <w:tcW w:w="1020" w:type="dxa"/>
            <w:vAlign w:val="bottom"/>
            <w:tcBorders>
              <w:bottom w:val="single" w:sz="8" w:color="BCBEC0"/>
            </w:tcBorders>
          </w:tcPr>
          <w:p>
            <w:pPr>
              <w:spacing w:after="0"/>
              <w:rPr>
                <w:sz w:val="2"/>
                <w:szCs w:val="2"/>
                <w:color w:val="auto"/>
              </w:rPr>
            </w:pPr>
          </w:p>
        </w:tc>
      </w:tr>
      <w:tr>
        <w:trPr>
          <w:trHeight w:val="184"/>
        </w:trPr>
        <w:tc>
          <w:tcPr>
            <w:tcW w:w="1920" w:type="dxa"/>
            <w:vAlign w:val="bottom"/>
          </w:tcPr>
          <w:p>
            <w:pPr>
              <w:spacing w:after="0"/>
              <w:rPr>
                <w:sz w:val="16"/>
                <w:szCs w:val="16"/>
                <w:color w:val="auto"/>
              </w:rPr>
            </w:pPr>
          </w:p>
        </w:tc>
        <w:tc>
          <w:tcPr>
            <w:tcW w:w="1340" w:type="dxa"/>
            <w:vAlign w:val="bottom"/>
          </w:tcPr>
          <w:p>
            <w:pPr>
              <w:jc w:val="right"/>
              <w:ind w:right="193"/>
              <w:spacing w:after="0"/>
              <w:rPr>
                <w:sz w:val="20"/>
                <w:szCs w:val="20"/>
                <w:color w:val="auto"/>
              </w:rPr>
            </w:pPr>
            <w:r>
              <w:rPr>
                <w:rFonts w:ascii="Arial" w:cs="Arial" w:eastAsia="Arial" w:hAnsi="Arial"/>
                <w:sz w:val="13"/>
                <w:szCs w:val="13"/>
                <w:color w:val="auto"/>
              </w:rPr>
              <w:t>6,920</w:t>
            </w: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760" w:type="dxa"/>
            <w:vAlign w:val="bottom"/>
          </w:tcPr>
          <w:p>
            <w:pPr>
              <w:spacing w:after="0"/>
              <w:rPr>
                <w:sz w:val="16"/>
                <w:szCs w:val="16"/>
                <w:color w:val="auto"/>
              </w:rPr>
            </w:pPr>
          </w:p>
        </w:tc>
        <w:tc>
          <w:tcPr>
            <w:tcW w:w="860" w:type="dxa"/>
            <w:vAlign w:val="bottom"/>
          </w:tcPr>
          <w:p>
            <w:pPr>
              <w:jc w:val="right"/>
              <w:ind w:right="273"/>
              <w:spacing w:after="0"/>
              <w:rPr>
                <w:sz w:val="20"/>
                <w:szCs w:val="20"/>
                <w:color w:val="auto"/>
              </w:rPr>
            </w:pPr>
            <w:r>
              <w:rPr>
                <w:rFonts w:ascii="Arial" w:cs="Arial" w:eastAsia="Arial" w:hAnsi="Arial"/>
                <w:sz w:val="13"/>
                <w:szCs w:val="13"/>
                <w:color w:val="auto"/>
              </w:rPr>
              <w:t>70.99</w:t>
            </w:r>
          </w:p>
        </w:tc>
        <w:tc>
          <w:tcPr>
            <w:tcW w:w="1120" w:type="dxa"/>
            <w:vAlign w:val="bottom"/>
          </w:tcPr>
          <w:p>
            <w:pPr>
              <w:jc w:val="right"/>
              <w:ind w:right="153"/>
              <w:spacing w:after="0"/>
              <w:rPr>
                <w:sz w:val="20"/>
                <w:szCs w:val="20"/>
                <w:color w:val="auto"/>
              </w:rPr>
            </w:pPr>
            <w:r>
              <w:rPr>
                <w:rFonts w:ascii="Arial" w:cs="Arial" w:eastAsia="Arial" w:hAnsi="Arial"/>
                <w:sz w:val="13"/>
                <w:szCs w:val="13"/>
                <w:color w:val="auto"/>
              </w:rPr>
              <w:t>1/3/2032</w:t>
            </w:r>
          </w:p>
        </w:tc>
        <w:tc>
          <w:tcPr>
            <w:tcW w:w="11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5"/>
        </w:trPr>
        <w:tc>
          <w:tcPr>
            <w:tcW w:w="1920" w:type="dxa"/>
            <w:vAlign w:val="bottom"/>
          </w:tcPr>
          <w:p>
            <w:pPr>
              <w:spacing w:after="0"/>
              <w:rPr>
                <w:sz w:val="2"/>
                <w:szCs w:val="2"/>
                <w:color w:val="auto"/>
              </w:rPr>
            </w:pPr>
          </w:p>
        </w:tc>
        <w:tc>
          <w:tcPr>
            <w:tcW w:w="1340" w:type="dxa"/>
            <w:vAlign w:val="bottom"/>
            <w:tcBorders>
              <w:bottom w:val="single" w:sz="8" w:color="BCBEC0"/>
            </w:tcBorders>
          </w:tcPr>
          <w:p>
            <w:pPr>
              <w:spacing w:after="0"/>
              <w:rPr>
                <w:sz w:val="2"/>
                <w:szCs w:val="2"/>
                <w:color w:val="auto"/>
              </w:rPr>
            </w:pPr>
          </w:p>
        </w:tc>
        <w:tc>
          <w:tcPr>
            <w:tcW w:w="660" w:type="dxa"/>
            <w:vAlign w:val="bottom"/>
            <w:tcBorders>
              <w:bottom w:val="single" w:sz="8" w:color="BCBEC0"/>
            </w:tcBorders>
          </w:tcPr>
          <w:p>
            <w:pPr>
              <w:spacing w:after="0"/>
              <w:rPr>
                <w:sz w:val="2"/>
                <w:szCs w:val="2"/>
                <w:color w:val="auto"/>
              </w:rPr>
            </w:pPr>
          </w:p>
        </w:tc>
        <w:tc>
          <w:tcPr>
            <w:tcW w:w="760" w:type="dxa"/>
            <w:vAlign w:val="bottom"/>
            <w:tcBorders>
              <w:bottom w:val="single" w:sz="8" w:color="BCBEC0"/>
            </w:tcBorders>
          </w:tcPr>
          <w:p>
            <w:pPr>
              <w:spacing w:after="0"/>
              <w:rPr>
                <w:sz w:val="2"/>
                <w:szCs w:val="2"/>
                <w:color w:val="auto"/>
              </w:rPr>
            </w:pPr>
          </w:p>
        </w:tc>
        <w:tc>
          <w:tcPr>
            <w:tcW w:w="860" w:type="dxa"/>
            <w:vAlign w:val="bottom"/>
            <w:tcBorders>
              <w:bottom w:val="single" w:sz="8" w:color="BCBEC0"/>
            </w:tcBorders>
          </w:tcPr>
          <w:p>
            <w:pPr>
              <w:spacing w:after="0"/>
              <w:rPr>
                <w:sz w:val="2"/>
                <w:szCs w:val="2"/>
                <w:color w:val="auto"/>
              </w:rPr>
            </w:pPr>
          </w:p>
        </w:tc>
        <w:tc>
          <w:tcPr>
            <w:tcW w:w="1120" w:type="dxa"/>
            <w:vAlign w:val="bottom"/>
            <w:tcBorders>
              <w:bottom w:val="single" w:sz="8" w:color="BCBEC0"/>
            </w:tcBorders>
          </w:tcPr>
          <w:p>
            <w:pPr>
              <w:spacing w:after="0"/>
              <w:rPr>
                <w:sz w:val="2"/>
                <w:szCs w:val="2"/>
                <w:color w:val="auto"/>
              </w:rPr>
            </w:pPr>
          </w:p>
        </w:tc>
        <w:tc>
          <w:tcPr>
            <w:tcW w:w="1140" w:type="dxa"/>
            <w:vAlign w:val="bottom"/>
            <w:tcBorders>
              <w:bottom w:val="single" w:sz="8" w:color="BCBEC0"/>
            </w:tcBorders>
          </w:tcPr>
          <w:p>
            <w:pPr>
              <w:spacing w:after="0"/>
              <w:rPr>
                <w:sz w:val="2"/>
                <w:szCs w:val="2"/>
                <w:color w:val="auto"/>
              </w:rPr>
            </w:pPr>
          </w:p>
        </w:tc>
        <w:tc>
          <w:tcPr>
            <w:tcW w:w="1440" w:type="dxa"/>
            <w:vAlign w:val="bottom"/>
            <w:tcBorders>
              <w:bottom w:val="single" w:sz="8" w:color="BCBEC0"/>
            </w:tcBorders>
          </w:tcPr>
          <w:p>
            <w:pPr>
              <w:spacing w:after="0"/>
              <w:rPr>
                <w:sz w:val="2"/>
                <w:szCs w:val="2"/>
                <w:color w:val="auto"/>
              </w:rPr>
            </w:pPr>
          </w:p>
        </w:tc>
        <w:tc>
          <w:tcPr>
            <w:tcW w:w="980" w:type="dxa"/>
            <w:vAlign w:val="bottom"/>
            <w:tcBorders>
              <w:bottom w:val="single" w:sz="8" w:color="BCBEC0"/>
            </w:tcBorders>
          </w:tcPr>
          <w:p>
            <w:pPr>
              <w:spacing w:after="0"/>
              <w:rPr>
                <w:sz w:val="2"/>
                <w:szCs w:val="2"/>
                <w:color w:val="auto"/>
              </w:rPr>
            </w:pPr>
          </w:p>
        </w:tc>
        <w:tc>
          <w:tcPr>
            <w:tcW w:w="1020" w:type="dxa"/>
            <w:vAlign w:val="bottom"/>
            <w:tcBorders>
              <w:bottom w:val="single" w:sz="8" w:color="BCBEC0"/>
            </w:tcBorders>
          </w:tcPr>
          <w:p>
            <w:pPr>
              <w:spacing w:after="0"/>
              <w:rPr>
                <w:sz w:val="2"/>
                <w:szCs w:val="2"/>
                <w:color w:val="auto"/>
              </w:rPr>
            </w:pPr>
          </w:p>
        </w:tc>
      </w:tr>
      <w:tr>
        <w:trPr>
          <w:trHeight w:val="184"/>
        </w:trPr>
        <w:tc>
          <w:tcPr>
            <w:tcW w:w="1920" w:type="dxa"/>
            <w:vAlign w:val="bottom"/>
          </w:tcPr>
          <w:p>
            <w:pPr>
              <w:spacing w:after="0"/>
              <w:rPr>
                <w:sz w:val="16"/>
                <w:szCs w:val="16"/>
                <w:color w:val="auto"/>
              </w:rPr>
            </w:pPr>
          </w:p>
        </w:tc>
        <w:tc>
          <w:tcPr>
            <w:tcW w:w="1340" w:type="dxa"/>
            <w:vAlign w:val="bottom"/>
          </w:tcPr>
          <w:p>
            <w:pPr>
              <w:jc w:val="right"/>
              <w:ind w:right="193"/>
              <w:spacing w:after="0"/>
              <w:rPr>
                <w:sz w:val="20"/>
                <w:szCs w:val="20"/>
                <w:color w:val="auto"/>
              </w:rPr>
            </w:pPr>
            <w:r>
              <w:rPr>
                <w:rFonts w:ascii="Arial" w:cs="Arial" w:eastAsia="Arial" w:hAnsi="Arial"/>
                <w:sz w:val="13"/>
                <w:szCs w:val="13"/>
                <w:color w:val="auto"/>
              </w:rPr>
              <w:t>13,689</w:t>
            </w:r>
          </w:p>
        </w:tc>
        <w:tc>
          <w:tcPr>
            <w:tcW w:w="660" w:type="dxa"/>
            <w:vAlign w:val="bottom"/>
          </w:tcPr>
          <w:p>
            <w:pPr>
              <w:jc w:val="right"/>
              <w:spacing w:after="0"/>
              <w:rPr>
                <w:sz w:val="20"/>
                <w:szCs w:val="20"/>
                <w:color w:val="auto"/>
              </w:rPr>
            </w:pPr>
            <w:r>
              <w:rPr>
                <w:rFonts w:ascii="Arial" w:cs="Arial" w:eastAsia="Arial" w:hAnsi="Arial"/>
                <w:sz w:val="13"/>
                <w:szCs w:val="13"/>
                <w:color w:val="auto"/>
              </w:rPr>
              <w:t>6,845</w:t>
            </w:r>
          </w:p>
        </w:tc>
        <w:tc>
          <w:tcPr>
            <w:tcW w:w="760" w:type="dxa"/>
            <w:vAlign w:val="bottom"/>
          </w:tcPr>
          <w:p>
            <w:pPr>
              <w:jc w:val="center"/>
              <w:ind w:right="433"/>
              <w:spacing w:after="0"/>
              <w:rPr>
                <w:sz w:val="20"/>
                <w:szCs w:val="20"/>
                <w:color w:val="auto"/>
              </w:rPr>
            </w:pPr>
            <w:r>
              <w:rPr>
                <w:rFonts w:ascii="Arial" w:cs="Arial" w:eastAsia="Arial" w:hAnsi="Arial"/>
                <w:sz w:val="13"/>
                <w:szCs w:val="13"/>
                <w:color w:val="auto"/>
              </w:rPr>
              <w:t>(6)</w:t>
            </w:r>
          </w:p>
        </w:tc>
        <w:tc>
          <w:tcPr>
            <w:tcW w:w="860" w:type="dxa"/>
            <w:vAlign w:val="bottom"/>
          </w:tcPr>
          <w:p>
            <w:pPr>
              <w:jc w:val="right"/>
              <w:ind w:right="273"/>
              <w:spacing w:after="0"/>
              <w:rPr>
                <w:sz w:val="20"/>
                <w:szCs w:val="20"/>
                <w:color w:val="auto"/>
              </w:rPr>
            </w:pPr>
            <w:r>
              <w:rPr>
                <w:rFonts w:ascii="Arial" w:cs="Arial" w:eastAsia="Arial" w:hAnsi="Arial"/>
                <w:sz w:val="13"/>
                <w:szCs w:val="13"/>
                <w:color w:val="auto"/>
              </w:rPr>
              <w:t>45.20</w:t>
            </w:r>
          </w:p>
        </w:tc>
        <w:tc>
          <w:tcPr>
            <w:tcW w:w="1120" w:type="dxa"/>
            <w:vAlign w:val="bottom"/>
          </w:tcPr>
          <w:p>
            <w:pPr>
              <w:jc w:val="right"/>
              <w:ind w:right="153"/>
              <w:spacing w:after="0"/>
              <w:rPr>
                <w:sz w:val="20"/>
                <w:szCs w:val="20"/>
                <w:color w:val="auto"/>
              </w:rPr>
            </w:pPr>
            <w:r>
              <w:rPr>
                <w:rFonts w:ascii="Arial" w:cs="Arial" w:eastAsia="Arial" w:hAnsi="Arial"/>
                <w:sz w:val="13"/>
                <w:szCs w:val="13"/>
                <w:color w:val="auto"/>
              </w:rPr>
              <w:t>1/3/2033</w:t>
            </w:r>
          </w:p>
        </w:tc>
        <w:tc>
          <w:tcPr>
            <w:tcW w:w="11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5"/>
        </w:trPr>
        <w:tc>
          <w:tcPr>
            <w:tcW w:w="1920" w:type="dxa"/>
            <w:vAlign w:val="bottom"/>
          </w:tcPr>
          <w:p>
            <w:pPr>
              <w:spacing w:after="0"/>
              <w:rPr>
                <w:sz w:val="2"/>
                <w:szCs w:val="2"/>
                <w:color w:val="auto"/>
              </w:rPr>
            </w:pPr>
          </w:p>
        </w:tc>
        <w:tc>
          <w:tcPr>
            <w:tcW w:w="1340" w:type="dxa"/>
            <w:vAlign w:val="bottom"/>
            <w:tcBorders>
              <w:bottom w:val="single" w:sz="8" w:color="BCBEC0"/>
            </w:tcBorders>
          </w:tcPr>
          <w:p>
            <w:pPr>
              <w:spacing w:after="0"/>
              <w:rPr>
                <w:sz w:val="2"/>
                <w:szCs w:val="2"/>
                <w:color w:val="auto"/>
              </w:rPr>
            </w:pPr>
          </w:p>
        </w:tc>
        <w:tc>
          <w:tcPr>
            <w:tcW w:w="660" w:type="dxa"/>
            <w:vAlign w:val="bottom"/>
            <w:tcBorders>
              <w:bottom w:val="single" w:sz="8" w:color="BCBEC0"/>
            </w:tcBorders>
          </w:tcPr>
          <w:p>
            <w:pPr>
              <w:spacing w:after="0"/>
              <w:rPr>
                <w:sz w:val="2"/>
                <w:szCs w:val="2"/>
                <w:color w:val="auto"/>
              </w:rPr>
            </w:pPr>
          </w:p>
        </w:tc>
        <w:tc>
          <w:tcPr>
            <w:tcW w:w="760" w:type="dxa"/>
            <w:vAlign w:val="bottom"/>
            <w:tcBorders>
              <w:bottom w:val="single" w:sz="8" w:color="BCBEC0"/>
            </w:tcBorders>
          </w:tcPr>
          <w:p>
            <w:pPr>
              <w:spacing w:after="0"/>
              <w:rPr>
                <w:sz w:val="2"/>
                <w:szCs w:val="2"/>
                <w:color w:val="auto"/>
              </w:rPr>
            </w:pPr>
          </w:p>
        </w:tc>
        <w:tc>
          <w:tcPr>
            <w:tcW w:w="860" w:type="dxa"/>
            <w:vAlign w:val="bottom"/>
            <w:tcBorders>
              <w:bottom w:val="single" w:sz="8" w:color="BCBEC0"/>
            </w:tcBorders>
          </w:tcPr>
          <w:p>
            <w:pPr>
              <w:spacing w:after="0"/>
              <w:rPr>
                <w:sz w:val="2"/>
                <w:szCs w:val="2"/>
                <w:color w:val="auto"/>
              </w:rPr>
            </w:pPr>
          </w:p>
        </w:tc>
        <w:tc>
          <w:tcPr>
            <w:tcW w:w="1120" w:type="dxa"/>
            <w:vAlign w:val="bottom"/>
            <w:tcBorders>
              <w:bottom w:val="single" w:sz="8" w:color="BCBEC0"/>
            </w:tcBorders>
          </w:tcPr>
          <w:p>
            <w:pPr>
              <w:spacing w:after="0"/>
              <w:rPr>
                <w:sz w:val="2"/>
                <w:szCs w:val="2"/>
                <w:color w:val="auto"/>
              </w:rPr>
            </w:pPr>
          </w:p>
        </w:tc>
        <w:tc>
          <w:tcPr>
            <w:tcW w:w="1140" w:type="dxa"/>
            <w:vAlign w:val="bottom"/>
            <w:tcBorders>
              <w:bottom w:val="single" w:sz="8" w:color="BCBEC0"/>
            </w:tcBorders>
          </w:tcPr>
          <w:p>
            <w:pPr>
              <w:spacing w:after="0"/>
              <w:rPr>
                <w:sz w:val="2"/>
                <w:szCs w:val="2"/>
                <w:color w:val="auto"/>
              </w:rPr>
            </w:pPr>
          </w:p>
        </w:tc>
        <w:tc>
          <w:tcPr>
            <w:tcW w:w="1440" w:type="dxa"/>
            <w:vAlign w:val="bottom"/>
            <w:tcBorders>
              <w:bottom w:val="single" w:sz="8" w:color="BCBEC0"/>
            </w:tcBorders>
          </w:tcPr>
          <w:p>
            <w:pPr>
              <w:spacing w:after="0"/>
              <w:rPr>
                <w:sz w:val="2"/>
                <w:szCs w:val="2"/>
                <w:color w:val="auto"/>
              </w:rPr>
            </w:pPr>
          </w:p>
        </w:tc>
        <w:tc>
          <w:tcPr>
            <w:tcW w:w="980" w:type="dxa"/>
            <w:vAlign w:val="bottom"/>
            <w:tcBorders>
              <w:bottom w:val="single" w:sz="8" w:color="BCBEC0"/>
            </w:tcBorders>
          </w:tcPr>
          <w:p>
            <w:pPr>
              <w:spacing w:after="0"/>
              <w:rPr>
                <w:sz w:val="2"/>
                <w:szCs w:val="2"/>
                <w:color w:val="auto"/>
              </w:rPr>
            </w:pPr>
          </w:p>
        </w:tc>
        <w:tc>
          <w:tcPr>
            <w:tcW w:w="1020" w:type="dxa"/>
            <w:vAlign w:val="bottom"/>
            <w:tcBorders>
              <w:bottom w:val="single" w:sz="8" w:color="BCBEC0"/>
            </w:tcBorders>
          </w:tcPr>
          <w:p>
            <w:pPr>
              <w:spacing w:after="0"/>
              <w:rPr>
                <w:sz w:val="2"/>
                <w:szCs w:val="2"/>
                <w:color w:val="auto"/>
              </w:rPr>
            </w:pPr>
          </w:p>
        </w:tc>
      </w:tr>
      <w:tr>
        <w:trPr>
          <w:trHeight w:val="184"/>
        </w:trPr>
        <w:tc>
          <w:tcPr>
            <w:tcW w:w="1920" w:type="dxa"/>
            <w:vAlign w:val="bottom"/>
          </w:tcPr>
          <w:p>
            <w:pPr>
              <w:spacing w:after="0"/>
              <w:rPr>
                <w:sz w:val="16"/>
                <w:szCs w:val="16"/>
                <w:color w:val="auto"/>
              </w:rPr>
            </w:pPr>
          </w:p>
        </w:tc>
        <w:tc>
          <w:tcPr>
            <w:tcW w:w="1340" w:type="dxa"/>
            <w:vAlign w:val="bottom"/>
          </w:tcPr>
          <w:p>
            <w:pPr>
              <w:jc w:val="right"/>
              <w:ind w:right="193"/>
              <w:spacing w:after="0"/>
              <w:rPr>
                <w:sz w:val="20"/>
                <w:szCs w:val="20"/>
                <w:color w:val="auto"/>
              </w:rPr>
            </w:pPr>
            <w:r>
              <w:rPr>
                <w:rFonts w:ascii="Arial" w:cs="Arial" w:eastAsia="Arial" w:hAnsi="Arial"/>
                <w:sz w:val="13"/>
                <w:szCs w:val="13"/>
                <w:color w:val="auto"/>
              </w:rPr>
              <w:t>4,132</w:t>
            </w:r>
          </w:p>
        </w:tc>
        <w:tc>
          <w:tcPr>
            <w:tcW w:w="660" w:type="dxa"/>
            <w:vAlign w:val="bottom"/>
          </w:tcPr>
          <w:p>
            <w:pPr>
              <w:jc w:val="right"/>
              <w:spacing w:after="0"/>
              <w:rPr>
                <w:sz w:val="20"/>
                <w:szCs w:val="20"/>
                <w:color w:val="auto"/>
              </w:rPr>
            </w:pPr>
            <w:r>
              <w:rPr>
                <w:rFonts w:ascii="Arial" w:cs="Arial" w:eastAsia="Arial" w:hAnsi="Arial"/>
                <w:sz w:val="13"/>
                <w:szCs w:val="13"/>
                <w:color w:val="auto"/>
              </w:rPr>
              <w:t>8,266</w:t>
            </w:r>
          </w:p>
        </w:tc>
        <w:tc>
          <w:tcPr>
            <w:tcW w:w="760" w:type="dxa"/>
            <w:vAlign w:val="bottom"/>
          </w:tcPr>
          <w:p>
            <w:pPr>
              <w:jc w:val="center"/>
              <w:ind w:right="433"/>
              <w:spacing w:after="0"/>
              <w:rPr>
                <w:sz w:val="20"/>
                <w:szCs w:val="20"/>
                <w:color w:val="auto"/>
              </w:rPr>
            </w:pPr>
            <w:r>
              <w:rPr>
                <w:rFonts w:ascii="Arial" w:cs="Arial" w:eastAsia="Arial" w:hAnsi="Arial"/>
                <w:sz w:val="13"/>
                <w:szCs w:val="13"/>
                <w:color w:val="auto"/>
              </w:rPr>
              <w:t>(7)</w:t>
            </w:r>
          </w:p>
        </w:tc>
        <w:tc>
          <w:tcPr>
            <w:tcW w:w="860" w:type="dxa"/>
            <w:vAlign w:val="bottom"/>
          </w:tcPr>
          <w:p>
            <w:pPr>
              <w:jc w:val="right"/>
              <w:ind w:right="273"/>
              <w:spacing w:after="0"/>
              <w:rPr>
                <w:sz w:val="20"/>
                <w:szCs w:val="20"/>
                <w:color w:val="auto"/>
              </w:rPr>
            </w:pPr>
            <w:r>
              <w:rPr>
                <w:rFonts w:ascii="Arial" w:cs="Arial" w:eastAsia="Arial" w:hAnsi="Arial"/>
                <w:sz w:val="13"/>
                <w:szCs w:val="13"/>
                <w:color w:val="auto"/>
              </w:rPr>
              <w:t>70.92</w:t>
            </w:r>
          </w:p>
        </w:tc>
        <w:tc>
          <w:tcPr>
            <w:tcW w:w="1120" w:type="dxa"/>
            <w:vAlign w:val="bottom"/>
          </w:tcPr>
          <w:p>
            <w:pPr>
              <w:jc w:val="right"/>
              <w:ind w:right="153"/>
              <w:spacing w:after="0"/>
              <w:rPr>
                <w:sz w:val="20"/>
                <w:szCs w:val="20"/>
                <w:color w:val="auto"/>
              </w:rPr>
            </w:pPr>
            <w:r>
              <w:rPr>
                <w:rFonts w:ascii="Arial" w:cs="Arial" w:eastAsia="Arial" w:hAnsi="Arial"/>
                <w:sz w:val="13"/>
                <w:szCs w:val="13"/>
                <w:color w:val="auto"/>
              </w:rPr>
              <w:t>1/2/2034</w:t>
            </w:r>
          </w:p>
        </w:tc>
        <w:tc>
          <w:tcPr>
            <w:tcW w:w="11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5"/>
        </w:trPr>
        <w:tc>
          <w:tcPr>
            <w:tcW w:w="1920" w:type="dxa"/>
            <w:vAlign w:val="bottom"/>
          </w:tcPr>
          <w:p>
            <w:pPr>
              <w:spacing w:after="0"/>
              <w:rPr>
                <w:sz w:val="2"/>
                <w:szCs w:val="2"/>
                <w:color w:val="auto"/>
              </w:rPr>
            </w:pPr>
          </w:p>
        </w:tc>
        <w:tc>
          <w:tcPr>
            <w:tcW w:w="1340" w:type="dxa"/>
            <w:vAlign w:val="bottom"/>
            <w:tcBorders>
              <w:bottom w:val="single" w:sz="8" w:color="BCBEC0"/>
            </w:tcBorders>
          </w:tcPr>
          <w:p>
            <w:pPr>
              <w:spacing w:after="0"/>
              <w:rPr>
                <w:sz w:val="2"/>
                <w:szCs w:val="2"/>
                <w:color w:val="auto"/>
              </w:rPr>
            </w:pPr>
          </w:p>
        </w:tc>
        <w:tc>
          <w:tcPr>
            <w:tcW w:w="660" w:type="dxa"/>
            <w:vAlign w:val="bottom"/>
            <w:tcBorders>
              <w:bottom w:val="single" w:sz="8" w:color="BCBEC0"/>
            </w:tcBorders>
          </w:tcPr>
          <w:p>
            <w:pPr>
              <w:spacing w:after="0"/>
              <w:rPr>
                <w:sz w:val="2"/>
                <w:szCs w:val="2"/>
                <w:color w:val="auto"/>
              </w:rPr>
            </w:pPr>
          </w:p>
        </w:tc>
        <w:tc>
          <w:tcPr>
            <w:tcW w:w="760" w:type="dxa"/>
            <w:vAlign w:val="bottom"/>
            <w:tcBorders>
              <w:bottom w:val="single" w:sz="8" w:color="BCBEC0"/>
            </w:tcBorders>
          </w:tcPr>
          <w:p>
            <w:pPr>
              <w:spacing w:after="0"/>
              <w:rPr>
                <w:sz w:val="2"/>
                <w:szCs w:val="2"/>
                <w:color w:val="auto"/>
              </w:rPr>
            </w:pPr>
          </w:p>
        </w:tc>
        <w:tc>
          <w:tcPr>
            <w:tcW w:w="860" w:type="dxa"/>
            <w:vAlign w:val="bottom"/>
            <w:tcBorders>
              <w:bottom w:val="single" w:sz="8" w:color="BCBEC0"/>
            </w:tcBorders>
          </w:tcPr>
          <w:p>
            <w:pPr>
              <w:spacing w:after="0"/>
              <w:rPr>
                <w:sz w:val="2"/>
                <w:szCs w:val="2"/>
                <w:color w:val="auto"/>
              </w:rPr>
            </w:pPr>
          </w:p>
        </w:tc>
        <w:tc>
          <w:tcPr>
            <w:tcW w:w="1120" w:type="dxa"/>
            <w:vAlign w:val="bottom"/>
            <w:tcBorders>
              <w:bottom w:val="single" w:sz="8" w:color="BCBEC0"/>
            </w:tcBorders>
          </w:tcPr>
          <w:p>
            <w:pPr>
              <w:spacing w:after="0"/>
              <w:rPr>
                <w:sz w:val="2"/>
                <w:szCs w:val="2"/>
                <w:color w:val="auto"/>
              </w:rPr>
            </w:pPr>
          </w:p>
        </w:tc>
        <w:tc>
          <w:tcPr>
            <w:tcW w:w="1140" w:type="dxa"/>
            <w:vAlign w:val="bottom"/>
            <w:tcBorders>
              <w:bottom w:val="single" w:sz="8" w:color="BCBEC0"/>
            </w:tcBorders>
          </w:tcPr>
          <w:p>
            <w:pPr>
              <w:spacing w:after="0"/>
              <w:rPr>
                <w:sz w:val="2"/>
                <w:szCs w:val="2"/>
                <w:color w:val="auto"/>
              </w:rPr>
            </w:pPr>
          </w:p>
        </w:tc>
        <w:tc>
          <w:tcPr>
            <w:tcW w:w="1440" w:type="dxa"/>
            <w:vAlign w:val="bottom"/>
            <w:tcBorders>
              <w:bottom w:val="single" w:sz="8" w:color="BCBEC0"/>
            </w:tcBorders>
          </w:tcPr>
          <w:p>
            <w:pPr>
              <w:spacing w:after="0"/>
              <w:rPr>
                <w:sz w:val="2"/>
                <w:szCs w:val="2"/>
                <w:color w:val="auto"/>
              </w:rPr>
            </w:pPr>
          </w:p>
        </w:tc>
        <w:tc>
          <w:tcPr>
            <w:tcW w:w="980" w:type="dxa"/>
            <w:vAlign w:val="bottom"/>
            <w:tcBorders>
              <w:bottom w:val="single" w:sz="8" w:color="BCBEC0"/>
            </w:tcBorders>
          </w:tcPr>
          <w:p>
            <w:pPr>
              <w:spacing w:after="0"/>
              <w:rPr>
                <w:sz w:val="2"/>
                <w:szCs w:val="2"/>
                <w:color w:val="auto"/>
              </w:rPr>
            </w:pPr>
          </w:p>
        </w:tc>
        <w:tc>
          <w:tcPr>
            <w:tcW w:w="1020" w:type="dxa"/>
            <w:vAlign w:val="bottom"/>
            <w:tcBorders>
              <w:bottom w:val="single" w:sz="8" w:color="BCBEC0"/>
            </w:tcBorders>
          </w:tcPr>
          <w:p>
            <w:pPr>
              <w:spacing w:after="0"/>
              <w:rPr>
                <w:sz w:val="2"/>
                <w:szCs w:val="2"/>
                <w:color w:val="auto"/>
              </w:rPr>
            </w:pPr>
          </w:p>
        </w:tc>
      </w:tr>
      <w:tr>
        <w:trPr>
          <w:trHeight w:val="184"/>
        </w:trPr>
        <w:tc>
          <w:tcPr>
            <w:tcW w:w="1920" w:type="dxa"/>
            <w:vAlign w:val="bottom"/>
          </w:tcPr>
          <w:p>
            <w:pPr>
              <w:spacing w:after="0"/>
              <w:rPr>
                <w:sz w:val="16"/>
                <w:szCs w:val="16"/>
                <w:color w:val="auto"/>
              </w:rPr>
            </w:pPr>
          </w:p>
        </w:tc>
        <w:tc>
          <w:tcPr>
            <w:tcW w:w="1340" w:type="dxa"/>
            <w:vAlign w:val="bottom"/>
          </w:tcPr>
          <w:p>
            <w:pPr>
              <w:jc w:val="right"/>
              <w:ind w:right="193"/>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9,188</w:t>
            </w:r>
          </w:p>
        </w:tc>
        <w:tc>
          <w:tcPr>
            <w:tcW w:w="760" w:type="dxa"/>
            <w:vAlign w:val="bottom"/>
          </w:tcPr>
          <w:p>
            <w:pPr>
              <w:jc w:val="center"/>
              <w:ind w:right="433"/>
              <w:spacing w:after="0"/>
              <w:rPr>
                <w:sz w:val="20"/>
                <w:szCs w:val="20"/>
                <w:color w:val="auto"/>
              </w:rPr>
            </w:pPr>
            <w:r>
              <w:rPr>
                <w:rFonts w:ascii="Arial" w:cs="Arial" w:eastAsia="Arial" w:hAnsi="Arial"/>
                <w:sz w:val="13"/>
                <w:szCs w:val="13"/>
                <w:color w:val="auto"/>
              </w:rPr>
              <w:t>(8)</w:t>
            </w:r>
          </w:p>
        </w:tc>
        <w:tc>
          <w:tcPr>
            <w:tcW w:w="860" w:type="dxa"/>
            <w:vAlign w:val="bottom"/>
          </w:tcPr>
          <w:p>
            <w:pPr>
              <w:jc w:val="right"/>
              <w:ind w:right="273"/>
              <w:spacing w:after="0"/>
              <w:rPr>
                <w:sz w:val="20"/>
                <w:szCs w:val="20"/>
                <w:color w:val="auto"/>
              </w:rPr>
            </w:pPr>
            <w:r>
              <w:rPr>
                <w:rFonts w:ascii="Arial" w:cs="Arial" w:eastAsia="Arial" w:hAnsi="Arial"/>
                <w:sz w:val="13"/>
                <w:szCs w:val="13"/>
                <w:color w:val="auto"/>
              </w:rPr>
              <w:t>100.40</w:t>
            </w:r>
          </w:p>
        </w:tc>
        <w:tc>
          <w:tcPr>
            <w:tcW w:w="1120" w:type="dxa"/>
            <w:vAlign w:val="bottom"/>
          </w:tcPr>
          <w:p>
            <w:pPr>
              <w:jc w:val="right"/>
              <w:ind w:right="153"/>
              <w:spacing w:after="0"/>
              <w:rPr>
                <w:sz w:val="20"/>
                <w:szCs w:val="20"/>
                <w:color w:val="auto"/>
              </w:rPr>
            </w:pPr>
            <w:r>
              <w:rPr>
                <w:rFonts w:ascii="Arial" w:cs="Arial" w:eastAsia="Arial" w:hAnsi="Arial"/>
                <w:sz w:val="13"/>
                <w:szCs w:val="13"/>
                <w:color w:val="auto"/>
              </w:rPr>
              <w:t>1/2/2035</w:t>
            </w:r>
          </w:p>
        </w:tc>
        <w:tc>
          <w:tcPr>
            <w:tcW w:w="11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5"/>
        </w:trPr>
        <w:tc>
          <w:tcPr>
            <w:tcW w:w="1920" w:type="dxa"/>
            <w:vAlign w:val="bottom"/>
            <w:tcBorders>
              <w:bottom w:val="single" w:sz="8" w:color="0C3471"/>
            </w:tcBorders>
          </w:tcPr>
          <w:p>
            <w:pPr>
              <w:spacing w:after="0"/>
              <w:rPr>
                <w:sz w:val="2"/>
                <w:szCs w:val="2"/>
                <w:color w:val="auto"/>
              </w:rPr>
            </w:pPr>
          </w:p>
        </w:tc>
        <w:tc>
          <w:tcPr>
            <w:tcW w:w="1340" w:type="dxa"/>
            <w:vAlign w:val="bottom"/>
            <w:tcBorders>
              <w:bottom w:val="single" w:sz="8" w:color="0C3471"/>
            </w:tcBorders>
          </w:tcPr>
          <w:p>
            <w:pPr>
              <w:spacing w:after="0"/>
              <w:rPr>
                <w:sz w:val="2"/>
                <w:szCs w:val="2"/>
                <w:color w:val="auto"/>
              </w:rPr>
            </w:pPr>
          </w:p>
        </w:tc>
        <w:tc>
          <w:tcPr>
            <w:tcW w:w="660" w:type="dxa"/>
            <w:vAlign w:val="bottom"/>
            <w:tcBorders>
              <w:bottom w:val="single" w:sz="8" w:color="0C3471"/>
            </w:tcBorders>
          </w:tcPr>
          <w:p>
            <w:pPr>
              <w:spacing w:after="0"/>
              <w:rPr>
                <w:sz w:val="2"/>
                <w:szCs w:val="2"/>
                <w:color w:val="auto"/>
              </w:rPr>
            </w:pPr>
          </w:p>
        </w:tc>
        <w:tc>
          <w:tcPr>
            <w:tcW w:w="760" w:type="dxa"/>
            <w:vAlign w:val="bottom"/>
            <w:tcBorders>
              <w:bottom w:val="single" w:sz="8" w:color="0C3471"/>
            </w:tcBorders>
          </w:tcPr>
          <w:p>
            <w:pPr>
              <w:spacing w:after="0"/>
              <w:rPr>
                <w:sz w:val="2"/>
                <w:szCs w:val="2"/>
                <w:color w:val="auto"/>
              </w:rPr>
            </w:pPr>
          </w:p>
        </w:tc>
        <w:tc>
          <w:tcPr>
            <w:tcW w:w="860" w:type="dxa"/>
            <w:vAlign w:val="bottom"/>
            <w:tcBorders>
              <w:bottom w:val="single" w:sz="8" w:color="0C3471"/>
            </w:tcBorders>
          </w:tcPr>
          <w:p>
            <w:pPr>
              <w:spacing w:after="0"/>
              <w:rPr>
                <w:sz w:val="2"/>
                <w:szCs w:val="2"/>
                <w:color w:val="auto"/>
              </w:rPr>
            </w:pPr>
          </w:p>
        </w:tc>
        <w:tc>
          <w:tcPr>
            <w:tcW w:w="1120" w:type="dxa"/>
            <w:vAlign w:val="bottom"/>
            <w:tcBorders>
              <w:bottom w:val="single" w:sz="8" w:color="0C3471"/>
            </w:tcBorders>
          </w:tcPr>
          <w:p>
            <w:pPr>
              <w:spacing w:after="0"/>
              <w:rPr>
                <w:sz w:val="2"/>
                <w:szCs w:val="2"/>
                <w:color w:val="auto"/>
              </w:rPr>
            </w:pPr>
          </w:p>
        </w:tc>
        <w:tc>
          <w:tcPr>
            <w:tcW w:w="1140" w:type="dxa"/>
            <w:vAlign w:val="bottom"/>
            <w:tcBorders>
              <w:bottom w:val="single" w:sz="8" w:color="0C3471"/>
            </w:tcBorders>
          </w:tcPr>
          <w:p>
            <w:pPr>
              <w:spacing w:after="0"/>
              <w:rPr>
                <w:sz w:val="2"/>
                <w:szCs w:val="2"/>
                <w:color w:val="auto"/>
              </w:rPr>
            </w:pPr>
          </w:p>
        </w:tc>
        <w:tc>
          <w:tcPr>
            <w:tcW w:w="1440" w:type="dxa"/>
            <w:vAlign w:val="bottom"/>
            <w:tcBorders>
              <w:bottom w:val="single" w:sz="8" w:color="0C3471"/>
            </w:tcBorders>
          </w:tcPr>
          <w:p>
            <w:pPr>
              <w:spacing w:after="0"/>
              <w:rPr>
                <w:sz w:val="2"/>
                <w:szCs w:val="2"/>
                <w:color w:val="auto"/>
              </w:rPr>
            </w:pPr>
          </w:p>
        </w:tc>
        <w:tc>
          <w:tcPr>
            <w:tcW w:w="980" w:type="dxa"/>
            <w:vAlign w:val="bottom"/>
            <w:tcBorders>
              <w:bottom w:val="single" w:sz="8" w:color="0C3471"/>
            </w:tcBorders>
          </w:tcPr>
          <w:p>
            <w:pPr>
              <w:spacing w:after="0"/>
              <w:rPr>
                <w:sz w:val="2"/>
                <w:szCs w:val="2"/>
                <w:color w:val="auto"/>
              </w:rPr>
            </w:pPr>
          </w:p>
        </w:tc>
        <w:tc>
          <w:tcPr>
            <w:tcW w:w="1020" w:type="dxa"/>
            <w:vAlign w:val="bottom"/>
            <w:tcBorders>
              <w:bottom w:val="single" w:sz="8" w:color="0C3471"/>
            </w:tcBorders>
          </w:tcPr>
          <w:p>
            <w:pPr>
              <w:spacing w:after="0"/>
              <w:rPr>
                <w:sz w:val="2"/>
                <w:szCs w:val="2"/>
                <w:color w:val="auto"/>
              </w:rPr>
            </w:pPr>
          </w:p>
        </w:tc>
      </w:tr>
    </w:tbl>
    <w:p>
      <w:pPr>
        <w:spacing w:after="0" w:line="71" w:lineRule="exact"/>
        <w:rPr>
          <w:sz w:val="20"/>
          <w:szCs w:val="20"/>
          <w:color w:val="auto"/>
        </w:rPr>
      </w:pPr>
    </w:p>
    <w:p>
      <w:pPr>
        <w:ind w:left="240" w:hanging="232"/>
        <w:spacing w:after="0"/>
        <w:tabs>
          <w:tab w:leader="none" w:pos="240" w:val="left"/>
        </w:tabs>
        <w:numPr>
          <w:ilvl w:val="0"/>
          <w:numId w:val="106"/>
        </w:numPr>
        <w:rPr>
          <w:rFonts w:ascii="Arial" w:cs="Arial" w:eastAsia="Arial" w:hAnsi="Arial"/>
          <w:sz w:val="19"/>
          <w:szCs w:val="19"/>
          <w:color w:val="auto"/>
          <w:vertAlign w:val="superscript"/>
        </w:rPr>
      </w:pPr>
      <w:r>
        <w:rPr>
          <w:rFonts w:ascii="Arial" w:cs="Arial" w:eastAsia="Arial" w:hAnsi="Arial"/>
          <w:sz w:val="14"/>
          <w:szCs w:val="14"/>
          <w:color w:val="auto"/>
        </w:rPr>
        <w:t>The exercise price for all stock option grants is the fair market value of our ordinary shares on the date of grant.</w:t>
      </w: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10780" w:type="dxa"/>
            <w:vAlign w:val="bottom"/>
          </w:tcPr>
          <w:p>
            <w:pPr>
              <w:ind w:left="8260"/>
              <w:spacing w:after="0"/>
              <w:rPr>
                <w:sz w:val="20"/>
                <w:szCs w:val="20"/>
                <w:color w:val="auto"/>
              </w:rPr>
            </w:pPr>
            <w:r>
              <w:rPr>
                <w:rFonts w:ascii="Arial" w:cs="Arial" w:eastAsia="Arial" w:hAnsi="Arial"/>
                <w:sz w:val="16"/>
                <w:szCs w:val="16"/>
                <w:b w:val="1"/>
                <w:bCs w:val="1"/>
                <w:color w:val="auto"/>
              </w:rPr>
              <w:t xml:space="preserve">2026 Proxy Statement </w:t>
            </w:r>
            <w:r>
              <w:rPr>
                <w:rFonts w:ascii="Arial" w:cs="Arial" w:eastAsia="Arial" w:hAnsi="Arial"/>
                <w:sz w:val="16"/>
                <w:szCs w:val="16"/>
                <w:b w:val="1"/>
                <w:bCs w:val="1"/>
                <w:color w:val="0C3471"/>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Pentair</w:t>
            </w:r>
          </w:p>
        </w:tc>
        <w:tc>
          <w:tcPr>
            <w:tcW w:w="460" w:type="dxa"/>
            <w:vAlign w:val="bottom"/>
          </w:tcPr>
          <w:p>
            <w:pPr>
              <w:jc w:val="right"/>
              <w:spacing w:after="0"/>
              <w:rPr>
                <w:sz w:val="20"/>
                <w:szCs w:val="20"/>
                <w:color w:val="auto"/>
              </w:rPr>
            </w:pPr>
            <w:r>
              <w:rPr>
                <w:rFonts w:ascii="Arial" w:cs="Arial" w:eastAsia="Arial" w:hAnsi="Arial"/>
                <w:sz w:val="16"/>
                <w:szCs w:val="16"/>
                <w:b w:val="1"/>
                <w:bCs w:val="1"/>
                <w:color w:val="auto"/>
              </w:rPr>
              <w:t>59</w:t>
            </w:r>
          </w:p>
        </w:tc>
      </w:tr>
      <w:tr>
        <w:trPr>
          <w:trHeight w:val="325"/>
        </w:trPr>
        <w:tc>
          <w:tcPr>
            <w:tcW w:w="107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79" w:right="339" w:bottom="1081" w:gutter="0" w:footer="0" w:header="0"/>
        </w:sectPr>
      </w:pPr>
    </w:p>
    <w:bookmarkStart w:id="61" w:name="page62"/>
    <w:bookmarkEnd w:id="61"/>
    <w:p>
      <w:pPr>
        <w:ind w:left="352"/>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216535</wp:posOffset>
            </wp:positionH>
            <wp:positionV relativeFrom="page">
              <wp:posOffset>106045</wp:posOffset>
            </wp:positionV>
            <wp:extent cx="102870" cy="11176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clrChange>
                        <a:clrFrom>
                          <a:srgbClr val="FFFFFF"/>
                        </a:clrFrom>
                        <a:clrTo>
                          <a:srgbClr val="FFFFFF">
                            <a:alpha val="0"/>
                          </a:srgbClr>
                        </a:clrTo>
                      </a:clrChange>
                      <a:extLst>
                        <a:ext uri="{28A0092B-C50C-407E-A947-70E740481C1C}"/>
                      </a:extLst>
                    </a:blip>
                    <a:srcRect/>
                    <a:stretch>
                      <a:fillRect/>
                    </a:stretch>
                  </pic:blipFill>
                  <pic:spPr bwMode="auto">
                    <a:xfrm>
                      <a:off x="0" y="0"/>
                      <a:ext cx="102870" cy="111760"/>
                    </a:xfrm>
                    <a:prstGeom prst="rect">
                      <a:avLst/>
                    </a:prstGeom>
                    <a:noFill/>
                  </pic:spPr>
                </pic:pic>
              </a:graphicData>
            </a:graphic>
          </wp:anchor>
        </w:drawing>
        <w:t>Executive Compensation Tables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212" w:hanging="212"/>
        <w:spacing w:after="0"/>
        <w:tabs>
          <w:tab w:leader="none" w:pos="212" w:val="left"/>
        </w:tabs>
        <w:numPr>
          <w:ilvl w:val="0"/>
          <w:numId w:val="107"/>
        </w:numPr>
        <w:rPr>
          <w:rFonts w:ascii="Arial" w:cs="Arial" w:eastAsia="Arial" w:hAnsi="Arial"/>
          <w:sz w:val="19"/>
          <w:szCs w:val="19"/>
          <w:color w:val="auto"/>
          <w:vertAlign w:val="superscript"/>
        </w:rPr>
      </w:pPr>
      <w:r>
        <w:rPr>
          <w:rFonts w:ascii="Arial" w:cs="Arial" w:eastAsia="Arial" w:hAnsi="Arial"/>
          <w:sz w:val="14"/>
          <w:szCs w:val="14"/>
          <w:color w:val="auto"/>
        </w:rPr>
        <w:t>One-third of the restricted stock units will vest on the first, second, and third anniversaries of the grant date. The grant dates of the restricted stock unit awards are as follows:</w:t>
      </w:r>
    </w:p>
    <w:p>
      <w:pPr>
        <w:spacing w:after="0" w:line="151" w:lineRule="exact"/>
        <w:rPr>
          <w:sz w:val="20"/>
          <w:szCs w:val="20"/>
          <w:color w:val="auto"/>
        </w:rPr>
      </w:pPr>
    </w:p>
    <w:tbl>
      <w:tblPr>
        <w:tblLayout w:type="fixed"/>
        <w:tblInd w:w="192" w:type="dxa"/>
        <w:tblCellMar>
          <w:top w:w="0" w:type="dxa"/>
          <w:left w:w="0" w:type="dxa"/>
          <w:bottom w:w="0" w:type="dxa"/>
          <w:right w:w="0" w:type="dxa"/>
        </w:tblCellMar>
      </w:tblPr>
      <w:tr>
        <w:trPr>
          <w:trHeight w:val="149"/>
        </w:trPr>
        <w:tc>
          <w:tcPr>
            <w:tcW w:w="744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620" w:type="dxa"/>
            <w:vAlign w:val="bottom"/>
          </w:tcPr>
          <w:p>
            <w:pPr>
              <w:jc w:val="right"/>
              <w:spacing w:after="0"/>
              <w:rPr>
                <w:sz w:val="20"/>
                <w:szCs w:val="20"/>
                <w:color w:val="auto"/>
              </w:rPr>
            </w:pPr>
            <w:r>
              <w:rPr>
                <w:rFonts w:ascii="Arial" w:cs="Arial" w:eastAsia="Arial" w:hAnsi="Arial"/>
                <w:sz w:val="13"/>
                <w:szCs w:val="13"/>
                <w:b w:val="1"/>
                <w:bCs w:val="1"/>
                <w:color w:val="auto"/>
              </w:rPr>
              <w:t>Number of Restricted</w:t>
            </w:r>
          </w:p>
        </w:tc>
      </w:tr>
      <w:tr>
        <w:trPr>
          <w:trHeight w:val="172"/>
        </w:trPr>
        <w:tc>
          <w:tcPr>
            <w:tcW w:w="7440" w:type="dxa"/>
            <w:vAlign w:val="bottom"/>
          </w:tcPr>
          <w:p>
            <w:pPr>
              <w:ind w:left="20"/>
              <w:spacing w:after="0"/>
              <w:rPr>
                <w:sz w:val="20"/>
                <w:szCs w:val="20"/>
                <w:color w:val="auto"/>
              </w:rPr>
            </w:pPr>
            <w:r>
              <w:rPr>
                <w:rFonts w:ascii="Arial" w:cs="Arial" w:eastAsia="Arial" w:hAnsi="Arial"/>
                <w:sz w:val="13"/>
                <w:szCs w:val="13"/>
                <w:b w:val="1"/>
                <w:bCs w:val="1"/>
                <w:color w:val="auto"/>
              </w:rPr>
              <w:t>Name</w:t>
            </w:r>
          </w:p>
        </w:tc>
        <w:tc>
          <w:tcPr>
            <w:tcW w:w="1700" w:type="dxa"/>
            <w:vAlign w:val="bottom"/>
          </w:tcPr>
          <w:p>
            <w:pPr>
              <w:jc w:val="right"/>
              <w:ind w:right="289"/>
              <w:spacing w:after="0"/>
              <w:rPr>
                <w:sz w:val="20"/>
                <w:szCs w:val="20"/>
                <w:color w:val="auto"/>
              </w:rPr>
            </w:pPr>
            <w:r>
              <w:rPr>
                <w:rFonts w:ascii="Arial" w:cs="Arial" w:eastAsia="Arial" w:hAnsi="Arial"/>
                <w:sz w:val="13"/>
                <w:szCs w:val="13"/>
                <w:b w:val="1"/>
                <w:bCs w:val="1"/>
                <w:color w:val="auto"/>
              </w:rPr>
              <w:t>Grant Date</w:t>
            </w:r>
          </w:p>
        </w:tc>
        <w:tc>
          <w:tcPr>
            <w:tcW w:w="1620" w:type="dxa"/>
            <w:vAlign w:val="bottom"/>
          </w:tcPr>
          <w:p>
            <w:pPr>
              <w:jc w:val="right"/>
              <w:spacing w:after="0"/>
              <w:rPr>
                <w:sz w:val="20"/>
                <w:szCs w:val="20"/>
                <w:color w:val="auto"/>
              </w:rPr>
            </w:pPr>
            <w:r>
              <w:rPr>
                <w:rFonts w:ascii="Arial" w:cs="Arial" w:eastAsia="Arial" w:hAnsi="Arial"/>
                <w:sz w:val="13"/>
                <w:szCs w:val="13"/>
                <w:b w:val="1"/>
                <w:bCs w:val="1"/>
                <w:color w:val="auto"/>
              </w:rPr>
              <w:t>Stock Units</w:t>
            </w:r>
          </w:p>
        </w:tc>
      </w:tr>
      <w:tr>
        <w:trPr>
          <w:trHeight w:val="22"/>
        </w:trPr>
        <w:tc>
          <w:tcPr>
            <w:tcW w:w="7440" w:type="dxa"/>
            <w:vAlign w:val="bottom"/>
            <w:tcBorders>
              <w:bottom w:val="single" w:sz="8" w:color="0C3471"/>
            </w:tcBorders>
          </w:tcPr>
          <w:p>
            <w:pPr>
              <w:spacing w:after="0" w:line="20" w:lineRule="exact"/>
              <w:rPr>
                <w:sz w:val="1"/>
                <w:szCs w:val="1"/>
                <w:color w:val="auto"/>
              </w:rPr>
            </w:pPr>
          </w:p>
        </w:tc>
        <w:tc>
          <w:tcPr>
            <w:tcW w:w="1700" w:type="dxa"/>
            <w:vAlign w:val="bottom"/>
            <w:tcBorders>
              <w:bottom w:val="single" w:sz="8" w:color="0C3471"/>
            </w:tcBorders>
          </w:tcPr>
          <w:p>
            <w:pPr>
              <w:spacing w:after="0" w:line="20" w:lineRule="exact"/>
              <w:rPr>
                <w:sz w:val="1"/>
                <w:szCs w:val="1"/>
                <w:color w:val="auto"/>
              </w:rPr>
            </w:pPr>
          </w:p>
        </w:tc>
        <w:tc>
          <w:tcPr>
            <w:tcW w:w="1620" w:type="dxa"/>
            <w:vAlign w:val="bottom"/>
            <w:tcBorders>
              <w:bottom w:val="single" w:sz="8" w:color="0C3471"/>
            </w:tcBorders>
          </w:tcPr>
          <w:p>
            <w:pPr>
              <w:spacing w:after="0" w:line="20" w:lineRule="exact"/>
              <w:rPr>
                <w:sz w:val="1"/>
                <w:szCs w:val="1"/>
                <w:color w:val="auto"/>
              </w:rPr>
            </w:pPr>
          </w:p>
        </w:tc>
      </w:tr>
      <w:tr>
        <w:trPr>
          <w:trHeight w:val="216"/>
        </w:trPr>
        <w:tc>
          <w:tcPr>
            <w:tcW w:w="7440" w:type="dxa"/>
            <w:vAlign w:val="bottom"/>
          </w:tcPr>
          <w:p>
            <w:pPr>
              <w:ind w:left="20"/>
              <w:spacing w:after="0"/>
              <w:rPr>
                <w:sz w:val="20"/>
                <w:szCs w:val="20"/>
                <w:color w:val="auto"/>
              </w:rPr>
            </w:pPr>
            <w:r>
              <w:rPr>
                <w:rFonts w:ascii="Arial" w:cs="Arial" w:eastAsia="Arial" w:hAnsi="Arial"/>
                <w:sz w:val="14"/>
                <w:szCs w:val="14"/>
                <w:b w:val="1"/>
                <w:bCs w:val="1"/>
                <w:color w:val="0C3471"/>
              </w:rPr>
              <w:t>John L. Stauch</w:t>
            </w:r>
          </w:p>
        </w:tc>
        <w:tc>
          <w:tcPr>
            <w:tcW w:w="1700" w:type="dxa"/>
            <w:vAlign w:val="bottom"/>
            <w:tcBorders>
              <w:bottom w:val="single" w:sz="8" w:color="BCBEC0"/>
            </w:tcBorders>
          </w:tcPr>
          <w:p>
            <w:pPr>
              <w:jc w:val="right"/>
              <w:ind w:right="289"/>
              <w:spacing w:after="0"/>
              <w:rPr>
                <w:sz w:val="20"/>
                <w:szCs w:val="20"/>
                <w:color w:val="auto"/>
              </w:rPr>
            </w:pPr>
            <w:r>
              <w:rPr>
                <w:rFonts w:ascii="Arial" w:cs="Arial" w:eastAsia="Arial" w:hAnsi="Arial"/>
                <w:sz w:val="14"/>
                <w:szCs w:val="14"/>
                <w:color w:val="auto"/>
              </w:rPr>
              <w:t>1/3/2023</w:t>
            </w:r>
          </w:p>
        </w:tc>
        <w:tc>
          <w:tcPr>
            <w:tcW w:w="1620" w:type="dxa"/>
            <w:vAlign w:val="bottom"/>
            <w:tcBorders>
              <w:bottom w:val="single" w:sz="8" w:color="BCBEC0"/>
            </w:tcBorders>
          </w:tcPr>
          <w:p>
            <w:pPr>
              <w:jc w:val="right"/>
              <w:spacing w:after="0"/>
              <w:rPr>
                <w:sz w:val="20"/>
                <w:szCs w:val="20"/>
                <w:color w:val="auto"/>
              </w:rPr>
            </w:pPr>
            <w:r>
              <w:rPr>
                <w:rFonts w:ascii="Arial" w:cs="Arial" w:eastAsia="Arial" w:hAnsi="Arial"/>
                <w:sz w:val="14"/>
                <w:szCs w:val="14"/>
                <w:color w:val="auto"/>
              </w:rPr>
              <w:t>11,843</w:t>
            </w:r>
          </w:p>
        </w:tc>
      </w:tr>
      <w:tr>
        <w:trPr>
          <w:trHeight w:val="208"/>
        </w:trPr>
        <w:tc>
          <w:tcPr>
            <w:tcW w:w="7440" w:type="dxa"/>
            <w:vAlign w:val="bottom"/>
          </w:tcPr>
          <w:p>
            <w:pPr>
              <w:spacing w:after="0"/>
              <w:rPr>
                <w:sz w:val="18"/>
                <w:szCs w:val="18"/>
                <w:color w:val="auto"/>
              </w:rPr>
            </w:pPr>
          </w:p>
        </w:tc>
        <w:tc>
          <w:tcPr>
            <w:tcW w:w="1700" w:type="dxa"/>
            <w:vAlign w:val="bottom"/>
          </w:tcPr>
          <w:p>
            <w:pPr>
              <w:jc w:val="right"/>
              <w:ind w:right="289"/>
              <w:spacing w:after="0"/>
              <w:rPr>
                <w:sz w:val="20"/>
                <w:szCs w:val="20"/>
                <w:color w:val="auto"/>
              </w:rPr>
            </w:pPr>
            <w:r>
              <w:rPr>
                <w:rFonts w:ascii="Arial" w:cs="Arial" w:eastAsia="Arial" w:hAnsi="Arial"/>
                <w:sz w:val="14"/>
                <w:szCs w:val="14"/>
                <w:color w:val="auto"/>
              </w:rPr>
              <w:t>1/2/2024</w:t>
            </w:r>
          </w:p>
        </w:tc>
        <w:tc>
          <w:tcPr>
            <w:tcW w:w="1620" w:type="dxa"/>
            <w:vAlign w:val="bottom"/>
          </w:tcPr>
          <w:p>
            <w:pPr>
              <w:jc w:val="right"/>
              <w:spacing w:after="0"/>
              <w:rPr>
                <w:sz w:val="20"/>
                <w:szCs w:val="20"/>
                <w:color w:val="auto"/>
              </w:rPr>
            </w:pPr>
            <w:r>
              <w:rPr>
                <w:rFonts w:ascii="Arial" w:cs="Arial" w:eastAsia="Arial" w:hAnsi="Arial"/>
                <w:sz w:val="14"/>
                <w:szCs w:val="14"/>
                <w:color w:val="auto"/>
              </w:rPr>
              <w:t>15,603</w:t>
            </w:r>
          </w:p>
        </w:tc>
      </w:tr>
      <w:tr>
        <w:trPr>
          <w:trHeight w:val="22"/>
        </w:trPr>
        <w:tc>
          <w:tcPr>
            <w:tcW w:w="7440" w:type="dxa"/>
            <w:vAlign w:val="bottom"/>
            <w:tcBorders>
              <w:bottom w:val="single" w:sz="8" w:color="BCBEC0"/>
            </w:tcBorders>
          </w:tcPr>
          <w:p>
            <w:pPr>
              <w:spacing w:after="0" w:line="20" w:lineRule="exact"/>
              <w:rPr>
                <w:sz w:val="1"/>
                <w:szCs w:val="1"/>
                <w:color w:val="auto"/>
              </w:rPr>
            </w:pPr>
          </w:p>
        </w:tc>
        <w:tc>
          <w:tcPr>
            <w:tcW w:w="1700" w:type="dxa"/>
            <w:vAlign w:val="bottom"/>
            <w:tcBorders>
              <w:bottom w:val="single" w:sz="8" w:color="BCBEC0"/>
            </w:tcBorders>
          </w:tcPr>
          <w:p>
            <w:pPr>
              <w:spacing w:after="0" w:line="20" w:lineRule="exact"/>
              <w:rPr>
                <w:sz w:val="1"/>
                <w:szCs w:val="1"/>
                <w:color w:val="auto"/>
              </w:rPr>
            </w:pPr>
          </w:p>
        </w:tc>
        <w:tc>
          <w:tcPr>
            <w:tcW w:w="1620" w:type="dxa"/>
            <w:vAlign w:val="bottom"/>
            <w:tcBorders>
              <w:bottom w:val="single" w:sz="8" w:color="BCBEC0"/>
            </w:tcBorders>
          </w:tcPr>
          <w:p>
            <w:pPr>
              <w:spacing w:after="0" w:line="20" w:lineRule="exact"/>
              <w:rPr>
                <w:sz w:val="1"/>
                <w:szCs w:val="1"/>
                <w:color w:val="auto"/>
              </w:rPr>
            </w:pPr>
          </w:p>
        </w:tc>
      </w:tr>
      <w:tr>
        <w:trPr>
          <w:trHeight w:val="217"/>
        </w:trPr>
        <w:tc>
          <w:tcPr>
            <w:tcW w:w="7440" w:type="dxa"/>
            <w:vAlign w:val="bottom"/>
          </w:tcPr>
          <w:p>
            <w:pPr>
              <w:ind w:left="20"/>
              <w:spacing w:after="0"/>
              <w:rPr>
                <w:sz w:val="20"/>
                <w:szCs w:val="20"/>
                <w:color w:val="auto"/>
              </w:rPr>
            </w:pPr>
            <w:r>
              <w:rPr>
                <w:rFonts w:ascii="Arial" w:cs="Arial" w:eastAsia="Arial" w:hAnsi="Arial"/>
                <w:sz w:val="14"/>
                <w:szCs w:val="14"/>
                <w:b w:val="1"/>
                <w:bCs w:val="1"/>
                <w:color w:val="0C3471"/>
              </w:rPr>
              <w:t>Robert P. Fishman</w:t>
            </w:r>
          </w:p>
        </w:tc>
        <w:tc>
          <w:tcPr>
            <w:tcW w:w="1700" w:type="dxa"/>
            <w:vAlign w:val="bottom"/>
            <w:tcBorders>
              <w:bottom w:val="single" w:sz="8" w:color="BCBEC0"/>
            </w:tcBorders>
          </w:tcPr>
          <w:p>
            <w:pPr>
              <w:jc w:val="right"/>
              <w:ind w:right="289"/>
              <w:spacing w:after="0"/>
              <w:rPr>
                <w:sz w:val="20"/>
                <w:szCs w:val="20"/>
                <w:color w:val="auto"/>
              </w:rPr>
            </w:pPr>
            <w:r>
              <w:rPr>
                <w:rFonts w:ascii="Arial" w:cs="Arial" w:eastAsia="Arial" w:hAnsi="Arial"/>
                <w:sz w:val="14"/>
                <w:szCs w:val="14"/>
                <w:color w:val="auto"/>
              </w:rPr>
              <w:t>1/3/2023</w:t>
            </w:r>
          </w:p>
        </w:tc>
        <w:tc>
          <w:tcPr>
            <w:tcW w:w="1620" w:type="dxa"/>
            <w:vAlign w:val="bottom"/>
            <w:tcBorders>
              <w:bottom w:val="single" w:sz="8" w:color="BCBEC0"/>
            </w:tcBorders>
          </w:tcPr>
          <w:p>
            <w:pPr>
              <w:jc w:val="right"/>
              <w:spacing w:after="0"/>
              <w:rPr>
                <w:sz w:val="20"/>
                <w:szCs w:val="20"/>
                <w:color w:val="auto"/>
              </w:rPr>
            </w:pPr>
            <w:r>
              <w:rPr>
                <w:rFonts w:ascii="Arial" w:cs="Arial" w:eastAsia="Arial" w:hAnsi="Arial"/>
                <w:sz w:val="14"/>
                <w:szCs w:val="14"/>
                <w:color w:val="auto"/>
              </w:rPr>
              <w:t>3,344</w:t>
            </w:r>
          </w:p>
        </w:tc>
      </w:tr>
      <w:tr>
        <w:trPr>
          <w:trHeight w:val="208"/>
        </w:trPr>
        <w:tc>
          <w:tcPr>
            <w:tcW w:w="7440" w:type="dxa"/>
            <w:vAlign w:val="bottom"/>
          </w:tcPr>
          <w:p>
            <w:pPr>
              <w:spacing w:after="0"/>
              <w:rPr>
                <w:sz w:val="18"/>
                <w:szCs w:val="18"/>
                <w:color w:val="auto"/>
              </w:rPr>
            </w:pPr>
          </w:p>
        </w:tc>
        <w:tc>
          <w:tcPr>
            <w:tcW w:w="1700" w:type="dxa"/>
            <w:vAlign w:val="bottom"/>
          </w:tcPr>
          <w:p>
            <w:pPr>
              <w:jc w:val="right"/>
              <w:ind w:right="289"/>
              <w:spacing w:after="0"/>
              <w:rPr>
                <w:sz w:val="20"/>
                <w:szCs w:val="20"/>
                <w:color w:val="auto"/>
              </w:rPr>
            </w:pPr>
            <w:r>
              <w:rPr>
                <w:rFonts w:ascii="Arial" w:cs="Arial" w:eastAsia="Arial" w:hAnsi="Arial"/>
                <w:sz w:val="14"/>
                <w:szCs w:val="14"/>
                <w:color w:val="auto"/>
              </w:rPr>
              <w:t>1/2/2024</w:t>
            </w:r>
          </w:p>
        </w:tc>
        <w:tc>
          <w:tcPr>
            <w:tcW w:w="1620" w:type="dxa"/>
            <w:vAlign w:val="bottom"/>
          </w:tcPr>
          <w:p>
            <w:pPr>
              <w:jc w:val="right"/>
              <w:spacing w:after="0"/>
              <w:rPr>
                <w:sz w:val="20"/>
                <w:szCs w:val="20"/>
                <w:color w:val="auto"/>
              </w:rPr>
            </w:pPr>
            <w:r>
              <w:rPr>
                <w:rFonts w:ascii="Arial" w:cs="Arial" w:eastAsia="Arial" w:hAnsi="Arial"/>
                <w:sz w:val="14"/>
                <w:szCs w:val="14"/>
                <w:color w:val="auto"/>
              </w:rPr>
              <w:t>4,321</w:t>
            </w:r>
          </w:p>
        </w:tc>
      </w:tr>
      <w:tr>
        <w:trPr>
          <w:trHeight w:val="22"/>
        </w:trPr>
        <w:tc>
          <w:tcPr>
            <w:tcW w:w="7440" w:type="dxa"/>
            <w:vAlign w:val="bottom"/>
          </w:tcPr>
          <w:p>
            <w:pPr>
              <w:spacing w:after="0" w:line="20" w:lineRule="exact"/>
              <w:rPr>
                <w:sz w:val="1"/>
                <w:szCs w:val="1"/>
                <w:color w:val="auto"/>
              </w:rPr>
            </w:pPr>
          </w:p>
        </w:tc>
        <w:tc>
          <w:tcPr>
            <w:tcW w:w="1700" w:type="dxa"/>
            <w:vAlign w:val="bottom"/>
            <w:tcBorders>
              <w:bottom w:val="single" w:sz="8" w:color="BCBEC0"/>
            </w:tcBorders>
          </w:tcPr>
          <w:p>
            <w:pPr>
              <w:spacing w:after="0" w:line="20" w:lineRule="exact"/>
              <w:rPr>
                <w:sz w:val="1"/>
                <w:szCs w:val="1"/>
                <w:color w:val="auto"/>
              </w:rPr>
            </w:pPr>
          </w:p>
        </w:tc>
        <w:tc>
          <w:tcPr>
            <w:tcW w:w="1620" w:type="dxa"/>
            <w:vAlign w:val="bottom"/>
            <w:tcBorders>
              <w:bottom w:val="single" w:sz="8" w:color="BCBEC0"/>
            </w:tcBorders>
          </w:tcPr>
          <w:p>
            <w:pPr>
              <w:spacing w:after="0" w:line="20" w:lineRule="exact"/>
              <w:rPr>
                <w:sz w:val="1"/>
                <w:szCs w:val="1"/>
                <w:color w:val="auto"/>
              </w:rPr>
            </w:pPr>
          </w:p>
        </w:tc>
      </w:tr>
      <w:tr>
        <w:trPr>
          <w:trHeight w:val="202"/>
        </w:trPr>
        <w:tc>
          <w:tcPr>
            <w:tcW w:w="7440" w:type="dxa"/>
            <w:vAlign w:val="bottom"/>
          </w:tcPr>
          <w:p>
            <w:pPr>
              <w:spacing w:after="0"/>
              <w:rPr>
                <w:sz w:val="17"/>
                <w:szCs w:val="17"/>
                <w:color w:val="auto"/>
              </w:rPr>
            </w:pPr>
          </w:p>
        </w:tc>
        <w:tc>
          <w:tcPr>
            <w:tcW w:w="1700" w:type="dxa"/>
            <w:vAlign w:val="bottom"/>
          </w:tcPr>
          <w:p>
            <w:pPr>
              <w:jc w:val="right"/>
              <w:ind w:right="289"/>
              <w:spacing w:after="0"/>
              <w:rPr>
                <w:sz w:val="20"/>
                <w:szCs w:val="20"/>
                <w:color w:val="auto"/>
              </w:rPr>
            </w:pPr>
            <w:r>
              <w:rPr>
                <w:rFonts w:ascii="Arial" w:cs="Arial" w:eastAsia="Arial" w:hAnsi="Arial"/>
                <w:sz w:val="14"/>
                <w:szCs w:val="14"/>
                <w:color w:val="auto"/>
              </w:rPr>
              <w:t>1/2/2025</w:t>
            </w:r>
          </w:p>
        </w:tc>
        <w:tc>
          <w:tcPr>
            <w:tcW w:w="1620" w:type="dxa"/>
            <w:vAlign w:val="bottom"/>
          </w:tcPr>
          <w:p>
            <w:pPr>
              <w:jc w:val="right"/>
              <w:spacing w:after="0"/>
              <w:rPr>
                <w:sz w:val="20"/>
                <w:szCs w:val="20"/>
                <w:color w:val="auto"/>
              </w:rPr>
            </w:pPr>
            <w:r>
              <w:rPr>
                <w:rFonts w:ascii="Arial" w:cs="Arial" w:eastAsia="Arial" w:hAnsi="Arial"/>
                <w:sz w:val="14"/>
                <w:szCs w:val="14"/>
                <w:color w:val="auto"/>
              </w:rPr>
              <w:t>4,653</w:t>
            </w:r>
          </w:p>
        </w:tc>
      </w:tr>
      <w:tr>
        <w:trPr>
          <w:trHeight w:val="22"/>
        </w:trPr>
        <w:tc>
          <w:tcPr>
            <w:tcW w:w="7440" w:type="dxa"/>
            <w:vAlign w:val="bottom"/>
            <w:tcBorders>
              <w:bottom w:val="single" w:sz="8" w:color="BCBEC0"/>
            </w:tcBorders>
          </w:tcPr>
          <w:p>
            <w:pPr>
              <w:spacing w:after="0" w:line="20" w:lineRule="exact"/>
              <w:rPr>
                <w:sz w:val="1"/>
                <w:szCs w:val="1"/>
                <w:color w:val="auto"/>
              </w:rPr>
            </w:pPr>
          </w:p>
        </w:tc>
        <w:tc>
          <w:tcPr>
            <w:tcW w:w="1700" w:type="dxa"/>
            <w:vAlign w:val="bottom"/>
            <w:tcBorders>
              <w:bottom w:val="single" w:sz="8" w:color="BCBEC0"/>
            </w:tcBorders>
          </w:tcPr>
          <w:p>
            <w:pPr>
              <w:spacing w:after="0" w:line="20" w:lineRule="exact"/>
              <w:rPr>
                <w:sz w:val="1"/>
                <w:szCs w:val="1"/>
                <w:color w:val="auto"/>
              </w:rPr>
            </w:pPr>
          </w:p>
        </w:tc>
        <w:tc>
          <w:tcPr>
            <w:tcW w:w="1620" w:type="dxa"/>
            <w:vAlign w:val="bottom"/>
            <w:tcBorders>
              <w:bottom w:val="single" w:sz="8" w:color="BCBEC0"/>
            </w:tcBorders>
          </w:tcPr>
          <w:p>
            <w:pPr>
              <w:spacing w:after="0" w:line="20" w:lineRule="exact"/>
              <w:rPr>
                <w:sz w:val="1"/>
                <w:szCs w:val="1"/>
                <w:color w:val="auto"/>
              </w:rPr>
            </w:pPr>
          </w:p>
        </w:tc>
      </w:tr>
      <w:tr>
        <w:trPr>
          <w:trHeight w:val="216"/>
        </w:trPr>
        <w:tc>
          <w:tcPr>
            <w:tcW w:w="7440" w:type="dxa"/>
            <w:vAlign w:val="bottom"/>
          </w:tcPr>
          <w:p>
            <w:pPr>
              <w:ind w:left="20"/>
              <w:spacing w:after="0"/>
              <w:rPr>
                <w:sz w:val="20"/>
                <w:szCs w:val="20"/>
                <w:color w:val="auto"/>
              </w:rPr>
            </w:pPr>
            <w:r>
              <w:rPr>
                <w:rFonts w:ascii="Arial" w:cs="Arial" w:eastAsia="Arial" w:hAnsi="Arial"/>
                <w:sz w:val="14"/>
                <w:szCs w:val="14"/>
                <w:b w:val="1"/>
                <w:bCs w:val="1"/>
                <w:color w:val="0C3471"/>
              </w:rPr>
              <w:t>Jerome O. Pedretti</w:t>
            </w:r>
          </w:p>
        </w:tc>
        <w:tc>
          <w:tcPr>
            <w:tcW w:w="1700" w:type="dxa"/>
            <w:vAlign w:val="bottom"/>
            <w:tcBorders>
              <w:bottom w:val="single" w:sz="8" w:color="BCBEC0"/>
            </w:tcBorders>
          </w:tcPr>
          <w:p>
            <w:pPr>
              <w:jc w:val="right"/>
              <w:ind w:right="289"/>
              <w:spacing w:after="0"/>
              <w:rPr>
                <w:sz w:val="20"/>
                <w:szCs w:val="20"/>
                <w:color w:val="auto"/>
              </w:rPr>
            </w:pPr>
            <w:r>
              <w:rPr>
                <w:rFonts w:ascii="Arial" w:cs="Arial" w:eastAsia="Arial" w:hAnsi="Arial"/>
                <w:sz w:val="14"/>
                <w:szCs w:val="14"/>
                <w:color w:val="auto"/>
              </w:rPr>
              <w:t>1/3/2023</w:t>
            </w:r>
          </w:p>
        </w:tc>
        <w:tc>
          <w:tcPr>
            <w:tcW w:w="1620" w:type="dxa"/>
            <w:vAlign w:val="bottom"/>
            <w:tcBorders>
              <w:bottom w:val="single" w:sz="8" w:color="BCBEC0"/>
            </w:tcBorders>
          </w:tcPr>
          <w:p>
            <w:pPr>
              <w:jc w:val="right"/>
              <w:spacing w:after="0"/>
              <w:rPr>
                <w:sz w:val="20"/>
                <w:szCs w:val="20"/>
                <w:color w:val="auto"/>
              </w:rPr>
            </w:pPr>
            <w:r>
              <w:rPr>
                <w:rFonts w:ascii="Arial" w:cs="Arial" w:eastAsia="Arial" w:hAnsi="Arial"/>
                <w:sz w:val="14"/>
                <w:szCs w:val="14"/>
                <w:color w:val="auto"/>
              </w:rPr>
              <w:t>2,675</w:t>
            </w:r>
          </w:p>
        </w:tc>
      </w:tr>
      <w:tr>
        <w:trPr>
          <w:trHeight w:val="208"/>
        </w:trPr>
        <w:tc>
          <w:tcPr>
            <w:tcW w:w="7440" w:type="dxa"/>
            <w:vAlign w:val="bottom"/>
          </w:tcPr>
          <w:p>
            <w:pPr>
              <w:spacing w:after="0"/>
              <w:rPr>
                <w:sz w:val="18"/>
                <w:szCs w:val="18"/>
                <w:color w:val="auto"/>
              </w:rPr>
            </w:pPr>
          </w:p>
        </w:tc>
        <w:tc>
          <w:tcPr>
            <w:tcW w:w="1700" w:type="dxa"/>
            <w:vAlign w:val="bottom"/>
          </w:tcPr>
          <w:p>
            <w:pPr>
              <w:jc w:val="right"/>
              <w:ind w:right="289"/>
              <w:spacing w:after="0"/>
              <w:rPr>
                <w:sz w:val="20"/>
                <w:szCs w:val="20"/>
                <w:color w:val="auto"/>
              </w:rPr>
            </w:pPr>
            <w:r>
              <w:rPr>
                <w:rFonts w:ascii="Arial" w:cs="Arial" w:eastAsia="Arial" w:hAnsi="Arial"/>
                <w:sz w:val="14"/>
                <w:szCs w:val="14"/>
                <w:color w:val="auto"/>
              </w:rPr>
              <w:t>1/2/2024</w:t>
            </w:r>
          </w:p>
        </w:tc>
        <w:tc>
          <w:tcPr>
            <w:tcW w:w="1620" w:type="dxa"/>
            <w:vAlign w:val="bottom"/>
          </w:tcPr>
          <w:p>
            <w:pPr>
              <w:jc w:val="right"/>
              <w:spacing w:after="0"/>
              <w:rPr>
                <w:sz w:val="20"/>
                <w:szCs w:val="20"/>
                <w:color w:val="auto"/>
              </w:rPr>
            </w:pPr>
            <w:r>
              <w:rPr>
                <w:rFonts w:ascii="Arial" w:cs="Arial" w:eastAsia="Arial" w:hAnsi="Arial"/>
                <w:sz w:val="14"/>
                <w:szCs w:val="14"/>
                <w:color w:val="auto"/>
              </w:rPr>
              <w:t>3,482</w:t>
            </w:r>
          </w:p>
        </w:tc>
      </w:tr>
      <w:tr>
        <w:trPr>
          <w:trHeight w:val="22"/>
        </w:trPr>
        <w:tc>
          <w:tcPr>
            <w:tcW w:w="7440" w:type="dxa"/>
            <w:vAlign w:val="bottom"/>
          </w:tcPr>
          <w:p>
            <w:pPr>
              <w:spacing w:after="0" w:line="20" w:lineRule="exact"/>
              <w:rPr>
                <w:sz w:val="1"/>
                <w:szCs w:val="1"/>
                <w:color w:val="auto"/>
              </w:rPr>
            </w:pPr>
          </w:p>
        </w:tc>
        <w:tc>
          <w:tcPr>
            <w:tcW w:w="1700" w:type="dxa"/>
            <w:vAlign w:val="bottom"/>
            <w:tcBorders>
              <w:bottom w:val="single" w:sz="8" w:color="BCBEC0"/>
            </w:tcBorders>
          </w:tcPr>
          <w:p>
            <w:pPr>
              <w:spacing w:after="0" w:line="20" w:lineRule="exact"/>
              <w:rPr>
                <w:sz w:val="1"/>
                <w:szCs w:val="1"/>
                <w:color w:val="auto"/>
              </w:rPr>
            </w:pPr>
          </w:p>
        </w:tc>
        <w:tc>
          <w:tcPr>
            <w:tcW w:w="1620" w:type="dxa"/>
            <w:vAlign w:val="bottom"/>
            <w:tcBorders>
              <w:bottom w:val="single" w:sz="8" w:color="BCBEC0"/>
            </w:tcBorders>
          </w:tcPr>
          <w:p>
            <w:pPr>
              <w:spacing w:after="0" w:line="20" w:lineRule="exact"/>
              <w:rPr>
                <w:sz w:val="1"/>
                <w:szCs w:val="1"/>
                <w:color w:val="auto"/>
              </w:rPr>
            </w:pPr>
          </w:p>
        </w:tc>
      </w:tr>
      <w:tr>
        <w:trPr>
          <w:trHeight w:val="201"/>
        </w:trPr>
        <w:tc>
          <w:tcPr>
            <w:tcW w:w="7440" w:type="dxa"/>
            <w:vAlign w:val="bottom"/>
          </w:tcPr>
          <w:p>
            <w:pPr>
              <w:spacing w:after="0"/>
              <w:rPr>
                <w:sz w:val="17"/>
                <w:szCs w:val="17"/>
                <w:color w:val="auto"/>
              </w:rPr>
            </w:pPr>
          </w:p>
        </w:tc>
        <w:tc>
          <w:tcPr>
            <w:tcW w:w="1700" w:type="dxa"/>
            <w:vAlign w:val="bottom"/>
          </w:tcPr>
          <w:p>
            <w:pPr>
              <w:jc w:val="right"/>
              <w:ind w:right="289"/>
              <w:spacing w:after="0"/>
              <w:rPr>
                <w:sz w:val="20"/>
                <w:szCs w:val="20"/>
                <w:color w:val="auto"/>
              </w:rPr>
            </w:pPr>
            <w:r>
              <w:rPr>
                <w:rFonts w:ascii="Arial" w:cs="Arial" w:eastAsia="Arial" w:hAnsi="Arial"/>
                <w:sz w:val="14"/>
                <w:szCs w:val="14"/>
                <w:color w:val="auto"/>
              </w:rPr>
              <w:t>1/2/2025</w:t>
            </w:r>
          </w:p>
        </w:tc>
        <w:tc>
          <w:tcPr>
            <w:tcW w:w="1620" w:type="dxa"/>
            <w:vAlign w:val="bottom"/>
          </w:tcPr>
          <w:p>
            <w:pPr>
              <w:jc w:val="right"/>
              <w:spacing w:after="0"/>
              <w:rPr>
                <w:sz w:val="20"/>
                <w:szCs w:val="20"/>
                <w:color w:val="auto"/>
              </w:rPr>
            </w:pPr>
            <w:r>
              <w:rPr>
                <w:rFonts w:ascii="Arial" w:cs="Arial" w:eastAsia="Arial" w:hAnsi="Arial"/>
                <w:sz w:val="14"/>
                <w:szCs w:val="14"/>
                <w:color w:val="auto"/>
              </w:rPr>
              <w:t>3,773</w:t>
            </w:r>
          </w:p>
        </w:tc>
      </w:tr>
      <w:tr>
        <w:trPr>
          <w:trHeight w:val="22"/>
        </w:trPr>
        <w:tc>
          <w:tcPr>
            <w:tcW w:w="7440" w:type="dxa"/>
            <w:vAlign w:val="bottom"/>
            <w:tcBorders>
              <w:bottom w:val="single" w:sz="8" w:color="BCBEC0"/>
            </w:tcBorders>
          </w:tcPr>
          <w:p>
            <w:pPr>
              <w:spacing w:after="0" w:line="20" w:lineRule="exact"/>
              <w:rPr>
                <w:sz w:val="1"/>
                <w:szCs w:val="1"/>
                <w:color w:val="auto"/>
              </w:rPr>
            </w:pPr>
          </w:p>
        </w:tc>
        <w:tc>
          <w:tcPr>
            <w:tcW w:w="1700" w:type="dxa"/>
            <w:vAlign w:val="bottom"/>
            <w:tcBorders>
              <w:bottom w:val="single" w:sz="8" w:color="BCBEC0"/>
            </w:tcBorders>
          </w:tcPr>
          <w:p>
            <w:pPr>
              <w:spacing w:after="0" w:line="20" w:lineRule="exact"/>
              <w:rPr>
                <w:sz w:val="1"/>
                <w:szCs w:val="1"/>
                <w:color w:val="auto"/>
              </w:rPr>
            </w:pPr>
          </w:p>
        </w:tc>
        <w:tc>
          <w:tcPr>
            <w:tcW w:w="1620" w:type="dxa"/>
            <w:vAlign w:val="bottom"/>
            <w:tcBorders>
              <w:bottom w:val="single" w:sz="8" w:color="BCBEC0"/>
            </w:tcBorders>
          </w:tcPr>
          <w:p>
            <w:pPr>
              <w:spacing w:after="0" w:line="20" w:lineRule="exact"/>
              <w:rPr>
                <w:sz w:val="1"/>
                <w:szCs w:val="1"/>
                <w:color w:val="auto"/>
              </w:rPr>
            </w:pPr>
          </w:p>
        </w:tc>
      </w:tr>
      <w:tr>
        <w:trPr>
          <w:trHeight w:val="217"/>
        </w:trPr>
        <w:tc>
          <w:tcPr>
            <w:tcW w:w="7440" w:type="dxa"/>
            <w:vAlign w:val="bottom"/>
          </w:tcPr>
          <w:p>
            <w:pPr>
              <w:ind w:left="20"/>
              <w:spacing w:after="0"/>
              <w:rPr>
                <w:sz w:val="20"/>
                <w:szCs w:val="20"/>
                <w:color w:val="auto"/>
              </w:rPr>
            </w:pPr>
            <w:r>
              <w:rPr>
                <w:rFonts w:ascii="Arial" w:cs="Arial" w:eastAsia="Arial" w:hAnsi="Arial"/>
                <w:sz w:val="14"/>
                <w:szCs w:val="14"/>
                <w:b w:val="1"/>
                <w:bCs w:val="1"/>
                <w:color w:val="0C3471"/>
              </w:rPr>
              <w:t>De'Mon L. Wiggins</w:t>
            </w:r>
          </w:p>
        </w:tc>
        <w:tc>
          <w:tcPr>
            <w:tcW w:w="1700" w:type="dxa"/>
            <w:vAlign w:val="bottom"/>
            <w:tcBorders>
              <w:bottom w:val="single" w:sz="8" w:color="BCBEC0"/>
            </w:tcBorders>
          </w:tcPr>
          <w:p>
            <w:pPr>
              <w:jc w:val="right"/>
              <w:ind w:right="289"/>
              <w:spacing w:after="0"/>
              <w:rPr>
                <w:sz w:val="20"/>
                <w:szCs w:val="20"/>
                <w:color w:val="auto"/>
              </w:rPr>
            </w:pPr>
            <w:r>
              <w:rPr>
                <w:rFonts w:ascii="Arial" w:cs="Arial" w:eastAsia="Arial" w:hAnsi="Arial"/>
                <w:sz w:val="14"/>
                <w:szCs w:val="14"/>
                <w:color w:val="auto"/>
              </w:rPr>
              <w:t>1/3/2023</w:t>
            </w:r>
          </w:p>
        </w:tc>
        <w:tc>
          <w:tcPr>
            <w:tcW w:w="1620" w:type="dxa"/>
            <w:vAlign w:val="bottom"/>
            <w:tcBorders>
              <w:bottom w:val="single" w:sz="8" w:color="BCBEC0"/>
            </w:tcBorders>
          </w:tcPr>
          <w:p>
            <w:pPr>
              <w:jc w:val="right"/>
              <w:spacing w:after="0"/>
              <w:rPr>
                <w:sz w:val="20"/>
                <w:szCs w:val="20"/>
                <w:color w:val="auto"/>
              </w:rPr>
            </w:pPr>
            <w:r>
              <w:rPr>
                <w:rFonts w:ascii="Arial" w:cs="Arial" w:eastAsia="Arial" w:hAnsi="Arial"/>
                <w:sz w:val="14"/>
                <w:szCs w:val="14"/>
                <w:color w:val="auto"/>
              </w:rPr>
              <w:t>1,911</w:t>
            </w:r>
          </w:p>
        </w:tc>
      </w:tr>
      <w:tr>
        <w:trPr>
          <w:trHeight w:val="208"/>
        </w:trPr>
        <w:tc>
          <w:tcPr>
            <w:tcW w:w="7440" w:type="dxa"/>
            <w:vAlign w:val="bottom"/>
          </w:tcPr>
          <w:p>
            <w:pPr>
              <w:spacing w:after="0"/>
              <w:rPr>
                <w:sz w:val="18"/>
                <w:szCs w:val="18"/>
                <w:color w:val="auto"/>
              </w:rPr>
            </w:pPr>
          </w:p>
        </w:tc>
        <w:tc>
          <w:tcPr>
            <w:tcW w:w="1700" w:type="dxa"/>
            <w:vAlign w:val="bottom"/>
          </w:tcPr>
          <w:p>
            <w:pPr>
              <w:jc w:val="right"/>
              <w:ind w:right="289"/>
              <w:spacing w:after="0"/>
              <w:rPr>
                <w:sz w:val="20"/>
                <w:szCs w:val="20"/>
                <w:color w:val="auto"/>
              </w:rPr>
            </w:pPr>
            <w:r>
              <w:rPr>
                <w:rFonts w:ascii="Arial" w:cs="Arial" w:eastAsia="Arial" w:hAnsi="Arial"/>
                <w:sz w:val="14"/>
                <w:szCs w:val="14"/>
                <w:color w:val="auto"/>
              </w:rPr>
              <w:t>1/2/2024</w:t>
            </w:r>
          </w:p>
        </w:tc>
        <w:tc>
          <w:tcPr>
            <w:tcW w:w="1620" w:type="dxa"/>
            <w:vAlign w:val="bottom"/>
          </w:tcPr>
          <w:p>
            <w:pPr>
              <w:jc w:val="right"/>
              <w:spacing w:after="0"/>
              <w:rPr>
                <w:sz w:val="20"/>
                <w:szCs w:val="20"/>
                <w:color w:val="auto"/>
              </w:rPr>
            </w:pPr>
            <w:r>
              <w:rPr>
                <w:rFonts w:ascii="Arial" w:cs="Arial" w:eastAsia="Arial" w:hAnsi="Arial"/>
                <w:sz w:val="14"/>
                <w:szCs w:val="14"/>
                <w:color w:val="auto"/>
              </w:rPr>
              <w:t>2,882</w:t>
            </w:r>
          </w:p>
        </w:tc>
      </w:tr>
      <w:tr>
        <w:trPr>
          <w:trHeight w:val="22"/>
        </w:trPr>
        <w:tc>
          <w:tcPr>
            <w:tcW w:w="7440" w:type="dxa"/>
            <w:vAlign w:val="bottom"/>
          </w:tcPr>
          <w:p>
            <w:pPr>
              <w:spacing w:after="0" w:line="20" w:lineRule="exact"/>
              <w:rPr>
                <w:sz w:val="1"/>
                <w:szCs w:val="1"/>
                <w:color w:val="auto"/>
              </w:rPr>
            </w:pPr>
          </w:p>
        </w:tc>
        <w:tc>
          <w:tcPr>
            <w:tcW w:w="1700" w:type="dxa"/>
            <w:vAlign w:val="bottom"/>
            <w:tcBorders>
              <w:bottom w:val="single" w:sz="8" w:color="BCBEC0"/>
            </w:tcBorders>
          </w:tcPr>
          <w:p>
            <w:pPr>
              <w:spacing w:after="0" w:line="20" w:lineRule="exact"/>
              <w:rPr>
                <w:sz w:val="1"/>
                <w:szCs w:val="1"/>
                <w:color w:val="auto"/>
              </w:rPr>
            </w:pPr>
          </w:p>
        </w:tc>
        <w:tc>
          <w:tcPr>
            <w:tcW w:w="1620" w:type="dxa"/>
            <w:vAlign w:val="bottom"/>
            <w:tcBorders>
              <w:bottom w:val="single" w:sz="8" w:color="BCBEC0"/>
            </w:tcBorders>
          </w:tcPr>
          <w:p>
            <w:pPr>
              <w:spacing w:after="0" w:line="20" w:lineRule="exact"/>
              <w:rPr>
                <w:sz w:val="1"/>
                <w:szCs w:val="1"/>
                <w:color w:val="auto"/>
              </w:rPr>
            </w:pPr>
          </w:p>
        </w:tc>
      </w:tr>
      <w:tr>
        <w:trPr>
          <w:trHeight w:val="202"/>
        </w:trPr>
        <w:tc>
          <w:tcPr>
            <w:tcW w:w="7440" w:type="dxa"/>
            <w:vAlign w:val="bottom"/>
          </w:tcPr>
          <w:p>
            <w:pPr>
              <w:spacing w:after="0"/>
              <w:rPr>
                <w:sz w:val="17"/>
                <w:szCs w:val="17"/>
                <w:color w:val="auto"/>
              </w:rPr>
            </w:pPr>
          </w:p>
        </w:tc>
        <w:tc>
          <w:tcPr>
            <w:tcW w:w="1700" w:type="dxa"/>
            <w:vAlign w:val="bottom"/>
          </w:tcPr>
          <w:p>
            <w:pPr>
              <w:jc w:val="right"/>
              <w:ind w:right="289"/>
              <w:spacing w:after="0"/>
              <w:rPr>
                <w:sz w:val="20"/>
                <w:szCs w:val="20"/>
                <w:color w:val="auto"/>
              </w:rPr>
            </w:pPr>
            <w:r>
              <w:rPr>
                <w:rFonts w:ascii="Arial" w:cs="Arial" w:eastAsia="Arial" w:hAnsi="Arial"/>
                <w:sz w:val="14"/>
                <w:szCs w:val="14"/>
                <w:color w:val="auto"/>
              </w:rPr>
              <w:t>1/2/2025</w:t>
            </w:r>
          </w:p>
        </w:tc>
        <w:tc>
          <w:tcPr>
            <w:tcW w:w="1620" w:type="dxa"/>
            <w:vAlign w:val="bottom"/>
          </w:tcPr>
          <w:p>
            <w:pPr>
              <w:jc w:val="right"/>
              <w:spacing w:after="0"/>
              <w:rPr>
                <w:sz w:val="20"/>
                <w:szCs w:val="20"/>
                <w:color w:val="auto"/>
              </w:rPr>
            </w:pPr>
            <w:r>
              <w:rPr>
                <w:rFonts w:ascii="Arial" w:cs="Arial" w:eastAsia="Arial" w:hAnsi="Arial"/>
                <w:sz w:val="14"/>
                <w:szCs w:val="14"/>
                <w:color w:val="auto"/>
              </w:rPr>
              <w:t>3,396</w:t>
            </w:r>
          </w:p>
        </w:tc>
      </w:tr>
      <w:tr>
        <w:trPr>
          <w:trHeight w:val="22"/>
        </w:trPr>
        <w:tc>
          <w:tcPr>
            <w:tcW w:w="7440" w:type="dxa"/>
            <w:vAlign w:val="bottom"/>
            <w:tcBorders>
              <w:bottom w:val="single" w:sz="8" w:color="BCBEC0"/>
            </w:tcBorders>
          </w:tcPr>
          <w:p>
            <w:pPr>
              <w:spacing w:after="0" w:line="20" w:lineRule="exact"/>
              <w:rPr>
                <w:sz w:val="1"/>
                <w:szCs w:val="1"/>
                <w:color w:val="auto"/>
              </w:rPr>
            </w:pPr>
          </w:p>
        </w:tc>
        <w:tc>
          <w:tcPr>
            <w:tcW w:w="1700" w:type="dxa"/>
            <w:vAlign w:val="bottom"/>
            <w:tcBorders>
              <w:bottom w:val="single" w:sz="8" w:color="BCBEC0"/>
            </w:tcBorders>
          </w:tcPr>
          <w:p>
            <w:pPr>
              <w:spacing w:after="0" w:line="20" w:lineRule="exact"/>
              <w:rPr>
                <w:sz w:val="1"/>
                <w:szCs w:val="1"/>
                <w:color w:val="auto"/>
              </w:rPr>
            </w:pPr>
          </w:p>
        </w:tc>
        <w:tc>
          <w:tcPr>
            <w:tcW w:w="1620" w:type="dxa"/>
            <w:vAlign w:val="bottom"/>
            <w:tcBorders>
              <w:bottom w:val="single" w:sz="8" w:color="BCBEC0"/>
            </w:tcBorders>
          </w:tcPr>
          <w:p>
            <w:pPr>
              <w:spacing w:after="0" w:line="20" w:lineRule="exact"/>
              <w:rPr>
                <w:sz w:val="1"/>
                <w:szCs w:val="1"/>
                <w:color w:val="auto"/>
              </w:rPr>
            </w:pPr>
          </w:p>
        </w:tc>
      </w:tr>
      <w:tr>
        <w:trPr>
          <w:trHeight w:val="208"/>
        </w:trPr>
        <w:tc>
          <w:tcPr>
            <w:tcW w:w="7440" w:type="dxa"/>
            <w:vAlign w:val="bottom"/>
          </w:tcPr>
          <w:p>
            <w:pPr>
              <w:ind w:left="20"/>
              <w:spacing w:after="0"/>
              <w:rPr>
                <w:sz w:val="20"/>
                <w:szCs w:val="20"/>
                <w:color w:val="auto"/>
              </w:rPr>
            </w:pPr>
            <w:r>
              <w:rPr>
                <w:rFonts w:ascii="Arial" w:cs="Arial" w:eastAsia="Arial" w:hAnsi="Arial"/>
                <w:sz w:val="14"/>
                <w:szCs w:val="14"/>
                <w:b w:val="1"/>
                <w:bCs w:val="1"/>
                <w:color w:val="0C3471"/>
              </w:rPr>
              <w:t>Adrian C. Chiu</w:t>
            </w:r>
          </w:p>
        </w:tc>
        <w:tc>
          <w:tcPr>
            <w:tcW w:w="1700" w:type="dxa"/>
            <w:vAlign w:val="bottom"/>
          </w:tcPr>
          <w:p>
            <w:pPr>
              <w:jc w:val="right"/>
              <w:ind w:right="289"/>
              <w:spacing w:after="0"/>
              <w:rPr>
                <w:sz w:val="20"/>
                <w:szCs w:val="20"/>
                <w:color w:val="auto"/>
              </w:rPr>
            </w:pPr>
            <w:r>
              <w:rPr>
                <w:rFonts w:ascii="Arial" w:cs="Arial" w:eastAsia="Arial" w:hAnsi="Arial"/>
                <w:sz w:val="14"/>
                <w:szCs w:val="14"/>
                <w:color w:val="auto"/>
              </w:rPr>
              <w:t>1/3/2023</w:t>
            </w:r>
          </w:p>
        </w:tc>
        <w:tc>
          <w:tcPr>
            <w:tcW w:w="1620" w:type="dxa"/>
            <w:vAlign w:val="bottom"/>
          </w:tcPr>
          <w:p>
            <w:pPr>
              <w:jc w:val="right"/>
              <w:spacing w:after="0"/>
              <w:rPr>
                <w:sz w:val="20"/>
                <w:szCs w:val="20"/>
                <w:color w:val="auto"/>
              </w:rPr>
            </w:pPr>
            <w:r>
              <w:rPr>
                <w:rFonts w:ascii="Arial" w:cs="Arial" w:eastAsia="Arial" w:hAnsi="Arial"/>
                <w:sz w:val="14"/>
                <w:szCs w:val="14"/>
                <w:color w:val="auto"/>
              </w:rPr>
              <w:t>2,102</w:t>
            </w:r>
          </w:p>
        </w:tc>
      </w:tr>
      <w:tr>
        <w:trPr>
          <w:trHeight w:val="29"/>
        </w:trPr>
        <w:tc>
          <w:tcPr>
            <w:tcW w:w="7440" w:type="dxa"/>
            <w:vAlign w:val="bottom"/>
          </w:tcPr>
          <w:p>
            <w:pPr>
              <w:spacing w:after="0"/>
              <w:rPr>
                <w:sz w:val="2"/>
                <w:szCs w:val="2"/>
                <w:color w:val="auto"/>
              </w:rPr>
            </w:pPr>
          </w:p>
        </w:tc>
        <w:tc>
          <w:tcPr>
            <w:tcW w:w="1700" w:type="dxa"/>
            <w:vAlign w:val="bottom"/>
            <w:tcBorders>
              <w:bottom w:val="single" w:sz="8" w:color="BCBEC0"/>
            </w:tcBorders>
          </w:tcPr>
          <w:p>
            <w:pPr>
              <w:spacing w:after="0"/>
              <w:rPr>
                <w:sz w:val="2"/>
                <w:szCs w:val="2"/>
                <w:color w:val="auto"/>
              </w:rPr>
            </w:pPr>
          </w:p>
        </w:tc>
        <w:tc>
          <w:tcPr>
            <w:tcW w:w="1620" w:type="dxa"/>
            <w:vAlign w:val="bottom"/>
            <w:tcBorders>
              <w:bottom w:val="single" w:sz="8" w:color="BCBEC0"/>
            </w:tcBorders>
          </w:tcPr>
          <w:p>
            <w:pPr>
              <w:spacing w:after="0"/>
              <w:rPr>
                <w:sz w:val="2"/>
                <w:szCs w:val="2"/>
                <w:color w:val="auto"/>
              </w:rPr>
            </w:pPr>
          </w:p>
        </w:tc>
      </w:tr>
      <w:tr>
        <w:trPr>
          <w:trHeight w:val="201"/>
        </w:trPr>
        <w:tc>
          <w:tcPr>
            <w:tcW w:w="7440" w:type="dxa"/>
            <w:vAlign w:val="bottom"/>
          </w:tcPr>
          <w:p>
            <w:pPr>
              <w:spacing w:after="0"/>
              <w:rPr>
                <w:sz w:val="17"/>
                <w:szCs w:val="17"/>
                <w:color w:val="auto"/>
              </w:rPr>
            </w:pPr>
          </w:p>
        </w:tc>
        <w:tc>
          <w:tcPr>
            <w:tcW w:w="1700" w:type="dxa"/>
            <w:vAlign w:val="bottom"/>
          </w:tcPr>
          <w:p>
            <w:pPr>
              <w:jc w:val="right"/>
              <w:ind w:right="289"/>
              <w:spacing w:after="0"/>
              <w:rPr>
                <w:sz w:val="20"/>
                <w:szCs w:val="20"/>
                <w:color w:val="auto"/>
              </w:rPr>
            </w:pPr>
            <w:r>
              <w:rPr>
                <w:rFonts w:ascii="Arial" w:cs="Arial" w:eastAsia="Arial" w:hAnsi="Arial"/>
                <w:sz w:val="14"/>
                <w:szCs w:val="14"/>
                <w:color w:val="auto"/>
              </w:rPr>
              <w:t>1/2/2024</w:t>
            </w:r>
          </w:p>
        </w:tc>
        <w:tc>
          <w:tcPr>
            <w:tcW w:w="1620" w:type="dxa"/>
            <w:vAlign w:val="bottom"/>
          </w:tcPr>
          <w:p>
            <w:pPr>
              <w:jc w:val="right"/>
              <w:spacing w:after="0"/>
              <w:rPr>
                <w:sz w:val="20"/>
                <w:szCs w:val="20"/>
                <w:color w:val="auto"/>
              </w:rPr>
            </w:pPr>
            <w:r>
              <w:rPr>
                <w:rFonts w:ascii="Arial" w:cs="Arial" w:eastAsia="Arial" w:hAnsi="Arial"/>
                <w:sz w:val="14"/>
                <w:szCs w:val="14"/>
                <w:color w:val="auto"/>
              </w:rPr>
              <w:t>2,883</w:t>
            </w:r>
          </w:p>
        </w:tc>
      </w:tr>
      <w:tr>
        <w:trPr>
          <w:trHeight w:val="22"/>
        </w:trPr>
        <w:tc>
          <w:tcPr>
            <w:tcW w:w="7440" w:type="dxa"/>
            <w:vAlign w:val="bottom"/>
          </w:tcPr>
          <w:p>
            <w:pPr>
              <w:spacing w:after="0" w:line="20" w:lineRule="exact"/>
              <w:rPr>
                <w:sz w:val="1"/>
                <w:szCs w:val="1"/>
                <w:color w:val="auto"/>
              </w:rPr>
            </w:pPr>
          </w:p>
        </w:tc>
        <w:tc>
          <w:tcPr>
            <w:tcW w:w="1700" w:type="dxa"/>
            <w:vAlign w:val="bottom"/>
            <w:tcBorders>
              <w:bottom w:val="single" w:sz="8" w:color="BCBEC0"/>
            </w:tcBorders>
          </w:tcPr>
          <w:p>
            <w:pPr>
              <w:spacing w:after="0" w:line="20" w:lineRule="exact"/>
              <w:rPr>
                <w:sz w:val="1"/>
                <w:szCs w:val="1"/>
                <w:color w:val="auto"/>
              </w:rPr>
            </w:pPr>
          </w:p>
        </w:tc>
        <w:tc>
          <w:tcPr>
            <w:tcW w:w="1620" w:type="dxa"/>
            <w:vAlign w:val="bottom"/>
            <w:tcBorders>
              <w:bottom w:val="single" w:sz="8" w:color="BCBEC0"/>
            </w:tcBorders>
          </w:tcPr>
          <w:p>
            <w:pPr>
              <w:spacing w:after="0" w:line="20" w:lineRule="exact"/>
              <w:rPr>
                <w:sz w:val="1"/>
                <w:szCs w:val="1"/>
                <w:color w:val="auto"/>
              </w:rPr>
            </w:pPr>
          </w:p>
        </w:tc>
      </w:tr>
      <w:tr>
        <w:trPr>
          <w:trHeight w:val="202"/>
        </w:trPr>
        <w:tc>
          <w:tcPr>
            <w:tcW w:w="7440" w:type="dxa"/>
            <w:vAlign w:val="bottom"/>
          </w:tcPr>
          <w:p>
            <w:pPr>
              <w:spacing w:after="0"/>
              <w:rPr>
                <w:sz w:val="17"/>
                <w:szCs w:val="17"/>
                <w:color w:val="auto"/>
              </w:rPr>
            </w:pPr>
          </w:p>
        </w:tc>
        <w:tc>
          <w:tcPr>
            <w:tcW w:w="1700" w:type="dxa"/>
            <w:vAlign w:val="bottom"/>
          </w:tcPr>
          <w:p>
            <w:pPr>
              <w:jc w:val="right"/>
              <w:ind w:right="289"/>
              <w:spacing w:after="0"/>
              <w:rPr>
                <w:sz w:val="20"/>
                <w:szCs w:val="20"/>
                <w:color w:val="auto"/>
              </w:rPr>
            </w:pPr>
            <w:r>
              <w:rPr>
                <w:rFonts w:ascii="Arial" w:cs="Arial" w:eastAsia="Arial" w:hAnsi="Arial"/>
                <w:sz w:val="14"/>
                <w:szCs w:val="14"/>
                <w:color w:val="auto"/>
              </w:rPr>
              <w:t>1/2/2025</w:t>
            </w:r>
          </w:p>
        </w:tc>
        <w:tc>
          <w:tcPr>
            <w:tcW w:w="1620" w:type="dxa"/>
            <w:vAlign w:val="bottom"/>
          </w:tcPr>
          <w:p>
            <w:pPr>
              <w:jc w:val="right"/>
              <w:spacing w:after="0"/>
              <w:rPr>
                <w:sz w:val="20"/>
                <w:szCs w:val="20"/>
                <w:color w:val="auto"/>
              </w:rPr>
            </w:pPr>
            <w:r>
              <w:rPr>
                <w:rFonts w:ascii="Arial" w:cs="Arial" w:eastAsia="Arial" w:hAnsi="Arial"/>
                <w:sz w:val="14"/>
                <w:szCs w:val="14"/>
                <w:color w:val="auto"/>
              </w:rPr>
              <w:t>3,396</w:t>
            </w:r>
          </w:p>
        </w:tc>
      </w:tr>
      <w:tr>
        <w:trPr>
          <w:trHeight w:val="22"/>
        </w:trPr>
        <w:tc>
          <w:tcPr>
            <w:tcW w:w="7440" w:type="dxa"/>
            <w:vAlign w:val="bottom"/>
            <w:tcBorders>
              <w:bottom w:val="single" w:sz="8" w:color="0C3471"/>
            </w:tcBorders>
          </w:tcPr>
          <w:p>
            <w:pPr>
              <w:spacing w:after="0" w:line="20" w:lineRule="exact"/>
              <w:rPr>
                <w:sz w:val="1"/>
                <w:szCs w:val="1"/>
                <w:color w:val="auto"/>
              </w:rPr>
            </w:pPr>
          </w:p>
        </w:tc>
        <w:tc>
          <w:tcPr>
            <w:tcW w:w="1700" w:type="dxa"/>
            <w:vAlign w:val="bottom"/>
            <w:tcBorders>
              <w:bottom w:val="single" w:sz="8" w:color="0C3471"/>
            </w:tcBorders>
          </w:tcPr>
          <w:p>
            <w:pPr>
              <w:spacing w:after="0" w:line="20" w:lineRule="exact"/>
              <w:rPr>
                <w:sz w:val="1"/>
                <w:szCs w:val="1"/>
                <w:color w:val="auto"/>
              </w:rPr>
            </w:pPr>
          </w:p>
        </w:tc>
        <w:tc>
          <w:tcPr>
            <w:tcW w:w="1620" w:type="dxa"/>
            <w:vAlign w:val="bottom"/>
            <w:tcBorders>
              <w:bottom w:val="single" w:sz="8" w:color="0C3471"/>
            </w:tcBorders>
          </w:tcPr>
          <w:p>
            <w:pPr>
              <w:spacing w:after="0" w:line="20" w:lineRule="exact"/>
              <w:rPr>
                <w:sz w:val="1"/>
                <w:szCs w:val="1"/>
                <w:color w:val="auto"/>
              </w:rPr>
            </w:pPr>
          </w:p>
        </w:tc>
      </w:tr>
    </w:tbl>
    <w:p>
      <w:pPr>
        <w:spacing w:after="0" w:line="180" w:lineRule="exact"/>
        <w:rPr>
          <w:sz w:val="20"/>
          <w:szCs w:val="20"/>
          <w:color w:val="auto"/>
        </w:rPr>
      </w:pPr>
    </w:p>
    <w:p>
      <w:pPr>
        <w:ind w:left="192" w:hanging="192"/>
        <w:spacing w:after="0" w:line="231" w:lineRule="auto"/>
        <w:tabs>
          <w:tab w:leader="none" w:pos="206" w:val="left"/>
        </w:tabs>
        <w:numPr>
          <w:ilvl w:val="0"/>
          <w:numId w:val="108"/>
        </w:numPr>
        <w:rPr>
          <w:rFonts w:ascii="Arial" w:cs="Arial" w:eastAsia="Arial" w:hAnsi="Arial"/>
          <w:sz w:val="19"/>
          <w:szCs w:val="19"/>
          <w:color w:val="auto"/>
          <w:vertAlign w:val="superscript"/>
        </w:rPr>
      </w:pPr>
      <w:r>
        <w:rPr>
          <w:rFonts w:ascii="Arial" w:cs="Arial" w:eastAsia="Arial" w:hAnsi="Arial"/>
          <w:sz w:val="14"/>
          <w:szCs w:val="14"/>
          <w:color w:val="auto"/>
        </w:rPr>
        <w:t>The amounts in this column were calculated by multiplying the closing market price of our ordinary shares on the last trading day of our most recently completed fiscal year of $104.14 by the number of unvested restricted stock units.</w:t>
      </w:r>
    </w:p>
    <w:p>
      <w:pPr>
        <w:spacing w:after="0" w:line="52" w:lineRule="exact"/>
        <w:rPr>
          <w:rFonts w:ascii="Arial" w:cs="Arial" w:eastAsia="Arial" w:hAnsi="Arial"/>
          <w:sz w:val="19"/>
          <w:szCs w:val="19"/>
          <w:color w:val="auto"/>
          <w:vertAlign w:val="superscript"/>
        </w:rPr>
      </w:pPr>
    </w:p>
    <w:p>
      <w:pPr>
        <w:ind w:left="192" w:hanging="192"/>
        <w:spacing w:after="0"/>
        <w:tabs>
          <w:tab w:leader="none" w:pos="192" w:val="left"/>
        </w:tabs>
        <w:numPr>
          <w:ilvl w:val="0"/>
          <w:numId w:val="108"/>
        </w:numPr>
        <w:rPr>
          <w:rFonts w:ascii="Arial" w:cs="Arial" w:eastAsia="Arial" w:hAnsi="Arial"/>
          <w:sz w:val="19"/>
          <w:szCs w:val="19"/>
          <w:color w:val="auto"/>
          <w:vertAlign w:val="superscript"/>
        </w:rPr>
      </w:pPr>
      <w:r>
        <w:rPr>
          <w:rFonts w:ascii="Arial" w:cs="Arial" w:eastAsia="Arial" w:hAnsi="Arial"/>
          <w:sz w:val="14"/>
          <w:szCs w:val="14"/>
          <w:color w:val="auto"/>
        </w:rPr>
        <w:t>The number of performance share units shown in this column reflects the target performance level for the 2023-2025 and 2024-2026 performance share unit awards.</w:t>
      </w:r>
    </w:p>
    <w:p>
      <w:pPr>
        <w:spacing w:after="0" w:line="139" w:lineRule="exact"/>
        <w:rPr>
          <w:sz w:val="20"/>
          <w:szCs w:val="20"/>
          <w:color w:val="auto"/>
        </w:rPr>
      </w:pPr>
    </w:p>
    <w:tbl>
      <w:tblPr>
        <w:tblLayout w:type="fixed"/>
        <w:tblInd w:w="192" w:type="dxa"/>
        <w:tblCellMar>
          <w:top w:w="0" w:type="dxa"/>
          <w:left w:w="0" w:type="dxa"/>
          <w:bottom w:w="0" w:type="dxa"/>
          <w:right w:w="0" w:type="dxa"/>
        </w:tblCellMar>
      </w:tblPr>
      <w:tr>
        <w:trPr>
          <w:trHeight w:val="162"/>
        </w:trPr>
        <w:tc>
          <w:tcPr>
            <w:tcW w:w="724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Name</w:t>
            </w:r>
          </w:p>
        </w:tc>
        <w:tc>
          <w:tcPr>
            <w:tcW w:w="1720" w:type="dxa"/>
            <w:vAlign w:val="bottom"/>
            <w:vMerge w:val="restart"/>
          </w:tcPr>
          <w:p>
            <w:pPr>
              <w:jc w:val="right"/>
              <w:ind w:right="289"/>
              <w:spacing w:after="0"/>
              <w:rPr>
                <w:sz w:val="20"/>
                <w:szCs w:val="20"/>
                <w:color w:val="auto"/>
              </w:rPr>
            </w:pPr>
            <w:r>
              <w:rPr>
                <w:rFonts w:ascii="Arial" w:cs="Arial" w:eastAsia="Arial" w:hAnsi="Arial"/>
                <w:sz w:val="13"/>
                <w:szCs w:val="13"/>
                <w:b w:val="1"/>
                <w:bCs w:val="1"/>
                <w:color w:val="auto"/>
              </w:rPr>
              <w:t>Vesting Date</w:t>
            </w:r>
          </w:p>
        </w:tc>
        <w:tc>
          <w:tcPr>
            <w:tcW w:w="1800" w:type="dxa"/>
            <w:vAlign w:val="bottom"/>
          </w:tcPr>
          <w:p>
            <w:pPr>
              <w:jc w:val="right"/>
              <w:spacing w:after="0"/>
              <w:rPr>
                <w:sz w:val="20"/>
                <w:szCs w:val="20"/>
                <w:color w:val="auto"/>
              </w:rPr>
            </w:pPr>
            <w:r>
              <w:rPr>
                <w:rFonts w:ascii="Arial" w:cs="Arial" w:eastAsia="Arial" w:hAnsi="Arial"/>
                <w:sz w:val="13"/>
                <w:szCs w:val="13"/>
                <w:b w:val="1"/>
                <w:bCs w:val="1"/>
                <w:color w:val="auto"/>
              </w:rPr>
              <w:t>Number of Performance</w:t>
            </w:r>
          </w:p>
        </w:tc>
        <w:tc>
          <w:tcPr>
            <w:tcW w:w="0" w:type="dxa"/>
            <w:vAlign w:val="bottom"/>
          </w:tcPr>
          <w:p>
            <w:pPr>
              <w:spacing w:after="0"/>
              <w:rPr>
                <w:sz w:val="1"/>
                <w:szCs w:val="1"/>
                <w:color w:val="auto"/>
              </w:rPr>
            </w:pPr>
          </w:p>
        </w:tc>
      </w:tr>
      <w:tr>
        <w:trPr>
          <w:trHeight w:val="176"/>
        </w:trPr>
        <w:tc>
          <w:tcPr>
            <w:tcW w:w="7240" w:type="dxa"/>
            <w:vAlign w:val="bottom"/>
            <w:tcBorders>
              <w:bottom w:val="single" w:sz="8" w:color="0C3471"/>
            </w:tcBorders>
            <w:vMerge w:val="continue"/>
          </w:tcPr>
          <w:p>
            <w:pPr>
              <w:spacing w:after="0"/>
              <w:rPr>
                <w:sz w:val="15"/>
                <w:szCs w:val="15"/>
                <w:color w:val="auto"/>
              </w:rPr>
            </w:pPr>
          </w:p>
        </w:tc>
        <w:tc>
          <w:tcPr>
            <w:tcW w:w="1720" w:type="dxa"/>
            <w:vAlign w:val="bottom"/>
            <w:tcBorders>
              <w:bottom w:val="single" w:sz="8" w:color="0C3471"/>
            </w:tcBorders>
            <w:vMerge w:val="continue"/>
          </w:tcPr>
          <w:p>
            <w:pPr>
              <w:spacing w:after="0"/>
              <w:rPr>
                <w:sz w:val="15"/>
                <w:szCs w:val="15"/>
                <w:color w:val="auto"/>
              </w:rPr>
            </w:pPr>
          </w:p>
        </w:tc>
        <w:tc>
          <w:tcPr>
            <w:tcW w:w="1800" w:type="dxa"/>
            <w:vAlign w:val="bottom"/>
            <w:tcBorders>
              <w:bottom w:val="single" w:sz="8" w:color="0C3471"/>
            </w:tcBorders>
          </w:tcPr>
          <w:p>
            <w:pPr>
              <w:jc w:val="right"/>
              <w:spacing w:after="0"/>
              <w:rPr>
                <w:sz w:val="20"/>
                <w:szCs w:val="20"/>
                <w:color w:val="auto"/>
              </w:rPr>
            </w:pPr>
            <w:r>
              <w:rPr>
                <w:rFonts w:ascii="Arial" w:cs="Arial" w:eastAsia="Arial" w:hAnsi="Arial"/>
                <w:sz w:val="13"/>
                <w:szCs w:val="13"/>
                <w:b w:val="1"/>
                <w:bCs w:val="1"/>
                <w:color w:val="auto"/>
              </w:rPr>
              <w:t>Share Units</w:t>
            </w:r>
          </w:p>
        </w:tc>
        <w:tc>
          <w:tcPr>
            <w:tcW w:w="0" w:type="dxa"/>
            <w:vAlign w:val="bottom"/>
          </w:tcPr>
          <w:p>
            <w:pPr>
              <w:spacing w:after="0"/>
              <w:rPr>
                <w:sz w:val="1"/>
                <w:szCs w:val="1"/>
                <w:color w:val="auto"/>
              </w:rPr>
            </w:pPr>
          </w:p>
        </w:tc>
      </w:tr>
      <w:tr>
        <w:trPr>
          <w:trHeight w:val="220"/>
        </w:trPr>
        <w:tc>
          <w:tcPr>
            <w:tcW w:w="7240" w:type="dxa"/>
            <w:vAlign w:val="bottom"/>
          </w:tcPr>
          <w:p>
            <w:pPr>
              <w:ind w:left="20"/>
              <w:spacing w:after="0"/>
              <w:rPr>
                <w:sz w:val="20"/>
                <w:szCs w:val="20"/>
                <w:color w:val="auto"/>
              </w:rPr>
            </w:pPr>
            <w:r>
              <w:rPr>
                <w:rFonts w:ascii="Arial" w:cs="Arial" w:eastAsia="Arial" w:hAnsi="Arial"/>
                <w:sz w:val="14"/>
                <w:szCs w:val="14"/>
                <w:b w:val="1"/>
                <w:bCs w:val="1"/>
                <w:color w:val="0C3471"/>
              </w:rPr>
              <w:t>John L. Stauch</w:t>
            </w:r>
          </w:p>
        </w:tc>
        <w:tc>
          <w:tcPr>
            <w:tcW w:w="1720" w:type="dxa"/>
            <w:vAlign w:val="bottom"/>
            <w:tcBorders>
              <w:bottom w:val="single" w:sz="8" w:color="BCBEC0"/>
            </w:tcBorders>
          </w:tcPr>
          <w:p>
            <w:pPr>
              <w:jc w:val="right"/>
              <w:ind w:right="289"/>
              <w:spacing w:after="0"/>
              <w:rPr>
                <w:sz w:val="20"/>
                <w:szCs w:val="20"/>
                <w:color w:val="auto"/>
              </w:rPr>
            </w:pPr>
            <w:r>
              <w:rPr>
                <w:rFonts w:ascii="Arial" w:cs="Arial" w:eastAsia="Arial" w:hAnsi="Arial"/>
                <w:sz w:val="14"/>
                <w:szCs w:val="14"/>
                <w:color w:val="auto"/>
              </w:rPr>
              <w:t>12/31/2026</w:t>
            </w:r>
          </w:p>
        </w:tc>
        <w:tc>
          <w:tcPr>
            <w:tcW w:w="1800" w:type="dxa"/>
            <w:vAlign w:val="bottom"/>
            <w:tcBorders>
              <w:bottom w:val="single" w:sz="8" w:color="BCBEC0"/>
            </w:tcBorders>
          </w:tcPr>
          <w:p>
            <w:pPr>
              <w:jc w:val="right"/>
              <w:spacing w:after="0"/>
              <w:rPr>
                <w:sz w:val="20"/>
                <w:szCs w:val="20"/>
                <w:color w:val="auto"/>
              </w:rPr>
            </w:pPr>
            <w:r>
              <w:rPr>
                <w:rFonts w:ascii="Arial" w:cs="Arial" w:eastAsia="Arial" w:hAnsi="Arial"/>
                <w:sz w:val="14"/>
                <w:szCs w:val="14"/>
                <w:color w:val="auto"/>
              </w:rPr>
              <w:t>46,804</w:t>
            </w:r>
          </w:p>
        </w:tc>
        <w:tc>
          <w:tcPr>
            <w:tcW w:w="0" w:type="dxa"/>
            <w:vAlign w:val="bottom"/>
          </w:tcPr>
          <w:p>
            <w:pPr>
              <w:spacing w:after="0"/>
              <w:rPr>
                <w:sz w:val="1"/>
                <w:szCs w:val="1"/>
                <w:color w:val="auto"/>
              </w:rPr>
            </w:pPr>
          </w:p>
        </w:tc>
      </w:tr>
      <w:tr>
        <w:trPr>
          <w:trHeight w:val="208"/>
        </w:trPr>
        <w:tc>
          <w:tcPr>
            <w:tcW w:w="7240" w:type="dxa"/>
            <w:vAlign w:val="bottom"/>
          </w:tcPr>
          <w:p>
            <w:pPr>
              <w:spacing w:after="0"/>
              <w:rPr>
                <w:sz w:val="18"/>
                <w:szCs w:val="18"/>
                <w:color w:val="auto"/>
              </w:rPr>
            </w:pPr>
          </w:p>
        </w:tc>
        <w:tc>
          <w:tcPr>
            <w:tcW w:w="1720" w:type="dxa"/>
            <w:vAlign w:val="bottom"/>
          </w:tcPr>
          <w:p>
            <w:pPr>
              <w:jc w:val="right"/>
              <w:ind w:right="289"/>
              <w:spacing w:after="0"/>
              <w:rPr>
                <w:sz w:val="20"/>
                <w:szCs w:val="20"/>
                <w:color w:val="auto"/>
              </w:rPr>
            </w:pPr>
            <w:r>
              <w:rPr>
                <w:rFonts w:ascii="Arial" w:cs="Arial" w:eastAsia="Arial" w:hAnsi="Arial"/>
                <w:sz w:val="14"/>
                <w:szCs w:val="14"/>
                <w:color w:val="auto"/>
              </w:rPr>
              <w:t>12/31/2027</w:t>
            </w:r>
          </w:p>
        </w:tc>
        <w:tc>
          <w:tcPr>
            <w:tcW w:w="1800" w:type="dxa"/>
            <w:vAlign w:val="bottom"/>
          </w:tcPr>
          <w:p>
            <w:pPr>
              <w:jc w:val="right"/>
              <w:spacing w:after="0"/>
              <w:rPr>
                <w:sz w:val="20"/>
                <w:szCs w:val="20"/>
                <w:color w:val="auto"/>
              </w:rPr>
            </w:pPr>
            <w:r>
              <w:rPr>
                <w:rFonts w:ascii="Arial" w:cs="Arial" w:eastAsia="Arial" w:hAnsi="Arial"/>
                <w:sz w:val="14"/>
                <w:szCs w:val="14"/>
                <w:color w:val="auto"/>
              </w:rPr>
              <w:t>51,309</w:t>
            </w:r>
          </w:p>
        </w:tc>
        <w:tc>
          <w:tcPr>
            <w:tcW w:w="0" w:type="dxa"/>
            <w:vAlign w:val="bottom"/>
          </w:tcPr>
          <w:p>
            <w:pPr>
              <w:spacing w:after="0"/>
              <w:rPr>
                <w:sz w:val="1"/>
                <w:szCs w:val="1"/>
                <w:color w:val="auto"/>
              </w:rPr>
            </w:pPr>
          </w:p>
        </w:tc>
      </w:tr>
      <w:tr>
        <w:trPr>
          <w:trHeight w:val="22"/>
        </w:trPr>
        <w:tc>
          <w:tcPr>
            <w:tcW w:w="7240" w:type="dxa"/>
            <w:vAlign w:val="bottom"/>
            <w:tcBorders>
              <w:bottom w:val="single" w:sz="8" w:color="BCBEC0"/>
            </w:tcBorders>
          </w:tcPr>
          <w:p>
            <w:pPr>
              <w:spacing w:after="0" w:line="20" w:lineRule="exact"/>
              <w:rPr>
                <w:sz w:val="1"/>
                <w:szCs w:val="1"/>
                <w:color w:val="auto"/>
              </w:rPr>
            </w:pPr>
          </w:p>
        </w:tc>
        <w:tc>
          <w:tcPr>
            <w:tcW w:w="1720" w:type="dxa"/>
            <w:vAlign w:val="bottom"/>
            <w:tcBorders>
              <w:bottom w:val="single" w:sz="8" w:color="BCBEC0"/>
            </w:tcBorders>
          </w:tcPr>
          <w:p>
            <w:pPr>
              <w:spacing w:after="0" w:line="20" w:lineRule="exact"/>
              <w:rPr>
                <w:sz w:val="1"/>
                <w:szCs w:val="1"/>
                <w:color w:val="auto"/>
              </w:rPr>
            </w:pPr>
          </w:p>
        </w:tc>
        <w:tc>
          <w:tcPr>
            <w:tcW w:w="1800" w:type="dxa"/>
            <w:vAlign w:val="bottom"/>
            <w:tcBorders>
              <w:bottom w:val="single" w:sz="8" w:color="BCBEC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7240" w:type="dxa"/>
            <w:vAlign w:val="bottom"/>
          </w:tcPr>
          <w:p>
            <w:pPr>
              <w:ind w:left="20"/>
              <w:spacing w:after="0"/>
              <w:rPr>
                <w:sz w:val="20"/>
                <w:szCs w:val="20"/>
                <w:color w:val="auto"/>
              </w:rPr>
            </w:pPr>
            <w:r>
              <w:rPr>
                <w:rFonts w:ascii="Arial" w:cs="Arial" w:eastAsia="Arial" w:hAnsi="Arial"/>
                <w:sz w:val="14"/>
                <w:szCs w:val="14"/>
                <w:b w:val="1"/>
                <w:bCs w:val="1"/>
                <w:color w:val="0C3471"/>
              </w:rPr>
              <w:t>Robert P. Fishman</w:t>
            </w:r>
          </w:p>
        </w:tc>
        <w:tc>
          <w:tcPr>
            <w:tcW w:w="1720" w:type="dxa"/>
            <w:vAlign w:val="bottom"/>
            <w:tcBorders>
              <w:bottom w:val="single" w:sz="8" w:color="BCBEC0"/>
            </w:tcBorders>
          </w:tcPr>
          <w:p>
            <w:pPr>
              <w:jc w:val="right"/>
              <w:ind w:right="289"/>
              <w:spacing w:after="0"/>
              <w:rPr>
                <w:sz w:val="20"/>
                <w:szCs w:val="20"/>
                <w:color w:val="auto"/>
              </w:rPr>
            </w:pPr>
            <w:r>
              <w:rPr>
                <w:rFonts w:ascii="Arial" w:cs="Arial" w:eastAsia="Arial" w:hAnsi="Arial"/>
                <w:sz w:val="14"/>
                <w:szCs w:val="14"/>
                <w:color w:val="auto"/>
              </w:rPr>
              <w:t>12/31/2026</w:t>
            </w:r>
          </w:p>
        </w:tc>
        <w:tc>
          <w:tcPr>
            <w:tcW w:w="1800" w:type="dxa"/>
            <w:vAlign w:val="bottom"/>
            <w:tcBorders>
              <w:bottom w:val="single" w:sz="8" w:color="BCBEC0"/>
            </w:tcBorders>
          </w:tcPr>
          <w:p>
            <w:pPr>
              <w:jc w:val="right"/>
              <w:spacing w:after="0"/>
              <w:rPr>
                <w:sz w:val="20"/>
                <w:szCs w:val="20"/>
                <w:color w:val="auto"/>
              </w:rPr>
            </w:pPr>
            <w:r>
              <w:rPr>
                <w:rFonts w:ascii="Arial" w:cs="Arial" w:eastAsia="Arial" w:hAnsi="Arial"/>
                <w:sz w:val="14"/>
                <w:szCs w:val="14"/>
                <w:color w:val="auto"/>
              </w:rPr>
              <w:t>12,690</w:t>
            </w:r>
          </w:p>
        </w:tc>
        <w:tc>
          <w:tcPr>
            <w:tcW w:w="0" w:type="dxa"/>
            <w:vAlign w:val="bottom"/>
          </w:tcPr>
          <w:p>
            <w:pPr>
              <w:spacing w:after="0"/>
              <w:rPr>
                <w:sz w:val="1"/>
                <w:szCs w:val="1"/>
                <w:color w:val="auto"/>
              </w:rPr>
            </w:pPr>
          </w:p>
        </w:tc>
      </w:tr>
      <w:tr>
        <w:trPr>
          <w:trHeight w:val="208"/>
        </w:trPr>
        <w:tc>
          <w:tcPr>
            <w:tcW w:w="7240" w:type="dxa"/>
            <w:vAlign w:val="bottom"/>
          </w:tcPr>
          <w:p>
            <w:pPr>
              <w:spacing w:after="0"/>
              <w:rPr>
                <w:sz w:val="18"/>
                <w:szCs w:val="18"/>
                <w:color w:val="auto"/>
              </w:rPr>
            </w:pPr>
          </w:p>
        </w:tc>
        <w:tc>
          <w:tcPr>
            <w:tcW w:w="1720" w:type="dxa"/>
            <w:vAlign w:val="bottom"/>
          </w:tcPr>
          <w:p>
            <w:pPr>
              <w:jc w:val="right"/>
              <w:ind w:right="289"/>
              <w:spacing w:after="0"/>
              <w:rPr>
                <w:sz w:val="20"/>
                <w:szCs w:val="20"/>
                <w:color w:val="auto"/>
              </w:rPr>
            </w:pPr>
            <w:r>
              <w:rPr>
                <w:rFonts w:ascii="Arial" w:cs="Arial" w:eastAsia="Arial" w:hAnsi="Arial"/>
                <w:sz w:val="14"/>
                <w:szCs w:val="14"/>
                <w:color w:val="auto"/>
              </w:rPr>
              <w:t>12/31/2027</w:t>
            </w:r>
          </w:p>
        </w:tc>
        <w:tc>
          <w:tcPr>
            <w:tcW w:w="1800" w:type="dxa"/>
            <w:vAlign w:val="bottom"/>
          </w:tcPr>
          <w:p>
            <w:pPr>
              <w:jc w:val="right"/>
              <w:spacing w:after="0"/>
              <w:rPr>
                <w:sz w:val="20"/>
                <w:szCs w:val="20"/>
                <w:color w:val="auto"/>
              </w:rPr>
            </w:pPr>
            <w:r>
              <w:rPr>
                <w:rFonts w:ascii="Arial" w:cs="Arial" w:eastAsia="Arial" w:hAnsi="Arial"/>
                <w:sz w:val="14"/>
                <w:szCs w:val="14"/>
                <w:color w:val="auto"/>
              </w:rPr>
              <w:t>9,306</w:t>
            </w:r>
          </w:p>
        </w:tc>
        <w:tc>
          <w:tcPr>
            <w:tcW w:w="0" w:type="dxa"/>
            <w:vAlign w:val="bottom"/>
          </w:tcPr>
          <w:p>
            <w:pPr>
              <w:spacing w:after="0"/>
              <w:rPr>
                <w:sz w:val="1"/>
                <w:szCs w:val="1"/>
                <w:color w:val="auto"/>
              </w:rPr>
            </w:pPr>
          </w:p>
        </w:tc>
      </w:tr>
      <w:tr>
        <w:trPr>
          <w:trHeight w:val="22"/>
        </w:trPr>
        <w:tc>
          <w:tcPr>
            <w:tcW w:w="7240" w:type="dxa"/>
            <w:vAlign w:val="bottom"/>
            <w:tcBorders>
              <w:bottom w:val="single" w:sz="8" w:color="BCBEC0"/>
            </w:tcBorders>
          </w:tcPr>
          <w:p>
            <w:pPr>
              <w:spacing w:after="0" w:line="20" w:lineRule="exact"/>
              <w:rPr>
                <w:sz w:val="1"/>
                <w:szCs w:val="1"/>
                <w:color w:val="auto"/>
              </w:rPr>
            </w:pPr>
          </w:p>
        </w:tc>
        <w:tc>
          <w:tcPr>
            <w:tcW w:w="1720" w:type="dxa"/>
            <w:vAlign w:val="bottom"/>
            <w:tcBorders>
              <w:bottom w:val="single" w:sz="8" w:color="BCBEC0"/>
            </w:tcBorders>
          </w:tcPr>
          <w:p>
            <w:pPr>
              <w:spacing w:after="0" w:line="20" w:lineRule="exact"/>
              <w:rPr>
                <w:sz w:val="1"/>
                <w:szCs w:val="1"/>
                <w:color w:val="auto"/>
              </w:rPr>
            </w:pPr>
          </w:p>
        </w:tc>
        <w:tc>
          <w:tcPr>
            <w:tcW w:w="1800" w:type="dxa"/>
            <w:vAlign w:val="bottom"/>
            <w:tcBorders>
              <w:bottom w:val="single" w:sz="8" w:color="BCBEC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7"/>
        </w:trPr>
        <w:tc>
          <w:tcPr>
            <w:tcW w:w="7240" w:type="dxa"/>
            <w:vAlign w:val="bottom"/>
          </w:tcPr>
          <w:p>
            <w:pPr>
              <w:ind w:left="20"/>
              <w:spacing w:after="0"/>
              <w:rPr>
                <w:sz w:val="20"/>
                <w:szCs w:val="20"/>
                <w:color w:val="auto"/>
              </w:rPr>
            </w:pPr>
            <w:r>
              <w:rPr>
                <w:rFonts w:ascii="Arial" w:cs="Arial" w:eastAsia="Arial" w:hAnsi="Arial"/>
                <w:sz w:val="14"/>
                <w:szCs w:val="14"/>
                <w:b w:val="1"/>
                <w:bCs w:val="1"/>
                <w:color w:val="0C3471"/>
              </w:rPr>
              <w:t>Jerome O. Pedretti</w:t>
            </w:r>
          </w:p>
        </w:tc>
        <w:tc>
          <w:tcPr>
            <w:tcW w:w="1720" w:type="dxa"/>
            <w:vAlign w:val="bottom"/>
            <w:tcBorders>
              <w:bottom w:val="single" w:sz="8" w:color="BCBEC0"/>
            </w:tcBorders>
          </w:tcPr>
          <w:p>
            <w:pPr>
              <w:jc w:val="right"/>
              <w:ind w:right="289"/>
              <w:spacing w:after="0"/>
              <w:rPr>
                <w:sz w:val="20"/>
                <w:szCs w:val="20"/>
                <w:color w:val="auto"/>
              </w:rPr>
            </w:pPr>
            <w:r>
              <w:rPr>
                <w:rFonts w:ascii="Arial" w:cs="Arial" w:eastAsia="Arial" w:hAnsi="Arial"/>
                <w:sz w:val="14"/>
                <w:szCs w:val="14"/>
                <w:color w:val="auto"/>
              </w:rPr>
              <w:t>12/31/2026</w:t>
            </w:r>
          </w:p>
        </w:tc>
        <w:tc>
          <w:tcPr>
            <w:tcW w:w="1800" w:type="dxa"/>
            <w:vAlign w:val="bottom"/>
            <w:tcBorders>
              <w:bottom w:val="single" w:sz="8" w:color="BCBEC0"/>
            </w:tcBorders>
          </w:tcPr>
          <w:p>
            <w:pPr>
              <w:jc w:val="right"/>
              <w:spacing w:after="0"/>
              <w:rPr>
                <w:sz w:val="20"/>
                <w:szCs w:val="20"/>
                <w:color w:val="auto"/>
              </w:rPr>
            </w:pPr>
            <w:r>
              <w:rPr>
                <w:rFonts w:ascii="Arial" w:cs="Arial" w:eastAsia="Arial" w:hAnsi="Arial"/>
                <w:sz w:val="14"/>
                <w:szCs w:val="14"/>
                <w:color w:val="auto"/>
              </w:rPr>
              <w:t>10,441</w:t>
            </w:r>
          </w:p>
        </w:tc>
        <w:tc>
          <w:tcPr>
            <w:tcW w:w="0" w:type="dxa"/>
            <w:vAlign w:val="bottom"/>
          </w:tcPr>
          <w:p>
            <w:pPr>
              <w:spacing w:after="0"/>
              <w:rPr>
                <w:sz w:val="1"/>
                <w:szCs w:val="1"/>
                <w:color w:val="auto"/>
              </w:rPr>
            </w:pPr>
          </w:p>
        </w:tc>
      </w:tr>
      <w:tr>
        <w:trPr>
          <w:trHeight w:val="208"/>
        </w:trPr>
        <w:tc>
          <w:tcPr>
            <w:tcW w:w="7240" w:type="dxa"/>
            <w:vAlign w:val="bottom"/>
          </w:tcPr>
          <w:p>
            <w:pPr>
              <w:spacing w:after="0"/>
              <w:rPr>
                <w:sz w:val="18"/>
                <w:szCs w:val="18"/>
                <w:color w:val="auto"/>
              </w:rPr>
            </w:pPr>
          </w:p>
        </w:tc>
        <w:tc>
          <w:tcPr>
            <w:tcW w:w="1720" w:type="dxa"/>
            <w:vAlign w:val="bottom"/>
          </w:tcPr>
          <w:p>
            <w:pPr>
              <w:jc w:val="right"/>
              <w:ind w:right="289"/>
              <w:spacing w:after="0"/>
              <w:rPr>
                <w:sz w:val="20"/>
                <w:szCs w:val="20"/>
                <w:color w:val="auto"/>
              </w:rPr>
            </w:pPr>
            <w:r>
              <w:rPr>
                <w:rFonts w:ascii="Arial" w:cs="Arial" w:eastAsia="Arial" w:hAnsi="Arial"/>
                <w:sz w:val="14"/>
                <w:szCs w:val="14"/>
                <w:color w:val="auto"/>
              </w:rPr>
              <w:t>12/31/2027</w:t>
            </w:r>
          </w:p>
        </w:tc>
        <w:tc>
          <w:tcPr>
            <w:tcW w:w="1800" w:type="dxa"/>
            <w:vAlign w:val="bottom"/>
          </w:tcPr>
          <w:p>
            <w:pPr>
              <w:jc w:val="right"/>
              <w:spacing w:after="0"/>
              <w:rPr>
                <w:sz w:val="20"/>
                <w:szCs w:val="20"/>
                <w:color w:val="auto"/>
              </w:rPr>
            </w:pPr>
            <w:r>
              <w:rPr>
                <w:rFonts w:ascii="Arial" w:cs="Arial" w:eastAsia="Arial" w:hAnsi="Arial"/>
                <w:sz w:val="14"/>
                <w:szCs w:val="14"/>
                <w:color w:val="auto"/>
              </w:rPr>
              <w:t>7,545</w:t>
            </w:r>
          </w:p>
        </w:tc>
        <w:tc>
          <w:tcPr>
            <w:tcW w:w="0" w:type="dxa"/>
            <w:vAlign w:val="bottom"/>
          </w:tcPr>
          <w:p>
            <w:pPr>
              <w:spacing w:after="0"/>
              <w:rPr>
                <w:sz w:val="1"/>
                <w:szCs w:val="1"/>
                <w:color w:val="auto"/>
              </w:rPr>
            </w:pPr>
          </w:p>
        </w:tc>
      </w:tr>
      <w:tr>
        <w:trPr>
          <w:trHeight w:val="22"/>
        </w:trPr>
        <w:tc>
          <w:tcPr>
            <w:tcW w:w="7240" w:type="dxa"/>
            <w:vAlign w:val="bottom"/>
            <w:tcBorders>
              <w:bottom w:val="single" w:sz="8" w:color="BCBEC0"/>
            </w:tcBorders>
          </w:tcPr>
          <w:p>
            <w:pPr>
              <w:spacing w:after="0" w:line="20" w:lineRule="exact"/>
              <w:rPr>
                <w:sz w:val="1"/>
                <w:szCs w:val="1"/>
                <w:color w:val="auto"/>
              </w:rPr>
            </w:pPr>
          </w:p>
        </w:tc>
        <w:tc>
          <w:tcPr>
            <w:tcW w:w="1720" w:type="dxa"/>
            <w:vAlign w:val="bottom"/>
            <w:tcBorders>
              <w:bottom w:val="single" w:sz="8" w:color="BCBEC0"/>
            </w:tcBorders>
          </w:tcPr>
          <w:p>
            <w:pPr>
              <w:spacing w:after="0" w:line="20" w:lineRule="exact"/>
              <w:rPr>
                <w:sz w:val="1"/>
                <w:szCs w:val="1"/>
                <w:color w:val="auto"/>
              </w:rPr>
            </w:pPr>
          </w:p>
        </w:tc>
        <w:tc>
          <w:tcPr>
            <w:tcW w:w="1800" w:type="dxa"/>
            <w:vAlign w:val="bottom"/>
            <w:tcBorders>
              <w:bottom w:val="single" w:sz="8" w:color="BCBEC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7"/>
        </w:trPr>
        <w:tc>
          <w:tcPr>
            <w:tcW w:w="7240" w:type="dxa"/>
            <w:vAlign w:val="bottom"/>
          </w:tcPr>
          <w:p>
            <w:pPr>
              <w:ind w:left="20"/>
              <w:spacing w:after="0"/>
              <w:rPr>
                <w:sz w:val="20"/>
                <w:szCs w:val="20"/>
                <w:color w:val="auto"/>
              </w:rPr>
            </w:pPr>
            <w:r>
              <w:rPr>
                <w:rFonts w:ascii="Arial" w:cs="Arial" w:eastAsia="Arial" w:hAnsi="Arial"/>
                <w:sz w:val="14"/>
                <w:szCs w:val="14"/>
                <w:b w:val="1"/>
                <w:bCs w:val="1"/>
                <w:color w:val="0C3471"/>
              </w:rPr>
              <w:t>De'Mon L. Wiggins</w:t>
            </w:r>
          </w:p>
        </w:tc>
        <w:tc>
          <w:tcPr>
            <w:tcW w:w="1720" w:type="dxa"/>
            <w:vAlign w:val="bottom"/>
            <w:tcBorders>
              <w:bottom w:val="single" w:sz="8" w:color="BCBEC0"/>
            </w:tcBorders>
          </w:tcPr>
          <w:p>
            <w:pPr>
              <w:jc w:val="right"/>
              <w:ind w:right="289"/>
              <w:spacing w:after="0"/>
              <w:rPr>
                <w:sz w:val="20"/>
                <w:szCs w:val="20"/>
                <w:color w:val="auto"/>
              </w:rPr>
            </w:pPr>
            <w:r>
              <w:rPr>
                <w:rFonts w:ascii="Arial" w:cs="Arial" w:eastAsia="Arial" w:hAnsi="Arial"/>
                <w:sz w:val="14"/>
                <w:szCs w:val="14"/>
                <w:color w:val="auto"/>
              </w:rPr>
              <w:t>12/31/2026</w:t>
            </w:r>
          </w:p>
        </w:tc>
        <w:tc>
          <w:tcPr>
            <w:tcW w:w="1800" w:type="dxa"/>
            <w:vAlign w:val="bottom"/>
            <w:tcBorders>
              <w:bottom w:val="single" w:sz="8" w:color="BCBEC0"/>
            </w:tcBorders>
          </w:tcPr>
          <w:p>
            <w:pPr>
              <w:jc w:val="right"/>
              <w:spacing w:after="0"/>
              <w:rPr>
                <w:sz w:val="20"/>
                <w:szCs w:val="20"/>
                <w:color w:val="auto"/>
              </w:rPr>
            </w:pPr>
            <w:r>
              <w:rPr>
                <w:rFonts w:ascii="Arial" w:cs="Arial" w:eastAsia="Arial" w:hAnsi="Arial"/>
                <w:sz w:val="14"/>
                <w:szCs w:val="14"/>
                <w:color w:val="auto"/>
              </w:rPr>
              <w:t>8,641</w:t>
            </w:r>
          </w:p>
        </w:tc>
        <w:tc>
          <w:tcPr>
            <w:tcW w:w="0" w:type="dxa"/>
            <w:vAlign w:val="bottom"/>
          </w:tcPr>
          <w:p>
            <w:pPr>
              <w:spacing w:after="0"/>
              <w:rPr>
                <w:sz w:val="1"/>
                <w:szCs w:val="1"/>
                <w:color w:val="auto"/>
              </w:rPr>
            </w:pPr>
          </w:p>
        </w:tc>
      </w:tr>
      <w:tr>
        <w:trPr>
          <w:trHeight w:val="208"/>
        </w:trPr>
        <w:tc>
          <w:tcPr>
            <w:tcW w:w="7240" w:type="dxa"/>
            <w:vAlign w:val="bottom"/>
          </w:tcPr>
          <w:p>
            <w:pPr>
              <w:spacing w:after="0"/>
              <w:rPr>
                <w:sz w:val="18"/>
                <w:szCs w:val="18"/>
                <w:color w:val="auto"/>
              </w:rPr>
            </w:pPr>
          </w:p>
        </w:tc>
        <w:tc>
          <w:tcPr>
            <w:tcW w:w="1720" w:type="dxa"/>
            <w:vAlign w:val="bottom"/>
          </w:tcPr>
          <w:p>
            <w:pPr>
              <w:jc w:val="right"/>
              <w:ind w:right="289"/>
              <w:spacing w:after="0"/>
              <w:rPr>
                <w:sz w:val="20"/>
                <w:szCs w:val="20"/>
                <w:color w:val="auto"/>
              </w:rPr>
            </w:pPr>
            <w:r>
              <w:rPr>
                <w:rFonts w:ascii="Arial" w:cs="Arial" w:eastAsia="Arial" w:hAnsi="Arial"/>
                <w:sz w:val="14"/>
                <w:szCs w:val="14"/>
                <w:color w:val="auto"/>
              </w:rPr>
              <w:t>12/31/2027</w:t>
            </w:r>
          </w:p>
        </w:tc>
        <w:tc>
          <w:tcPr>
            <w:tcW w:w="1800" w:type="dxa"/>
            <w:vAlign w:val="bottom"/>
          </w:tcPr>
          <w:p>
            <w:pPr>
              <w:jc w:val="right"/>
              <w:spacing w:after="0"/>
              <w:rPr>
                <w:sz w:val="20"/>
                <w:szCs w:val="20"/>
                <w:color w:val="auto"/>
              </w:rPr>
            </w:pPr>
            <w:r>
              <w:rPr>
                <w:rFonts w:ascii="Arial" w:cs="Arial" w:eastAsia="Arial" w:hAnsi="Arial"/>
                <w:sz w:val="14"/>
                <w:szCs w:val="14"/>
                <w:color w:val="auto"/>
              </w:rPr>
              <w:t>6,791</w:t>
            </w:r>
          </w:p>
        </w:tc>
        <w:tc>
          <w:tcPr>
            <w:tcW w:w="0" w:type="dxa"/>
            <w:vAlign w:val="bottom"/>
          </w:tcPr>
          <w:p>
            <w:pPr>
              <w:spacing w:after="0"/>
              <w:rPr>
                <w:sz w:val="1"/>
                <w:szCs w:val="1"/>
                <w:color w:val="auto"/>
              </w:rPr>
            </w:pPr>
          </w:p>
        </w:tc>
      </w:tr>
      <w:tr>
        <w:trPr>
          <w:trHeight w:val="22"/>
        </w:trPr>
        <w:tc>
          <w:tcPr>
            <w:tcW w:w="7240" w:type="dxa"/>
            <w:vAlign w:val="bottom"/>
            <w:tcBorders>
              <w:bottom w:val="single" w:sz="8" w:color="BCBEC0"/>
            </w:tcBorders>
          </w:tcPr>
          <w:p>
            <w:pPr>
              <w:spacing w:after="0" w:line="20" w:lineRule="exact"/>
              <w:rPr>
                <w:sz w:val="1"/>
                <w:szCs w:val="1"/>
                <w:color w:val="auto"/>
              </w:rPr>
            </w:pPr>
          </w:p>
        </w:tc>
        <w:tc>
          <w:tcPr>
            <w:tcW w:w="1720" w:type="dxa"/>
            <w:vAlign w:val="bottom"/>
            <w:tcBorders>
              <w:bottom w:val="single" w:sz="8" w:color="BCBEC0"/>
            </w:tcBorders>
          </w:tcPr>
          <w:p>
            <w:pPr>
              <w:spacing w:after="0" w:line="20" w:lineRule="exact"/>
              <w:rPr>
                <w:sz w:val="1"/>
                <w:szCs w:val="1"/>
                <w:color w:val="auto"/>
              </w:rPr>
            </w:pPr>
          </w:p>
        </w:tc>
        <w:tc>
          <w:tcPr>
            <w:tcW w:w="1800" w:type="dxa"/>
            <w:vAlign w:val="bottom"/>
            <w:tcBorders>
              <w:bottom w:val="single" w:sz="8" w:color="BCBEC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7240" w:type="dxa"/>
            <w:vAlign w:val="bottom"/>
          </w:tcPr>
          <w:p>
            <w:pPr>
              <w:ind w:left="20"/>
              <w:spacing w:after="0"/>
              <w:rPr>
                <w:sz w:val="20"/>
                <w:szCs w:val="20"/>
                <w:color w:val="auto"/>
              </w:rPr>
            </w:pPr>
            <w:r>
              <w:rPr>
                <w:rFonts w:ascii="Arial" w:cs="Arial" w:eastAsia="Arial" w:hAnsi="Arial"/>
                <w:sz w:val="14"/>
                <w:szCs w:val="14"/>
                <w:b w:val="1"/>
                <w:bCs w:val="1"/>
                <w:color w:val="0C3471"/>
              </w:rPr>
              <w:t>Adrian C. Chiu</w:t>
            </w:r>
          </w:p>
        </w:tc>
        <w:tc>
          <w:tcPr>
            <w:tcW w:w="1720" w:type="dxa"/>
            <w:vAlign w:val="bottom"/>
            <w:tcBorders>
              <w:bottom w:val="single" w:sz="8" w:color="BCBEC0"/>
            </w:tcBorders>
          </w:tcPr>
          <w:p>
            <w:pPr>
              <w:jc w:val="right"/>
              <w:ind w:right="289"/>
              <w:spacing w:after="0"/>
              <w:rPr>
                <w:sz w:val="20"/>
                <w:szCs w:val="20"/>
                <w:color w:val="auto"/>
              </w:rPr>
            </w:pPr>
            <w:r>
              <w:rPr>
                <w:rFonts w:ascii="Arial" w:cs="Arial" w:eastAsia="Arial" w:hAnsi="Arial"/>
                <w:sz w:val="14"/>
                <w:szCs w:val="14"/>
                <w:color w:val="auto"/>
              </w:rPr>
              <w:t>12/31/2026</w:t>
            </w:r>
          </w:p>
        </w:tc>
        <w:tc>
          <w:tcPr>
            <w:tcW w:w="1800" w:type="dxa"/>
            <w:vAlign w:val="bottom"/>
            <w:tcBorders>
              <w:bottom w:val="single" w:sz="8" w:color="BCBEC0"/>
            </w:tcBorders>
          </w:tcPr>
          <w:p>
            <w:pPr>
              <w:jc w:val="right"/>
              <w:spacing w:after="0"/>
              <w:rPr>
                <w:sz w:val="20"/>
                <w:szCs w:val="20"/>
                <w:color w:val="auto"/>
              </w:rPr>
            </w:pPr>
            <w:r>
              <w:rPr>
                <w:rFonts w:ascii="Arial" w:cs="Arial" w:eastAsia="Arial" w:hAnsi="Arial"/>
                <w:sz w:val="14"/>
                <w:szCs w:val="14"/>
                <w:color w:val="auto"/>
              </w:rPr>
              <w:t>8,641</w:t>
            </w:r>
          </w:p>
        </w:tc>
        <w:tc>
          <w:tcPr>
            <w:tcW w:w="0" w:type="dxa"/>
            <w:vAlign w:val="bottom"/>
          </w:tcPr>
          <w:p>
            <w:pPr>
              <w:spacing w:after="0"/>
              <w:rPr>
                <w:sz w:val="1"/>
                <w:szCs w:val="1"/>
                <w:color w:val="auto"/>
              </w:rPr>
            </w:pPr>
          </w:p>
        </w:tc>
      </w:tr>
      <w:tr>
        <w:trPr>
          <w:trHeight w:val="208"/>
        </w:trPr>
        <w:tc>
          <w:tcPr>
            <w:tcW w:w="7240" w:type="dxa"/>
            <w:vAlign w:val="bottom"/>
          </w:tcPr>
          <w:p>
            <w:pPr>
              <w:spacing w:after="0"/>
              <w:rPr>
                <w:sz w:val="18"/>
                <w:szCs w:val="18"/>
                <w:color w:val="auto"/>
              </w:rPr>
            </w:pPr>
          </w:p>
        </w:tc>
        <w:tc>
          <w:tcPr>
            <w:tcW w:w="1720" w:type="dxa"/>
            <w:vAlign w:val="bottom"/>
          </w:tcPr>
          <w:p>
            <w:pPr>
              <w:jc w:val="right"/>
              <w:ind w:right="289"/>
              <w:spacing w:after="0"/>
              <w:rPr>
                <w:sz w:val="20"/>
                <w:szCs w:val="20"/>
                <w:color w:val="auto"/>
              </w:rPr>
            </w:pPr>
            <w:r>
              <w:rPr>
                <w:rFonts w:ascii="Arial" w:cs="Arial" w:eastAsia="Arial" w:hAnsi="Arial"/>
                <w:sz w:val="14"/>
                <w:szCs w:val="14"/>
                <w:color w:val="auto"/>
              </w:rPr>
              <w:t>12/31/2027</w:t>
            </w:r>
          </w:p>
        </w:tc>
        <w:tc>
          <w:tcPr>
            <w:tcW w:w="1800" w:type="dxa"/>
            <w:vAlign w:val="bottom"/>
          </w:tcPr>
          <w:p>
            <w:pPr>
              <w:jc w:val="right"/>
              <w:spacing w:after="0"/>
              <w:rPr>
                <w:sz w:val="20"/>
                <w:szCs w:val="20"/>
                <w:color w:val="auto"/>
              </w:rPr>
            </w:pPr>
            <w:r>
              <w:rPr>
                <w:rFonts w:ascii="Arial" w:cs="Arial" w:eastAsia="Arial" w:hAnsi="Arial"/>
                <w:sz w:val="14"/>
                <w:szCs w:val="14"/>
                <w:color w:val="auto"/>
              </w:rPr>
              <w:t>6,791</w:t>
            </w:r>
          </w:p>
        </w:tc>
        <w:tc>
          <w:tcPr>
            <w:tcW w:w="0" w:type="dxa"/>
            <w:vAlign w:val="bottom"/>
          </w:tcPr>
          <w:p>
            <w:pPr>
              <w:spacing w:after="0"/>
              <w:rPr>
                <w:sz w:val="1"/>
                <w:szCs w:val="1"/>
                <w:color w:val="auto"/>
              </w:rPr>
            </w:pPr>
          </w:p>
        </w:tc>
      </w:tr>
      <w:tr>
        <w:trPr>
          <w:trHeight w:val="22"/>
        </w:trPr>
        <w:tc>
          <w:tcPr>
            <w:tcW w:w="7240" w:type="dxa"/>
            <w:vAlign w:val="bottom"/>
            <w:tcBorders>
              <w:bottom w:val="single" w:sz="8" w:color="0C3471"/>
            </w:tcBorders>
          </w:tcPr>
          <w:p>
            <w:pPr>
              <w:spacing w:after="0" w:line="20" w:lineRule="exact"/>
              <w:rPr>
                <w:sz w:val="1"/>
                <w:szCs w:val="1"/>
                <w:color w:val="auto"/>
              </w:rPr>
            </w:pPr>
          </w:p>
        </w:tc>
        <w:tc>
          <w:tcPr>
            <w:tcW w:w="1720" w:type="dxa"/>
            <w:vAlign w:val="bottom"/>
            <w:tcBorders>
              <w:bottom w:val="single" w:sz="8" w:color="0C3471"/>
            </w:tcBorders>
          </w:tcPr>
          <w:p>
            <w:pPr>
              <w:spacing w:after="0" w:line="20" w:lineRule="exact"/>
              <w:rPr>
                <w:sz w:val="1"/>
                <w:szCs w:val="1"/>
                <w:color w:val="auto"/>
              </w:rPr>
            </w:pPr>
          </w:p>
        </w:tc>
        <w:tc>
          <w:tcPr>
            <w:tcW w:w="1800" w:type="dxa"/>
            <w:vAlign w:val="bottom"/>
            <w:tcBorders>
              <w:bottom w:val="single" w:sz="8" w:color="0C3471"/>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192" w:hanging="192"/>
        <w:spacing w:after="0" w:line="239" w:lineRule="auto"/>
        <w:tabs>
          <w:tab w:leader="none" w:pos="206" w:val="left"/>
        </w:tabs>
        <w:numPr>
          <w:ilvl w:val="0"/>
          <w:numId w:val="109"/>
        </w:numPr>
        <w:rPr>
          <w:rFonts w:ascii="Arial" w:cs="Arial" w:eastAsia="Arial" w:hAnsi="Arial"/>
          <w:sz w:val="19"/>
          <w:szCs w:val="19"/>
          <w:color w:val="auto"/>
          <w:vertAlign w:val="superscript"/>
        </w:rPr>
      </w:pPr>
      <w:r>
        <w:rPr>
          <w:rFonts w:ascii="Arial" w:cs="Arial" w:eastAsia="Arial" w:hAnsi="Arial"/>
          <w:sz w:val="14"/>
          <w:szCs w:val="14"/>
          <w:color w:val="auto"/>
        </w:rPr>
        <w:t>The amounts in this column were calculated by multiplying the closing market price of our ordinary shares on the last trading day of our most recently completed fiscal year of $104.14 by the number of unvested performance share units.</w:t>
      </w:r>
    </w:p>
    <w:p>
      <w:pPr>
        <w:spacing w:after="0" w:line="39" w:lineRule="exact"/>
        <w:rPr>
          <w:rFonts w:ascii="Arial" w:cs="Arial" w:eastAsia="Arial" w:hAnsi="Arial"/>
          <w:sz w:val="19"/>
          <w:szCs w:val="19"/>
          <w:color w:val="auto"/>
          <w:vertAlign w:val="superscript"/>
        </w:rPr>
      </w:pPr>
    </w:p>
    <w:p>
      <w:pPr>
        <w:ind w:left="212" w:hanging="212"/>
        <w:spacing w:after="0"/>
        <w:tabs>
          <w:tab w:leader="none" w:pos="212" w:val="left"/>
        </w:tabs>
        <w:numPr>
          <w:ilvl w:val="0"/>
          <w:numId w:val="109"/>
        </w:numPr>
        <w:rPr>
          <w:rFonts w:ascii="Arial" w:cs="Arial" w:eastAsia="Arial" w:hAnsi="Arial"/>
          <w:sz w:val="19"/>
          <w:szCs w:val="19"/>
          <w:color w:val="auto"/>
          <w:vertAlign w:val="superscript"/>
        </w:rPr>
      </w:pPr>
      <w:r>
        <w:rPr>
          <w:rFonts w:ascii="Arial" w:cs="Arial" w:eastAsia="Arial" w:hAnsi="Arial"/>
          <w:sz w:val="14"/>
          <w:szCs w:val="14"/>
          <w:color w:val="auto"/>
        </w:rPr>
        <w:t>One-third of these options will vest on each of the first, second, and third anniversaries of the grant date, January 3, 2023.</w:t>
      </w:r>
    </w:p>
    <w:p>
      <w:pPr>
        <w:spacing w:after="0" w:line="66" w:lineRule="exact"/>
        <w:rPr>
          <w:rFonts w:ascii="Arial" w:cs="Arial" w:eastAsia="Arial" w:hAnsi="Arial"/>
          <w:sz w:val="19"/>
          <w:szCs w:val="19"/>
          <w:color w:val="auto"/>
          <w:vertAlign w:val="superscript"/>
        </w:rPr>
      </w:pPr>
    </w:p>
    <w:p>
      <w:pPr>
        <w:ind w:left="212" w:hanging="212"/>
        <w:spacing w:after="0"/>
        <w:tabs>
          <w:tab w:leader="none" w:pos="212" w:val="left"/>
        </w:tabs>
        <w:numPr>
          <w:ilvl w:val="0"/>
          <w:numId w:val="109"/>
        </w:numPr>
        <w:rPr>
          <w:rFonts w:ascii="Arial" w:cs="Arial" w:eastAsia="Arial" w:hAnsi="Arial"/>
          <w:sz w:val="9"/>
          <w:szCs w:val="9"/>
          <w:color w:val="auto"/>
        </w:rPr>
      </w:pPr>
      <w:r>
        <w:rPr>
          <w:rFonts w:ascii="Arial" w:cs="Arial" w:eastAsia="Arial" w:hAnsi="Arial"/>
          <w:sz w:val="14"/>
          <w:szCs w:val="14"/>
          <w:color w:val="auto"/>
        </w:rPr>
        <w:t>One-third of these options will vest on each of the first, second, and third anniversaries of the grant date, January 2, 2024.</w:t>
      </w:r>
    </w:p>
    <w:p>
      <w:pPr>
        <w:spacing w:after="0" w:line="80" w:lineRule="exact"/>
        <w:rPr>
          <w:rFonts w:ascii="Arial" w:cs="Arial" w:eastAsia="Arial" w:hAnsi="Arial"/>
          <w:sz w:val="9"/>
          <w:szCs w:val="9"/>
          <w:color w:val="auto"/>
        </w:rPr>
      </w:pPr>
    </w:p>
    <w:p>
      <w:pPr>
        <w:ind w:left="212" w:hanging="212"/>
        <w:spacing w:after="0"/>
        <w:tabs>
          <w:tab w:leader="none" w:pos="212" w:val="left"/>
        </w:tabs>
        <w:numPr>
          <w:ilvl w:val="0"/>
          <w:numId w:val="109"/>
        </w:numPr>
        <w:rPr>
          <w:rFonts w:ascii="Arial" w:cs="Arial" w:eastAsia="Arial" w:hAnsi="Arial"/>
          <w:sz w:val="19"/>
          <w:szCs w:val="19"/>
          <w:color w:val="auto"/>
          <w:vertAlign w:val="superscript"/>
        </w:rPr>
      </w:pPr>
      <w:r>
        <w:rPr>
          <w:rFonts w:ascii="Arial" w:cs="Arial" w:eastAsia="Arial" w:hAnsi="Arial"/>
          <w:sz w:val="14"/>
          <w:szCs w:val="14"/>
          <w:color w:val="auto"/>
        </w:rPr>
        <w:t>One-third of these options will vest on each of the first, second, and third anniversaries of the grant date, January 2,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592" w:hanging="574"/>
        <w:spacing w:after="0"/>
        <w:tabs>
          <w:tab w:leader="none" w:pos="592" w:val="left"/>
        </w:tabs>
        <w:numPr>
          <w:ilvl w:val="0"/>
          <w:numId w:val="110"/>
        </w:numPr>
        <w:rPr>
          <w:rFonts w:ascii="Arial" w:cs="Arial" w:eastAsia="Arial" w:hAnsi="Arial"/>
          <w:sz w:val="16"/>
          <w:szCs w:val="16"/>
          <w:b w:val="1"/>
          <w:bCs w:val="1"/>
          <w:color w:val="auto"/>
        </w:rPr>
      </w:pPr>
      <w:r>
        <w:rPr>
          <w:rFonts w:ascii="Arial" w:cs="Arial" w:eastAsia="Arial" w:hAnsi="Arial"/>
          <w:sz w:val="16"/>
          <w:szCs w:val="16"/>
          <w:color w:val="auto"/>
        </w:rPr>
        <w:t xml:space="preserve">Pentair </w:t>
      </w:r>
      <w:r>
        <w:rPr>
          <w:rFonts w:ascii="Arial" w:cs="Arial" w:eastAsia="Arial" w:hAnsi="Arial"/>
          <w:sz w:val="16"/>
          <w:szCs w:val="16"/>
          <w:b w:val="1"/>
          <w:bCs w:val="1"/>
          <w:color w:val="0C3471"/>
        </w:rPr>
        <w:t>|</w:t>
      </w:r>
      <w:r>
        <w:rPr>
          <w:rFonts w:ascii="Arial" w:cs="Arial" w:eastAsia="Arial" w:hAnsi="Arial"/>
          <w:sz w:val="16"/>
          <w:szCs w:val="16"/>
          <w:color w:val="auto"/>
        </w:rPr>
        <w:t xml:space="preserve"> </w:t>
      </w:r>
      <w:r>
        <w:rPr>
          <w:rFonts w:ascii="Arial" w:cs="Arial" w:eastAsia="Arial" w:hAnsi="Arial"/>
          <w:sz w:val="16"/>
          <w:szCs w:val="16"/>
          <w:b w:val="1"/>
          <w:bCs w:val="1"/>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213995</wp:posOffset>
            </wp:positionV>
            <wp:extent cx="7157720" cy="425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79" w:right="339" w:bottom="1440" w:gutter="0" w:footer="0" w:header="0"/>
        </w:sectPr>
      </w:pPr>
    </w:p>
    <w:bookmarkStart w:id="62" w:name="page63"/>
    <w:bookmarkEnd w:id="62"/>
    <w:p>
      <w:pPr>
        <w:jc w:val="right"/>
        <w:ind w:right="2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5274310</wp:posOffset>
            </wp:positionH>
            <wp:positionV relativeFrom="page">
              <wp:posOffset>106045</wp:posOffset>
            </wp:positionV>
            <wp:extent cx="102870" cy="11176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clrChange>
                        <a:clrFrom>
                          <a:srgbClr val="FFFFFF"/>
                        </a:clrFrom>
                        <a:clrTo>
                          <a:srgbClr val="FFFFFF">
                            <a:alpha val="0"/>
                          </a:srgbClr>
                        </a:clrTo>
                      </a:clrChange>
                      <a:extLst>
                        <a:ext uri="{28A0092B-C50C-407E-A947-70E740481C1C}"/>
                      </a:extLst>
                    </a:blip>
                    <a:srcRect/>
                    <a:stretch>
                      <a:fillRect/>
                    </a:stretch>
                  </pic:blipFill>
                  <pic:spPr bwMode="auto">
                    <a:xfrm>
                      <a:off x="0" y="0"/>
                      <a:ext cx="102870" cy="111760"/>
                    </a:xfrm>
                    <a:prstGeom prst="rect">
                      <a:avLst/>
                    </a:prstGeom>
                    <a:noFill/>
                  </pic:spPr>
                </pic:pic>
              </a:graphicData>
            </a:graphic>
          </wp:anchor>
        </w:drawing>
        <w:t>Executive Compensation Tables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32"/>
          <w:szCs w:val="32"/>
          <w:color w:val="0C3471"/>
        </w:rPr>
        <w:t>2025 Option Exercises and Stock Vested Table</w:t>
      </w:r>
    </w:p>
    <w:p>
      <w:pPr>
        <w:spacing w:after="0" w:line="146" w:lineRule="exact"/>
        <w:rPr>
          <w:sz w:val="20"/>
          <w:szCs w:val="20"/>
          <w:color w:val="auto"/>
        </w:rPr>
      </w:pPr>
    </w:p>
    <w:p>
      <w:pPr>
        <w:ind w:right="100"/>
        <w:spacing w:after="0" w:line="304" w:lineRule="auto"/>
        <w:rPr>
          <w:sz w:val="20"/>
          <w:szCs w:val="20"/>
          <w:color w:val="auto"/>
        </w:rPr>
      </w:pPr>
      <w:r>
        <w:rPr>
          <w:rFonts w:ascii="Arial" w:cs="Arial" w:eastAsia="Arial" w:hAnsi="Arial"/>
          <w:sz w:val="16"/>
          <w:szCs w:val="16"/>
          <w:color w:val="auto"/>
        </w:rPr>
        <w:t>The following table shows a summary of the stock options exercised by the Named Executive Officers in 2025 and the performance share units or restricted stock units vested for the Named Executive Officers during 2025.</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000" w:type="dxa"/>
            <w:vAlign w:val="bottom"/>
          </w:tcPr>
          <w:p>
            <w:pPr>
              <w:spacing w:after="0"/>
              <w:rPr>
                <w:sz w:val="17"/>
                <w:szCs w:val="17"/>
                <w:color w:val="auto"/>
              </w:rPr>
            </w:pPr>
          </w:p>
        </w:tc>
        <w:tc>
          <w:tcPr>
            <w:tcW w:w="2760" w:type="dxa"/>
            <w:vAlign w:val="bottom"/>
            <w:tcBorders>
              <w:bottom w:val="single" w:sz="8" w:color="BCBEC0"/>
            </w:tcBorders>
            <w:gridSpan w:val="2"/>
          </w:tcPr>
          <w:p>
            <w:pPr>
              <w:jc w:val="right"/>
              <w:ind w:right="883"/>
              <w:spacing w:after="0"/>
              <w:rPr>
                <w:sz w:val="20"/>
                <w:szCs w:val="20"/>
                <w:color w:val="auto"/>
              </w:rPr>
            </w:pPr>
            <w:r>
              <w:rPr>
                <w:rFonts w:ascii="Arial" w:cs="Arial" w:eastAsia="Arial" w:hAnsi="Arial"/>
                <w:sz w:val="14"/>
                <w:szCs w:val="14"/>
                <w:b w:val="1"/>
                <w:bCs w:val="1"/>
                <w:color w:val="0C3471"/>
              </w:rPr>
              <w:t>Option Awards</w:t>
            </w:r>
          </w:p>
        </w:tc>
        <w:tc>
          <w:tcPr>
            <w:tcW w:w="2480" w:type="dxa"/>
            <w:vAlign w:val="bottom"/>
            <w:tcBorders>
              <w:bottom w:val="single" w:sz="8" w:color="BCBEC0"/>
            </w:tcBorders>
            <w:gridSpan w:val="3"/>
          </w:tcPr>
          <w:p>
            <w:pPr>
              <w:jc w:val="right"/>
              <w:ind w:right="783"/>
              <w:spacing w:after="0"/>
              <w:rPr>
                <w:sz w:val="20"/>
                <w:szCs w:val="20"/>
                <w:color w:val="auto"/>
              </w:rPr>
            </w:pPr>
            <w:r>
              <w:rPr>
                <w:rFonts w:ascii="Arial" w:cs="Arial" w:eastAsia="Arial" w:hAnsi="Arial"/>
                <w:sz w:val="14"/>
                <w:szCs w:val="14"/>
                <w:b w:val="1"/>
                <w:bCs w:val="1"/>
                <w:color w:val="0C3471"/>
              </w:rPr>
              <w:t>Stock Awards</w:t>
            </w:r>
          </w:p>
        </w:tc>
      </w:tr>
      <w:tr>
        <w:trPr>
          <w:trHeight w:val="193"/>
        </w:trPr>
        <w:tc>
          <w:tcPr>
            <w:tcW w:w="6000" w:type="dxa"/>
            <w:vAlign w:val="bottom"/>
          </w:tcPr>
          <w:p>
            <w:pPr>
              <w:spacing w:after="0"/>
              <w:rPr>
                <w:sz w:val="16"/>
                <w:szCs w:val="16"/>
                <w:color w:val="auto"/>
              </w:rPr>
            </w:pPr>
          </w:p>
        </w:tc>
        <w:tc>
          <w:tcPr>
            <w:tcW w:w="1520" w:type="dxa"/>
            <w:vAlign w:val="bottom"/>
          </w:tcPr>
          <w:p>
            <w:pPr>
              <w:jc w:val="right"/>
              <w:ind w:right="124"/>
              <w:spacing w:after="0"/>
              <w:rPr>
                <w:sz w:val="20"/>
                <w:szCs w:val="20"/>
                <w:color w:val="auto"/>
              </w:rPr>
            </w:pPr>
            <w:r>
              <w:rPr>
                <w:rFonts w:ascii="Arial" w:cs="Arial" w:eastAsia="Arial" w:hAnsi="Arial"/>
                <w:sz w:val="14"/>
                <w:szCs w:val="14"/>
                <w:b w:val="1"/>
                <w:bCs w:val="1"/>
                <w:color w:val="auto"/>
              </w:rPr>
              <w:t>Number of</w:t>
            </w:r>
          </w:p>
        </w:tc>
        <w:tc>
          <w:tcPr>
            <w:tcW w:w="1240" w:type="dxa"/>
            <w:vAlign w:val="bottom"/>
          </w:tcPr>
          <w:p>
            <w:pPr>
              <w:spacing w:after="0"/>
              <w:rPr>
                <w:sz w:val="16"/>
                <w:szCs w:val="16"/>
                <w:color w:val="auto"/>
              </w:rPr>
            </w:pPr>
          </w:p>
        </w:tc>
        <w:tc>
          <w:tcPr>
            <w:tcW w:w="1400" w:type="dxa"/>
            <w:vAlign w:val="bottom"/>
            <w:gridSpan w:val="2"/>
          </w:tcPr>
          <w:p>
            <w:pPr>
              <w:jc w:val="right"/>
              <w:ind w:right="121"/>
              <w:spacing w:after="0"/>
              <w:rPr>
                <w:sz w:val="20"/>
                <w:szCs w:val="20"/>
                <w:color w:val="auto"/>
              </w:rPr>
            </w:pPr>
            <w:r>
              <w:rPr>
                <w:rFonts w:ascii="Arial" w:cs="Arial" w:eastAsia="Arial" w:hAnsi="Arial"/>
                <w:sz w:val="14"/>
                <w:szCs w:val="14"/>
                <w:b w:val="1"/>
                <w:bCs w:val="1"/>
                <w:color w:val="auto"/>
              </w:rPr>
              <w:t>Number of</w:t>
            </w:r>
          </w:p>
        </w:tc>
        <w:tc>
          <w:tcPr>
            <w:tcW w:w="1080" w:type="dxa"/>
            <w:vAlign w:val="bottom"/>
          </w:tcPr>
          <w:p>
            <w:pPr>
              <w:spacing w:after="0"/>
              <w:rPr>
                <w:sz w:val="16"/>
                <w:szCs w:val="16"/>
                <w:color w:val="auto"/>
              </w:rPr>
            </w:pPr>
          </w:p>
        </w:tc>
      </w:tr>
      <w:tr>
        <w:trPr>
          <w:trHeight w:val="176"/>
        </w:trPr>
        <w:tc>
          <w:tcPr>
            <w:tcW w:w="6000" w:type="dxa"/>
            <w:vAlign w:val="bottom"/>
          </w:tcPr>
          <w:p>
            <w:pPr>
              <w:spacing w:after="0"/>
              <w:rPr>
                <w:sz w:val="15"/>
                <w:szCs w:val="15"/>
                <w:color w:val="auto"/>
              </w:rPr>
            </w:pPr>
          </w:p>
        </w:tc>
        <w:tc>
          <w:tcPr>
            <w:tcW w:w="1520" w:type="dxa"/>
            <w:vAlign w:val="bottom"/>
          </w:tcPr>
          <w:p>
            <w:pPr>
              <w:jc w:val="right"/>
              <w:ind w:right="124"/>
              <w:spacing w:after="0"/>
              <w:rPr>
                <w:sz w:val="20"/>
                <w:szCs w:val="20"/>
                <w:color w:val="auto"/>
              </w:rPr>
            </w:pPr>
            <w:r>
              <w:rPr>
                <w:rFonts w:ascii="Arial" w:cs="Arial" w:eastAsia="Arial" w:hAnsi="Arial"/>
                <w:sz w:val="14"/>
                <w:szCs w:val="14"/>
                <w:b w:val="1"/>
                <w:bCs w:val="1"/>
                <w:color w:val="auto"/>
              </w:rPr>
              <w:t>shares</w:t>
            </w:r>
          </w:p>
        </w:tc>
        <w:tc>
          <w:tcPr>
            <w:tcW w:w="1240" w:type="dxa"/>
            <w:vAlign w:val="bottom"/>
          </w:tcPr>
          <w:p>
            <w:pPr>
              <w:jc w:val="right"/>
              <w:ind w:right="123"/>
              <w:spacing w:after="0"/>
              <w:rPr>
                <w:sz w:val="20"/>
                <w:szCs w:val="20"/>
                <w:color w:val="auto"/>
              </w:rPr>
            </w:pPr>
            <w:r>
              <w:rPr>
                <w:rFonts w:ascii="Arial" w:cs="Arial" w:eastAsia="Arial" w:hAnsi="Arial"/>
                <w:sz w:val="14"/>
                <w:szCs w:val="14"/>
                <w:b w:val="1"/>
                <w:bCs w:val="1"/>
                <w:color w:val="auto"/>
              </w:rPr>
              <w:t>Value</w:t>
            </w:r>
          </w:p>
        </w:tc>
        <w:tc>
          <w:tcPr>
            <w:tcW w:w="1400" w:type="dxa"/>
            <w:vAlign w:val="bottom"/>
            <w:gridSpan w:val="2"/>
          </w:tcPr>
          <w:p>
            <w:pPr>
              <w:jc w:val="center"/>
              <w:ind w:left="444"/>
              <w:spacing w:after="0"/>
              <w:rPr>
                <w:sz w:val="20"/>
                <w:szCs w:val="20"/>
                <w:color w:val="auto"/>
              </w:rPr>
            </w:pPr>
            <w:r>
              <w:rPr>
                <w:rFonts w:ascii="Arial" w:cs="Arial" w:eastAsia="Arial" w:hAnsi="Arial"/>
                <w:sz w:val="14"/>
                <w:szCs w:val="14"/>
                <w:b w:val="1"/>
                <w:bCs w:val="1"/>
                <w:color w:val="auto"/>
              </w:rPr>
              <w:t>shares</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Value</w:t>
            </w:r>
          </w:p>
        </w:tc>
      </w:tr>
      <w:tr>
        <w:trPr>
          <w:trHeight w:val="162"/>
        </w:trPr>
        <w:tc>
          <w:tcPr>
            <w:tcW w:w="6000" w:type="dxa"/>
            <w:vAlign w:val="bottom"/>
          </w:tcPr>
          <w:p>
            <w:pPr>
              <w:spacing w:after="0"/>
              <w:rPr>
                <w:sz w:val="14"/>
                <w:szCs w:val="14"/>
                <w:color w:val="auto"/>
              </w:rPr>
            </w:pPr>
          </w:p>
        </w:tc>
        <w:tc>
          <w:tcPr>
            <w:tcW w:w="1520" w:type="dxa"/>
            <w:vAlign w:val="bottom"/>
          </w:tcPr>
          <w:p>
            <w:pPr>
              <w:jc w:val="right"/>
              <w:ind w:right="124"/>
              <w:spacing w:after="0"/>
              <w:rPr>
                <w:sz w:val="20"/>
                <w:szCs w:val="20"/>
                <w:color w:val="auto"/>
              </w:rPr>
            </w:pPr>
            <w:r>
              <w:rPr>
                <w:rFonts w:ascii="Arial" w:cs="Arial" w:eastAsia="Arial" w:hAnsi="Arial"/>
                <w:sz w:val="14"/>
                <w:szCs w:val="14"/>
                <w:b w:val="1"/>
                <w:bCs w:val="1"/>
                <w:color w:val="auto"/>
              </w:rPr>
              <w:t>acquired on</w:t>
            </w:r>
          </w:p>
        </w:tc>
        <w:tc>
          <w:tcPr>
            <w:tcW w:w="1240" w:type="dxa"/>
            <w:vAlign w:val="bottom"/>
          </w:tcPr>
          <w:p>
            <w:pPr>
              <w:jc w:val="right"/>
              <w:ind w:right="123"/>
              <w:spacing w:after="0"/>
              <w:rPr>
                <w:sz w:val="20"/>
                <w:szCs w:val="20"/>
                <w:color w:val="auto"/>
              </w:rPr>
            </w:pPr>
            <w:r>
              <w:rPr>
                <w:rFonts w:ascii="Arial" w:cs="Arial" w:eastAsia="Arial" w:hAnsi="Arial"/>
                <w:sz w:val="14"/>
                <w:szCs w:val="14"/>
                <w:b w:val="1"/>
                <w:bCs w:val="1"/>
                <w:color w:val="auto"/>
              </w:rPr>
              <w:t>realized on</w:t>
            </w:r>
          </w:p>
        </w:tc>
        <w:tc>
          <w:tcPr>
            <w:tcW w:w="1400" w:type="dxa"/>
            <w:vAlign w:val="bottom"/>
            <w:gridSpan w:val="2"/>
          </w:tcPr>
          <w:p>
            <w:pPr>
              <w:jc w:val="right"/>
              <w:ind w:right="121"/>
              <w:spacing w:after="0"/>
              <w:rPr>
                <w:sz w:val="20"/>
                <w:szCs w:val="20"/>
                <w:color w:val="auto"/>
              </w:rPr>
            </w:pPr>
            <w:r>
              <w:rPr>
                <w:rFonts w:ascii="Arial" w:cs="Arial" w:eastAsia="Arial" w:hAnsi="Arial"/>
                <w:sz w:val="14"/>
                <w:szCs w:val="14"/>
                <w:b w:val="1"/>
                <w:bCs w:val="1"/>
                <w:color w:val="auto"/>
              </w:rPr>
              <w:t>acquired on</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realized on</w:t>
            </w:r>
          </w:p>
        </w:tc>
      </w:tr>
      <w:tr>
        <w:trPr>
          <w:trHeight w:val="176"/>
        </w:trPr>
        <w:tc>
          <w:tcPr>
            <w:tcW w:w="6000" w:type="dxa"/>
            <w:vAlign w:val="bottom"/>
          </w:tcPr>
          <w:p>
            <w:pPr>
              <w:spacing w:after="0"/>
              <w:rPr>
                <w:sz w:val="15"/>
                <w:szCs w:val="15"/>
                <w:color w:val="auto"/>
              </w:rPr>
            </w:pPr>
          </w:p>
        </w:tc>
        <w:tc>
          <w:tcPr>
            <w:tcW w:w="1520" w:type="dxa"/>
            <w:vAlign w:val="bottom"/>
          </w:tcPr>
          <w:p>
            <w:pPr>
              <w:jc w:val="right"/>
              <w:ind w:right="124"/>
              <w:spacing w:after="0"/>
              <w:rPr>
                <w:sz w:val="20"/>
                <w:szCs w:val="20"/>
                <w:color w:val="auto"/>
              </w:rPr>
            </w:pPr>
            <w:r>
              <w:rPr>
                <w:rFonts w:ascii="Arial" w:cs="Arial" w:eastAsia="Arial" w:hAnsi="Arial"/>
                <w:sz w:val="14"/>
                <w:szCs w:val="14"/>
                <w:b w:val="1"/>
                <w:bCs w:val="1"/>
                <w:color w:val="auto"/>
              </w:rPr>
              <w:t>exercise</w:t>
            </w:r>
          </w:p>
        </w:tc>
        <w:tc>
          <w:tcPr>
            <w:tcW w:w="1240" w:type="dxa"/>
            <w:vAlign w:val="bottom"/>
          </w:tcPr>
          <w:p>
            <w:pPr>
              <w:jc w:val="right"/>
              <w:ind w:right="123"/>
              <w:spacing w:after="0"/>
              <w:rPr>
                <w:sz w:val="20"/>
                <w:szCs w:val="20"/>
                <w:color w:val="auto"/>
              </w:rPr>
            </w:pPr>
            <w:r>
              <w:rPr>
                <w:rFonts w:ascii="Arial" w:cs="Arial" w:eastAsia="Arial" w:hAnsi="Arial"/>
                <w:sz w:val="14"/>
                <w:szCs w:val="14"/>
                <w:b w:val="1"/>
                <w:bCs w:val="1"/>
                <w:color w:val="auto"/>
              </w:rPr>
              <w:t>exercise</w:t>
            </w:r>
          </w:p>
        </w:tc>
        <w:tc>
          <w:tcPr>
            <w:tcW w:w="1400" w:type="dxa"/>
            <w:vAlign w:val="bottom"/>
            <w:gridSpan w:val="2"/>
          </w:tcPr>
          <w:p>
            <w:pPr>
              <w:jc w:val="right"/>
              <w:ind w:right="161"/>
              <w:spacing w:after="0"/>
              <w:rPr>
                <w:sz w:val="20"/>
                <w:szCs w:val="20"/>
                <w:color w:val="auto"/>
              </w:rPr>
            </w:pPr>
            <w:r>
              <w:rPr>
                <w:rFonts w:ascii="Arial" w:cs="Arial" w:eastAsia="Arial" w:hAnsi="Arial"/>
                <w:sz w:val="14"/>
                <w:szCs w:val="14"/>
                <w:b w:val="1"/>
                <w:bCs w:val="1"/>
                <w:color w:val="auto"/>
              </w:rPr>
              <w:t>vesting</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vesting</w:t>
            </w:r>
          </w:p>
        </w:tc>
      </w:tr>
      <w:tr>
        <w:trPr>
          <w:trHeight w:val="205"/>
        </w:trPr>
        <w:tc>
          <w:tcPr>
            <w:tcW w:w="6000" w:type="dxa"/>
            <w:vAlign w:val="bottom"/>
            <w:tcBorders>
              <w:bottom w:val="single" w:sz="8" w:color="0C3471"/>
            </w:tcBorders>
          </w:tcPr>
          <w:p>
            <w:pPr>
              <w:ind w:left="20"/>
              <w:spacing w:after="0"/>
              <w:rPr>
                <w:sz w:val="20"/>
                <w:szCs w:val="20"/>
                <w:color w:val="auto"/>
              </w:rPr>
            </w:pPr>
            <w:r>
              <w:rPr>
                <w:rFonts w:ascii="Arial" w:cs="Arial" w:eastAsia="Arial" w:hAnsi="Arial"/>
                <w:sz w:val="14"/>
                <w:szCs w:val="14"/>
                <w:b w:val="1"/>
                <w:bCs w:val="1"/>
                <w:color w:val="auto"/>
              </w:rPr>
              <w:t>Name</w:t>
            </w:r>
          </w:p>
        </w:tc>
        <w:tc>
          <w:tcPr>
            <w:tcW w:w="1520" w:type="dxa"/>
            <w:vAlign w:val="bottom"/>
            <w:tcBorders>
              <w:bottom w:val="single" w:sz="8" w:color="0C3471"/>
            </w:tcBorders>
          </w:tcPr>
          <w:p>
            <w:pPr>
              <w:jc w:val="right"/>
              <w:ind w:right="124"/>
              <w:spacing w:after="0"/>
              <w:rPr>
                <w:sz w:val="20"/>
                <w:szCs w:val="20"/>
                <w:color w:val="auto"/>
              </w:rPr>
            </w:pPr>
            <w:r>
              <w:rPr>
                <w:rFonts w:ascii="Arial" w:cs="Arial" w:eastAsia="Arial" w:hAnsi="Arial"/>
                <w:sz w:val="14"/>
                <w:szCs w:val="14"/>
                <w:b w:val="1"/>
                <w:bCs w:val="1"/>
                <w:color w:val="auto"/>
              </w:rPr>
              <w:t>(#)</w:t>
            </w:r>
          </w:p>
        </w:tc>
        <w:tc>
          <w:tcPr>
            <w:tcW w:w="1240" w:type="dxa"/>
            <w:vAlign w:val="bottom"/>
            <w:tcBorders>
              <w:bottom w:val="single" w:sz="8" w:color="0C3471"/>
            </w:tcBorders>
          </w:tcPr>
          <w:p>
            <w:pPr>
              <w:jc w:val="right"/>
              <w:ind w:right="123"/>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9"/>
                <w:szCs w:val="9"/>
                <w:b w:val="1"/>
                <w:bCs w:val="1"/>
                <w:color w:val="auto"/>
              </w:rPr>
              <w:t>(1)</w:t>
            </w:r>
          </w:p>
        </w:tc>
        <w:tc>
          <w:tcPr>
            <w:tcW w:w="840" w:type="dxa"/>
            <w:vAlign w:val="bottom"/>
            <w:tcBorders>
              <w:bottom w:val="single" w:sz="8" w:color="0C3471"/>
            </w:tcBorders>
          </w:tcPr>
          <w:p>
            <w:pPr>
              <w:spacing w:after="0"/>
              <w:rPr>
                <w:sz w:val="17"/>
                <w:szCs w:val="17"/>
                <w:color w:val="auto"/>
              </w:rPr>
            </w:pPr>
          </w:p>
        </w:tc>
        <w:tc>
          <w:tcPr>
            <w:tcW w:w="560" w:type="dxa"/>
            <w:vAlign w:val="bottom"/>
            <w:tcBorders>
              <w:bottom w:val="single" w:sz="8" w:color="0C3471"/>
            </w:tcBorders>
          </w:tcPr>
          <w:p>
            <w:pPr>
              <w:jc w:val="right"/>
              <w:ind w:right="121"/>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0C3471"/>
            </w:tcBorders>
          </w:tcPr>
          <w:p>
            <w:pPr>
              <w:jc w:val="right"/>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9"/>
                <w:szCs w:val="9"/>
                <w:b w:val="1"/>
                <w:bCs w:val="1"/>
                <w:color w:val="auto"/>
              </w:rPr>
              <w:t>(2)</w:t>
            </w:r>
          </w:p>
        </w:tc>
      </w:tr>
      <w:tr>
        <w:trPr>
          <w:trHeight w:val="266"/>
        </w:trPr>
        <w:tc>
          <w:tcPr>
            <w:tcW w:w="6000" w:type="dxa"/>
            <w:vAlign w:val="bottom"/>
            <w:tcBorders>
              <w:bottom w:val="single" w:sz="8" w:color="BCBEC0"/>
            </w:tcBorders>
          </w:tcPr>
          <w:p>
            <w:pPr>
              <w:ind w:left="20"/>
              <w:spacing w:after="0"/>
              <w:rPr>
                <w:sz w:val="20"/>
                <w:szCs w:val="20"/>
                <w:color w:val="auto"/>
              </w:rPr>
            </w:pPr>
            <w:r>
              <w:rPr>
                <w:rFonts w:ascii="Arial" w:cs="Arial" w:eastAsia="Arial" w:hAnsi="Arial"/>
                <w:sz w:val="16"/>
                <w:szCs w:val="16"/>
                <w:b w:val="1"/>
                <w:bCs w:val="1"/>
                <w:color w:val="0C3471"/>
              </w:rPr>
              <w:t>John L. Stauch</w:t>
            </w:r>
          </w:p>
        </w:tc>
        <w:tc>
          <w:tcPr>
            <w:tcW w:w="1520" w:type="dxa"/>
            <w:vAlign w:val="bottom"/>
            <w:tcBorders>
              <w:bottom w:val="single" w:sz="8" w:color="BCBEC0"/>
            </w:tcBorders>
          </w:tcPr>
          <w:p>
            <w:pPr>
              <w:jc w:val="right"/>
              <w:ind w:right="184"/>
              <w:spacing w:after="0"/>
              <w:rPr>
                <w:sz w:val="20"/>
                <w:szCs w:val="20"/>
                <w:color w:val="auto"/>
              </w:rPr>
            </w:pPr>
            <w:r>
              <w:rPr>
                <w:rFonts w:ascii="Arial" w:cs="Arial" w:eastAsia="Arial" w:hAnsi="Arial"/>
                <w:sz w:val="16"/>
                <w:szCs w:val="16"/>
                <w:color w:val="auto"/>
              </w:rPr>
              <w:t>235,620</w:t>
            </w:r>
          </w:p>
        </w:tc>
        <w:tc>
          <w:tcPr>
            <w:tcW w:w="1240" w:type="dxa"/>
            <w:vAlign w:val="bottom"/>
            <w:tcBorders>
              <w:bottom w:val="single" w:sz="8" w:color="BCBEC0"/>
            </w:tcBorders>
          </w:tcPr>
          <w:p>
            <w:pPr>
              <w:jc w:val="right"/>
              <w:ind w:right="183"/>
              <w:spacing w:after="0"/>
              <w:rPr>
                <w:sz w:val="20"/>
                <w:szCs w:val="20"/>
                <w:color w:val="auto"/>
              </w:rPr>
            </w:pPr>
            <w:r>
              <w:rPr>
                <w:rFonts w:ascii="Arial" w:cs="Arial" w:eastAsia="Arial" w:hAnsi="Arial"/>
                <w:sz w:val="16"/>
                <w:szCs w:val="16"/>
                <w:color w:val="auto"/>
              </w:rPr>
              <w:t>11,435,067</w:t>
            </w:r>
          </w:p>
        </w:tc>
        <w:tc>
          <w:tcPr>
            <w:tcW w:w="840" w:type="dxa"/>
            <w:vAlign w:val="bottom"/>
            <w:tcBorders>
              <w:bottom w:val="single" w:sz="8" w:color="BCBEC0"/>
            </w:tcBorders>
          </w:tcPr>
          <w:p>
            <w:pPr>
              <w:jc w:val="right"/>
              <w:spacing w:after="0"/>
              <w:rPr>
                <w:sz w:val="20"/>
                <w:szCs w:val="20"/>
                <w:color w:val="auto"/>
              </w:rPr>
            </w:pPr>
            <w:r>
              <w:rPr>
                <w:rFonts w:ascii="Arial" w:cs="Arial" w:eastAsia="Arial" w:hAnsi="Arial"/>
                <w:sz w:val="16"/>
                <w:szCs w:val="16"/>
                <w:color w:val="auto"/>
              </w:rPr>
              <w:t>128,071</w:t>
            </w:r>
          </w:p>
        </w:tc>
        <w:tc>
          <w:tcPr>
            <w:tcW w:w="560" w:type="dxa"/>
            <w:vAlign w:val="bottom"/>
            <w:tcBorders>
              <w:bottom w:val="single" w:sz="8" w:color="BCBEC0"/>
            </w:tcBorders>
          </w:tcPr>
          <w:p>
            <w:pPr>
              <w:jc w:val="center"/>
              <w:ind w:right="201"/>
              <w:spacing w:after="0"/>
              <w:rPr>
                <w:sz w:val="20"/>
                <w:szCs w:val="20"/>
                <w:color w:val="auto"/>
              </w:rPr>
            </w:pPr>
            <w:r>
              <w:rPr>
                <w:rFonts w:ascii="Arial" w:cs="Arial" w:eastAsia="Arial" w:hAnsi="Arial"/>
                <w:sz w:val="16"/>
                <w:szCs w:val="16"/>
                <w:color w:val="auto"/>
              </w:rPr>
              <w:t>(3)</w:t>
            </w:r>
          </w:p>
        </w:tc>
        <w:tc>
          <w:tcPr>
            <w:tcW w:w="1080" w:type="dxa"/>
            <w:vAlign w:val="bottom"/>
            <w:tcBorders>
              <w:bottom w:val="single" w:sz="8" w:color="BCBEC0"/>
            </w:tcBorders>
          </w:tcPr>
          <w:p>
            <w:pPr>
              <w:jc w:val="right"/>
              <w:ind w:right="3"/>
              <w:spacing w:after="0"/>
              <w:rPr>
                <w:sz w:val="20"/>
                <w:szCs w:val="20"/>
                <w:color w:val="auto"/>
              </w:rPr>
            </w:pPr>
            <w:r>
              <w:rPr>
                <w:rFonts w:ascii="Arial" w:cs="Arial" w:eastAsia="Arial" w:hAnsi="Arial"/>
                <w:sz w:val="16"/>
                <w:szCs w:val="16"/>
                <w:color w:val="auto"/>
              </w:rPr>
              <w:t>13,249,693</w:t>
            </w:r>
          </w:p>
        </w:tc>
      </w:tr>
      <w:tr>
        <w:trPr>
          <w:trHeight w:val="263"/>
        </w:trPr>
        <w:tc>
          <w:tcPr>
            <w:tcW w:w="6000" w:type="dxa"/>
            <w:vAlign w:val="bottom"/>
            <w:tcBorders>
              <w:bottom w:val="single" w:sz="8" w:color="BCBEC0"/>
            </w:tcBorders>
          </w:tcPr>
          <w:p>
            <w:pPr>
              <w:ind w:left="20"/>
              <w:spacing w:after="0"/>
              <w:rPr>
                <w:sz w:val="20"/>
                <w:szCs w:val="20"/>
                <w:color w:val="auto"/>
              </w:rPr>
            </w:pPr>
            <w:r>
              <w:rPr>
                <w:rFonts w:ascii="Arial" w:cs="Arial" w:eastAsia="Arial" w:hAnsi="Arial"/>
                <w:sz w:val="16"/>
                <w:szCs w:val="16"/>
                <w:b w:val="1"/>
                <w:bCs w:val="1"/>
                <w:color w:val="0C3471"/>
              </w:rPr>
              <w:t>Robert P. Fishman</w:t>
            </w:r>
          </w:p>
        </w:tc>
        <w:tc>
          <w:tcPr>
            <w:tcW w:w="1520" w:type="dxa"/>
            <w:vAlign w:val="bottom"/>
            <w:tcBorders>
              <w:bottom w:val="single" w:sz="8" w:color="BCBEC0"/>
            </w:tcBorders>
          </w:tcPr>
          <w:p>
            <w:pPr>
              <w:jc w:val="right"/>
              <w:ind w:right="184"/>
              <w:spacing w:after="0"/>
              <w:rPr>
                <w:sz w:val="20"/>
                <w:szCs w:val="20"/>
                <w:color w:val="auto"/>
              </w:rPr>
            </w:pPr>
            <w:r>
              <w:rPr>
                <w:rFonts w:ascii="Arial" w:cs="Arial" w:eastAsia="Arial" w:hAnsi="Arial"/>
                <w:sz w:val="16"/>
                <w:szCs w:val="16"/>
                <w:color w:val="auto"/>
              </w:rPr>
              <w:t>15,014</w:t>
            </w:r>
          </w:p>
        </w:tc>
        <w:tc>
          <w:tcPr>
            <w:tcW w:w="1240" w:type="dxa"/>
            <w:vAlign w:val="bottom"/>
            <w:tcBorders>
              <w:bottom w:val="single" w:sz="8" w:color="BCBEC0"/>
            </w:tcBorders>
          </w:tcPr>
          <w:p>
            <w:pPr>
              <w:jc w:val="right"/>
              <w:ind w:right="183"/>
              <w:spacing w:after="0"/>
              <w:rPr>
                <w:sz w:val="20"/>
                <w:szCs w:val="20"/>
                <w:color w:val="auto"/>
              </w:rPr>
            </w:pPr>
            <w:r>
              <w:rPr>
                <w:rFonts w:ascii="Arial" w:cs="Arial" w:eastAsia="Arial" w:hAnsi="Arial"/>
                <w:sz w:val="16"/>
                <w:szCs w:val="16"/>
                <w:color w:val="auto"/>
              </w:rPr>
              <w:t>732,740</w:t>
            </w:r>
          </w:p>
        </w:tc>
        <w:tc>
          <w:tcPr>
            <w:tcW w:w="840" w:type="dxa"/>
            <w:vAlign w:val="bottom"/>
            <w:tcBorders>
              <w:bottom w:val="single" w:sz="8" w:color="BCBEC0"/>
            </w:tcBorders>
          </w:tcPr>
          <w:p>
            <w:pPr>
              <w:jc w:val="right"/>
              <w:spacing w:after="0"/>
              <w:rPr>
                <w:sz w:val="20"/>
                <w:szCs w:val="20"/>
                <w:color w:val="auto"/>
              </w:rPr>
            </w:pPr>
            <w:r>
              <w:rPr>
                <w:rFonts w:ascii="Arial" w:cs="Arial" w:eastAsia="Arial" w:hAnsi="Arial"/>
                <w:sz w:val="16"/>
                <w:szCs w:val="16"/>
                <w:color w:val="auto"/>
              </w:rPr>
              <w:t>36,145</w:t>
            </w:r>
          </w:p>
        </w:tc>
        <w:tc>
          <w:tcPr>
            <w:tcW w:w="560" w:type="dxa"/>
            <w:vAlign w:val="bottom"/>
            <w:tcBorders>
              <w:bottom w:val="single" w:sz="8" w:color="BCBEC0"/>
            </w:tcBorders>
          </w:tcPr>
          <w:p>
            <w:pPr>
              <w:jc w:val="center"/>
              <w:ind w:right="201"/>
              <w:spacing w:after="0"/>
              <w:rPr>
                <w:sz w:val="20"/>
                <w:szCs w:val="20"/>
                <w:color w:val="auto"/>
              </w:rPr>
            </w:pPr>
            <w:r>
              <w:rPr>
                <w:rFonts w:ascii="Arial" w:cs="Arial" w:eastAsia="Arial" w:hAnsi="Arial"/>
                <w:sz w:val="16"/>
                <w:szCs w:val="16"/>
                <w:color w:val="auto"/>
              </w:rPr>
              <w:t>(3)</w:t>
            </w:r>
          </w:p>
        </w:tc>
        <w:tc>
          <w:tcPr>
            <w:tcW w:w="1080" w:type="dxa"/>
            <w:vAlign w:val="bottom"/>
            <w:tcBorders>
              <w:bottom w:val="single" w:sz="8" w:color="BCBEC0"/>
            </w:tcBorders>
          </w:tcPr>
          <w:p>
            <w:pPr>
              <w:jc w:val="right"/>
              <w:ind w:right="3"/>
              <w:spacing w:after="0"/>
              <w:rPr>
                <w:sz w:val="20"/>
                <w:szCs w:val="20"/>
                <w:color w:val="auto"/>
              </w:rPr>
            </w:pPr>
            <w:r>
              <w:rPr>
                <w:rFonts w:ascii="Arial" w:cs="Arial" w:eastAsia="Arial" w:hAnsi="Arial"/>
                <w:sz w:val="16"/>
                <w:szCs w:val="16"/>
                <w:color w:val="auto"/>
              </w:rPr>
              <w:t>3,739,448</w:t>
            </w:r>
          </w:p>
        </w:tc>
      </w:tr>
      <w:tr>
        <w:trPr>
          <w:trHeight w:val="263"/>
        </w:trPr>
        <w:tc>
          <w:tcPr>
            <w:tcW w:w="6000" w:type="dxa"/>
            <w:vAlign w:val="bottom"/>
            <w:tcBorders>
              <w:bottom w:val="single" w:sz="8" w:color="BCBEC0"/>
            </w:tcBorders>
          </w:tcPr>
          <w:p>
            <w:pPr>
              <w:ind w:left="20"/>
              <w:spacing w:after="0"/>
              <w:rPr>
                <w:sz w:val="20"/>
                <w:szCs w:val="20"/>
                <w:color w:val="auto"/>
              </w:rPr>
            </w:pPr>
            <w:r>
              <w:rPr>
                <w:rFonts w:ascii="Arial" w:cs="Arial" w:eastAsia="Arial" w:hAnsi="Arial"/>
                <w:sz w:val="16"/>
                <w:szCs w:val="16"/>
                <w:b w:val="1"/>
                <w:bCs w:val="1"/>
                <w:color w:val="0C3471"/>
              </w:rPr>
              <w:t>Jerome O. Pedretti</w:t>
            </w:r>
          </w:p>
        </w:tc>
        <w:tc>
          <w:tcPr>
            <w:tcW w:w="1520" w:type="dxa"/>
            <w:vAlign w:val="bottom"/>
            <w:tcBorders>
              <w:bottom w:val="single" w:sz="8" w:color="BCBEC0"/>
            </w:tcBorders>
          </w:tcPr>
          <w:p>
            <w:pPr>
              <w:jc w:val="right"/>
              <w:ind w:right="184"/>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BCBEC0"/>
            </w:tcBorders>
          </w:tcPr>
          <w:p>
            <w:pPr>
              <w:jc w:val="right"/>
              <w:ind w:right="183"/>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BCBEC0"/>
            </w:tcBorders>
          </w:tcPr>
          <w:p>
            <w:pPr>
              <w:jc w:val="right"/>
              <w:spacing w:after="0"/>
              <w:rPr>
                <w:sz w:val="20"/>
                <w:szCs w:val="20"/>
                <w:color w:val="auto"/>
              </w:rPr>
            </w:pPr>
            <w:r>
              <w:rPr>
                <w:rFonts w:ascii="Arial" w:cs="Arial" w:eastAsia="Arial" w:hAnsi="Arial"/>
                <w:sz w:val="16"/>
                <w:szCs w:val="16"/>
                <w:color w:val="auto"/>
              </w:rPr>
              <w:t>28,464</w:t>
            </w:r>
          </w:p>
        </w:tc>
        <w:tc>
          <w:tcPr>
            <w:tcW w:w="560" w:type="dxa"/>
            <w:vAlign w:val="bottom"/>
            <w:tcBorders>
              <w:bottom w:val="single" w:sz="8" w:color="BCBEC0"/>
            </w:tcBorders>
          </w:tcPr>
          <w:p>
            <w:pPr>
              <w:jc w:val="center"/>
              <w:ind w:right="201"/>
              <w:spacing w:after="0"/>
              <w:rPr>
                <w:sz w:val="20"/>
                <w:szCs w:val="20"/>
                <w:color w:val="auto"/>
              </w:rPr>
            </w:pPr>
            <w:r>
              <w:rPr>
                <w:rFonts w:ascii="Arial" w:cs="Arial" w:eastAsia="Arial" w:hAnsi="Arial"/>
                <w:sz w:val="16"/>
                <w:szCs w:val="16"/>
                <w:color w:val="auto"/>
              </w:rPr>
              <w:t>(3)</w:t>
            </w:r>
          </w:p>
        </w:tc>
        <w:tc>
          <w:tcPr>
            <w:tcW w:w="1080" w:type="dxa"/>
            <w:vAlign w:val="bottom"/>
            <w:tcBorders>
              <w:bottom w:val="single" w:sz="8" w:color="BCBEC0"/>
            </w:tcBorders>
          </w:tcPr>
          <w:p>
            <w:pPr>
              <w:jc w:val="right"/>
              <w:ind w:right="3"/>
              <w:spacing w:after="0"/>
              <w:rPr>
                <w:sz w:val="20"/>
                <w:szCs w:val="20"/>
                <w:color w:val="auto"/>
              </w:rPr>
            </w:pPr>
            <w:r>
              <w:rPr>
                <w:rFonts w:ascii="Arial" w:cs="Arial" w:eastAsia="Arial" w:hAnsi="Arial"/>
                <w:sz w:val="16"/>
                <w:szCs w:val="16"/>
                <w:color w:val="auto"/>
              </w:rPr>
              <w:t>2,945,876</w:t>
            </w:r>
          </w:p>
        </w:tc>
      </w:tr>
      <w:tr>
        <w:trPr>
          <w:trHeight w:val="263"/>
        </w:trPr>
        <w:tc>
          <w:tcPr>
            <w:tcW w:w="6000" w:type="dxa"/>
            <w:vAlign w:val="bottom"/>
            <w:tcBorders>
              <w:bottom w:val="single" w:sz="8" w:color="BCBEC0"/>
            </w:tcBorders>
          </w:tcPr>
          <w:p>
            <w:pPr>
              <w:ind w:left="20"/>
              <w:spacing w:after="0"/>
              <w:rPr>
                <w:sz w:val="20"/>
                <w:szCs w:val="20"/>
                <w:color w:val="auto"/>
              </w:rPr>
            </w:pPr>
            <w:r>
              <w:rPr>
                <w:rFonts w:ascii="Arial" w:cs="Arial" w:eastAsia="Arial" w:hAnsi="Arial"/>
                <w:sz w:val="16"/>
                <w:szCs w:val="16"/>
                <w:b w:val="1"/>
                <w:bCs w:val="1"/>
                <w:color w:val="0C3471"/>
              </w:rPr>
              <w:t>De'Mon L. Wiggins</w:t>
            </w:r>
          </w:p>
        </w:tc>
        <w:tc>
          <w:tcPr>
            <w:tcW w:w="1520" w:type="dxa"/>
            <w:vAlign w:val="bottom"/>
            <w:tcBorders>
              <w:bottom w:val="single" w:sz="8" w:color="BCBEC0"/>
            </w:tcBorders>
          </w:tcPr>
          <w:p>
            <w:pPr>
              <w:jc w:val="right"/>
              <w:ind w:right="184"/>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BCBEC0"/>
            </w:tcBorders>
          </w:tcPr>
          <w:p>
            <w:pPr>
              <w:jc w:val="right"/>
              <w:ind w:right="183"/>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BCBEC0"/>
            </w:tcBorders>
          </w:tcPr>
          <w:p>
            <w:pPr>
              <w:jc w:val="right"/>
              <w:spacing w:after="0"/>
              <w:rPr>
                <w:sz w:val="20"/>
                <w:szCs w:val="20"/>
                <w:color w:val="auto"/>
              </w:rPr>
            </w:pPr>
            <w:r>
              <w:rPr>
                <w:rFonts w:ascii="Arial" w:cs="Arial" w:eastAsia="Arial" w:hAnsi="Arial"/>
                <w:sz w:val="16"/>
                <w:szCs w:val="16"/>
                <w:color w:val="auto"/>
              </w:rPr>
              <w:t>20,583</w:t>
            </w:r>
          </w:p>
        </w:tc>
        <w:tc>
          <w:tcPr>
            <w:tcW w:w="560" w:type="dxa"/>
            <w:vAlign w:val="bottom"/>
            <w:tcBorders>
              <w:bottom w:val="single" w:sz="8" w:color="BCBEC0"/>
            </w:tcBorders>
          </w:tcPr>
          <w:p>
            <w:pPr>
              <w:jc w:val="center"/>
              <w:ind w:right="201"/>
              <w:spacing w:after="0"/>
              <w:rPr>
                <w:sz w:val="20"/>
                <w:szCs w:val="20"/>
                <w:color w:val="auto"/>
              </w:rPr>
            </w:pPr>
            <w:r>
              <w:rPr>
                <w:rFonts w:ascii="Arial" w:cs="Arial" w:eastAsia="Arial" w:hAnsi="Arial"/>
                <w:sz w:val="16"/>
                <w:szCs w:val="16"/>
                <w:color w:val="auto"/>
              </w:rPr>
              <w:t>(3)</w:t>
            </w:r>
          </w:p>
        </w:tc>
        <w:tc>
          <w:tcPr>
            <w:tcW w:w="1080" w:type="dxa"/>
            <w:vAlign w:val="bottom"/>
            <w:tcBorders>
              <w:bottom w:val="single" w:sz="8" w:color="BCBEC0"/>
            </w:tcBorders>
          </w:tcPr>
          <w:p>
            <w:pPr>
              <w:jc w:val="right"/>
              <w:ind w:right="3"/>
              <w:spacing w:after="0"/>
              <w:rPr>
                <w:sz w:val="20"/>
                <w:szCs w:val="20"/>
                <w:color w:val="auto"/>
              </w:rPr>
            </w:pPr>
            <w:r>
              <w:rPr>
                <w:rFonts w:ascii="Arial" w:cs="Arial" w:eastAsia="Arial" w:hAnsi="Arial"/>
                <w:sz w:val="16"/>
                <w:szCs w:val="16"/>
                <w:color w:val="auto"/>
              </w:rPr>
              <w:t>2,120,808</w:t>
            </w:r>
          </w:p>
        </w:tc>
      </w:tr>
      <w:tr>
        <w:trPr>
          <w:trHeight w:val="263"/>
        </w:trPr>
        <w:tc>
          <w:tcPr>
            <w:tcW w:w="6000" w:type="dxa"/>
            <w:vAlign w:val="bottom"/>
            <w:tcBorders>
              <w:bottom w:val="single" w:sz="8" w:color="0C3471"/>
            </w:tcBorders>
          </w:tcPr>
          <w:p>
            <w:pPr>
              <w:ind w:left="20"/>
              <w:spacing w:after="0"/>
              <w:rPr>
                <w:sz w:val="20"/>
                <w:szCs w:val="20"/>
                <w:color w:val="auto"/>
              </w:rPr>
            </w:pPr>
            <w:r>
              <w:rPr>
                <w:rFonts w:ascii="Arial" w:cs="Arial" w:eastAsia="Arial" w:hAnsi="Arial"/>
                <w:sz w:val="16"/>
                <w:szCs w:val="16"/>
                <w:b w:val="1"/>
                <w:bCs w:val="1"/>
                <w:color w:val="0C3471"/>
              </w:rPr>
              <w:t>Adrian C. Chiu</w:t>
            </w:r>
          </w:p>
        </w:tc>
        <w:tc>
          <w:tcPr>
            <w:tcW w:w="1520" w:type="dxa"/>
            <w:vAlign w:val="bottom"/>
            <w:tcBorders>
              <w:bottom w:val="single" w:sz="8" w:color="0C3471"/>
            </w:tcBorders>
          </w:tcPr>
          <w:p>
            <w:pPr>
              <w:jc w:val="right"/>
              <w:ind w:right="184"/>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0C3471"/>
            </w:tcBorders>
          </w:tcPr>
          <w:p>
            <w:pPr>
              <w:jc w:val="right"/>
              <w:ind w:right="183"/>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0C3471"/>
            </w:tcBorders>
          </w:tcPr>
          <w:p>
            <w:pPr>
              <w:jc w:val="right"/>
              <w:spacing w:after="0"/>
              <w:rPr>
                <w:sz w:val="20"/>
                <w:szCs w:val="20"/>
                <w:color w:val="auto"/>
              </w:rPr>
            </w:pPr>
            <w:r>
              <w:rPr>
                <w:rFonts w:ascii="Arial" w:cs="Arial" w:eastAsia="Arial" w:hAnsi="Arial"/>
                <w:sz w:val="16"/>
                <w:szCs w:val="16"/>
                <w:color w:val="auto"/>
              </w:rPr>
              <w:t>28,276</w:t>
            </w:r>
          </w:p>
        </w:tc>
        <w:tc>
          <w:tcPr>
            <w:tcW w:w="560" w:type="dxa"/>
            <w:vAlign w:val="bottom"/>
            <w:tcBorders>
              <w:bottom w:val="single" w:sz="8" w:color="0C3471"/>
            </w:tcBorders>
          </w:tcPr>
          <w:p>
            <w:pPr>
              <w:jc w:val="center"/>
              <w:ind w:right="201"/>
              <w:spacing w:after="0"/>
              <w:rPr>
                <w:sz w:val="20"/>
                <w:szCs w:val="20"/>
                <w:color w:val="auto"/>
              </w:rPr>
            </w:pPr>
            <w:r>
              <w:rPr>
                <w:rFonts w:ascii="Arial" w:cs="Arial" w:eastAsia="Arial" w:hAnsi="Arial"/>
                <w:sz w:val="16"/>
                <w:szCs w:val="16"/>
                <w:color w:val="auto"/>
              </w:rPr>
              <w:t>(3)</w:t>
            </w:r>
          </w:p>
        </w:tc>
        <w:tc>
          <w:tcPr>
            <w:tcW w:w="1080" w:type="dxa"/>
            <w:vAlign w:val="bottom"/>
            <w:tcBorders>
              <w:bottom w:val="single" w:sz="8" w:color="0C3471"/>
            </w:tcBorders>
          </w:tcPr>
          <w:p>
            <w:pPr>
              <w:jc w:val="right"/>
              <w:ind w:right="3"/>
              <w:spacing w:after="0"/>
              <w:rPr>
                <w:sz w:val="20"/>
                <w:szCs w:val="20"/>
                <w:color w:val="auto"/>
              </w:rPr>
            </w:pPr>
            <w:r>
              <w:rPr>
                <w:rFonts w:ascii="Arial" w:cs="Arial" w:eastAsia="Arial" w:hAnsi="Arial"/>
                <w:sz w:val="16"/>
                <w:szCs w:val="16"/>
                <w:color w:val="auto"/>
              </w:rPr>
              <w:t>2,902,516</w:t>
            </w:r>
          </w:p>
        </w:tc>
      </w:tr>
    </w:tbl>
    <w:p>
      <w:pPr>
        <w:spacing w:after="0" w:line="193" w:lineRule="exact"/>
        <w:rPr>
          <w:sz w:val="20"/>
          <w:szCs w:val="20"/>
          <w:color w:val="auto"/>
        </w:rPr>
      </w:pPr>
    </w:p>
    <w:p>
      <w:pPr>
        <w:ind w:left="200" w:right="240" w:hanging="192"/>
        <w:spacing w:after="0" w:line="239" w:lineRule="auto"/>
        <w:tabs>
          <w:tab w:leader="none" w:pos="228" w:val="left"/>
        </w:tabs>
        <w:numPr>
          <w:ilvl w:val="0"/>
          <w:numId w:val="111"/>
        </w:numPr>
        <w:rPr>
          <w:rFonts w:ascii="Arial" w:cs="Arial" w:eastAsia="Arial" w:hAnsi="Arial"/>
          <w:sz w:val="19"/>
          <w:szCs w:val="19"/>
          <w:color w:val="auto"/>
          <w:vertAlign w:val="superscript"/>
        </w:rPr>
      </w:pPr>
      <w:r>
        <w:rPr>
          <w:rFonts w:ascii="Arial" w:cs="Arial" w:eastAsia="Arial" w:hAnsi="Arial"/>
          <w:sz w:val="14"/>
          <w:szCs w:val="14"/>
          <w:color w:val="auto"/>
        </w:rPr>
        <w:t>Reflects the amount calculated by multiplying the number of options exercised by the difference between the market price of our ordinary shares on the exercise date and the exercise price of options.</w:t>
      </w:r>
    </w:p>
    <w:p>
      <w:pPr>
        <w:spacing w:after="0" w:line="67" w:lineRule="exact"/>
        <w:rPr>
          <w:rFonts w:ascii="Arial" w:cs="Arial" w:eastAsia="Arial" w:hAnsi="Arial"/>
          <w:sz w:val="19"/>
          <w:szCs w:val="19"/>
          <w:color w:val="auto"/>
          <w:vertAlign w:val="superscript"/>
        </w:rPr>
      </w:pPr>
    </w:p>
    <w:p>
      <w:pPr>
        <w:ind w:left="200" w:right="80" w:hanging="192"/>
        <w:spacing w:after="0" w:line="249" w:lineRule="auto"/>
        <w:tabs>
          <w:tab w:leader="none" w:pos="214" w:val="left"/>
        </w:tabs>
        <w:numPr>
          <w:ilvl w:val="0"/>
          <w:numId w:val="111"/>
        </w:numPr>
        <w:rPr>
          <w:rFonts w:ascii="Arial" w:cs="Arial" w:eastAsia="Arial" w:hAnsi="Arial"/>
          <w:sz w:val="19"/>
          <w:szCs w:val="19"/>
          <w:color w:val="auto"/>
          <w:vertAlign w:val="superscript"/>
        </w:rPr>
      </w:pPr>
      <w:r>
        <w:rPr>
          <w:rFonts w:ascii="Arial" w:cs="Arial" w:eastAsia="Arial" w:hAnsi="Arial"/>
          <w:sz w:val="14"/>
          <w:szCs w:val="14"/>
          <w:color w:val="auto"/>
        </w:rPr>
        <w:t>Reflects (i) for restricted stock units, the amount calculated by multiplying the number of shares vested by the market price of our ordinary shares on the vesting date and (ii) for performance share units, the amount calculated by multiplying the number of shares vested by the closing market price of our ordinary shares on December 31, 2025 when the units vested even though the shares were not issued until after the Compensation Committee certified the performance results.</w:t>
      </w:r>
    </w:p>
    <w:p>
      <w:pPr>
        <w:spacing w:after="0" w:line="73" w:lineRule="exact"/>
        <w:rPr>
          <w:rFonts w:ascii="Arial" w:cs="Arial" w:eastAsia="Arial" w:hAnsi="Arial"/>
          <w:sz w:val="19"/>
          <w:szCs w:val="19"/>
          <w:color w:val="auto"/>
          <w:vertAlign w:val="superscript"/>
        </w:rPr>
      </w:pPr>
    </w:p>
    <w:p>
      <w:pPr>
        <w:ind w:left="200" w:right="60" w:hanging="192"/>
        <w:spacing w:after="0" w:line="231" w:lineRule="auto"/>
        <w:tabs>
          <w:tab w:leader="none" w:pos="214" w:val="left"/>
        </w:tabs>
        <w:numPr>
          <w:ilvl w:val="0"/>
          <w:numId w:val="111"/>
        </w:numPr>
        <w:rPr>
          <w:rFonts w:ascii="Arial" w:cs="Arial" w:eastAsia="Arial" w:hAnsi="Arial"/>
          <w:sz w:val="19"/>
          <w:szCs w:val="19"/>
          <w:color w:val="auto"/>
          <w:vertAlign w:val="superscript"/>
        </w:rPr>
      </w:pPr>
      <w:r>
        <w:rPr>
          <w:rFonts w:ascii="Arial" w:cs="Arial" w:eastAsia="Arial" w:hAnsi="Arial"/>
          <w:sz w:val="14"/>
          <w:szCs w:val="14"/>
          <w:color w:val="auto"/>
        </w:rPr>
        <w:t>The amount includes the performance share units earned for the 2023-2025 performance period that ended on December 31, 2025 based on the level of achievement of the performance targets.</w:t>
      </w:r>
    </w:p>
    <w:p>
      <w:pPr>
        <w:spacing w:after="0" w:line="304" w:lineRule="exact"/>
        <w:rPr>
          <w:sz w:val="20"/>
          <w:szCs w:val="20"/>
          <w:color w:val="auto"/>
        </w:rPr>
      </w:pPr>
    </w:p>
    <w:p>
      <w:pPr>
        <w:spacing w:after="0"/>
        <w:rPr>
          <w:sz w:val="20"/>
          <w:szCs w:val="20"/>
          <w:color w:val="auto"/>
        </w:rPr>
      </w:pPr>
      <w:r>
        <w:rPr>
          <w:rFonts w:ascii="Arial" w:cs="Arial" w:eastAsia="Arial" w:hAnsi="Arial"/>
          <w:sz w:val="32"/>
          <w:szCs w:val="32"/>
          <w:color w:val="0C3471"/>
        </w:rPr>
        <w:t>2025 Pension Benefits</w:t>
      </w:r>
    </w:p>
    <w:p>
      <w:pPr>
        <w:spacing w:after="0" w:line="146" w:lineRule="exact"/>
        <w:rPr>
          <w:sz w:val="20"/>
          <w:szCs w:val="20"/>
          <w:color w:val="auto"/>
        </w:rPr>
      </w:pPr>
    </w:p>
    <w:p>
      <w:pPr>
        <w:ind w:right="40"/>
        <w:spacing w:after="0" w:line="282" w:lineRule="auto"/>
        <w:rPr>
          <w:sz w:val="20"/>
          <w:szCs w:val="20"/>
          <w:color w:val="auto"/>
        </w:rPr>
      </w:pPr>
      <w:r>
        <w:rPr>
          <w:rFonts w:ascii="Arial" w:cs="Arial" w:eastAsia="Arial" w:hAnsi="Arial"/>
          <w:sz w:val="16"/>
          <w:szCs w:val="16"/>
          <w:color w:val="auto"/>
        </w:rPr>
        <w:t>Listed below are the number of years of credited service and present value of accumulated pension benefits as of December 31, 2025 for Mr. Stauch, the only Named Executive Officer who participated in the Pentair, Inc. Supplemental Executive Retirement Plan and the Pentair, Inc. Restoration Plan, which are described in detail following the table below, during 2025. The disclosed amounts are actuarial estimates only and do not necessarily reflect the actual amounts that will be paid to Mr. Stauch, which will only be known at the time that he becomes eligible for payment. The actual amount of pension benefits ultimately paid to a Named Executive Officer may vary based on a number of factors, including differences from the assumptions used to calculate the amounts.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62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1840" w:type="dxa"/>
            <w:vAlign w:val="bottom"/>
          </w:tcPr>
          <w:p>
            <w:pPr>
              <w:jc w:val="right"/>
              <w:ind w:right="227"/>
              <w:spacing w:after="0"/>
              <w:rPr>
                <w:sz w:val="20"/>
                <w:szCs w:val="20"/>
                <w:color w:val="auto"/>
              </w:rPr>
            </w:pPr>
            <w:r>
              <w:rPr>
                <w:rFonts w:ascii="Arial" w:cs="Arial" w:eastAsia="Arial" w:hAnsi="Arial"/>
                <w:sz w:val="14"/>
                <w:szCs w:val="14"/>
                <w:b w:val="1"/>
                <w:bCs w:val="1"/>
                <w:color w:val="auto"/>
              </w:rPr>
              <w:t>Number of</w:t>
            </w:r>
          </w:p>
        </w:tc>
        <w:tc>
          <w:tcPr>
            <w:tcW w:w="16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5"/>
        </w:trPr>
        <w:tc>
          <w:tcPr>
            <w:tcW w:w="1620" w:type="dxa"/>
            <w:vAlign w:val="bottom"/>
          </w:tcPr>
          <w:p>
            <w:pPr>
              <w:spacing w:after="0"/>
              <w:rPr>
                <w:sz w:val="15"/>
                <w:szCs w:val="15"/>
                <w:color w:val="auto"/>
              </w:rPr>
            </w:pPr>
          </w:p>
        </w:tc>
        <w:tc>
          <w:tcPr>
            <w:tcW w:w="5100" w:type="dxa"/>
            <w:vAlign w:val="bottom"/>
          </w:tcPr>
          <w:p>
            <w:pPr>
              <w:spacing w:after="0"/>
              <w:rPr>
                <w:sz w:val="15"/>
                <w:szCs w:val="15"/>
                <w:color w:val="auto"/>
              </w:rPr>
            </w:pPr>
          </w:p>
        </w:tc>
        <w:tc>
          <w:tcPr>
            <w:tcW w:w="1840" w:type="dxa"/>
            <w:vAlign w:val="bottom"/>
          </w:tcPr>
          <w:p>
            <w:pPr>
              <w:jc w:val="right"/>
              <w:ind w:right="227"/>
              <w:spacing w:after="0"/>
              <w:rPr>
                <w:sz w:val="20"/>
                <w:szCs w:val="20"/>
                <w:color w:val="auto"/>
              </w:rPr>
            </w:pPr>
            <w:r>
              <w:rPr>
                <w:rFonts w:ascii="Arial" w:cs="Arial" w:eastAsia="Arial" w:hAnsi="Arial"/>
                <w:sz w:val="14"/>
                <w:szCs w:val="14"/>
                <w:b w:val="1"/>
                <w:bCs w:val="1"/>
                <w:color w:val="auto"/>
              </w:rPr>
              <w:t>years</w:t>
            </w:r>
          </w:p>
        </w:tc>
        <w:tc>
          <w:tcPr>
            <w:tcW w:w="1640" w:type="dxa"/>
            <w:vAlign w:val="bottom"/>
          </w:tcPr>
          <w:p>
            <w:pPr>
              <w:jc w:val="right"/>
              <w:ind w:right="206"/>
              <w:spacing w:after="0"/>
              <w:rPr>
                <w:sz w:val="20"/>
                <w:szCs w:val="20"/>
                <w:color w:val="auto"/>
              </w:rPr>
            </w:pPr>
            <w:r>
              <w:rPr>
                <w:rFonts w:ascii="Arial" w:cs="Arial" w:eastAsia="Arial" w:hAnsi="Arial"/>
                <w:sz w:val="14"/>
                <w:szCs w:val="14"/>
                <w:b w:val="1"/>
                <w:bCs w:val="1"/>
                <w:color w:val="auto"/>
              </w:rPr>
              <w:t>Present value</w:t>
            </w: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Payments</w:t>
            </w:r>
          </w:p>
        </w:tc>
      </w:tr>
      <w:tr>
        <w:trPr>
          <w:trHeight w:val="175"/>
        </w:trPr>
        <w:tc>
          <w:tcPr>
            <w:tcW w:w="1620" w:type="dxa"/>
            <w:vAlign w:val="bottom"/>
          </w:tcPr>
          <w:p>
            <w:pPr>
              <w:spacing w:after="0"/>
              <w:rPr>
                <w:sz w:val="15"/>
                <w:szCs w:val="15"/>
                <w:color w:val="auto"/>
              </w:rPr>
            </w:pPr>
          </w:p>
        </w:tc>
        <w:tc>
          <w:tcPr>
            <w:tcW w:w="5100" w:type="dxa"/>
            <w:vAlign w:val="bottom"/>
          </w:tcPr>
          <w:p>
            <w:pPr>
              <w:spacing w:after="0"/>
              <w:rPr>
                <w:sz w:val="15"/>
                <w:szCs w:val="15"/>
                <w:color w:val="auto"/>
              </w:rPr>
            </w:pPr>
          </w:p>
        </w:tc>
        <w:tc>
          <w:tcPr>
            <w:tcW w:w="1840" w:type="dxa"/>
            <w:vAlign w:val="bottom"/>
          </w:tcPr>
          <w:p>
            <w:pPr>
              <w:jc w:val="right"/>
              <w:ind w:right="227"/>
              <w:spacing w:after="0"/>
              <w:rPr>
                <w:sz w:val="20"/>
                <w:szCs w:val="20"/>
                <w:color w:val="auto"/>
              </w:rPr>
            </w:pPr>
            <w:r>
              <w:rPr>
                <w:rFonts w:ascii="Arial" w:cs="Arial" w:eastAsia="Arial" w:hAnsi="Arial"/>
                <w:sz w:val="14"/>
                <w:szCs w:val="14"/>
                <w:b w:val="1"/>
                <w:bCs w:val="1"/>
                <w:color w:val="auto"/>
              </w:rPr>
              <w:t>credited</w:t>
            </w:r>
          </w:p>
        </w:tc>
        <w:tc>
          <w:tcPr>
            <w:tcW w:w="1640" w:type="dxa"/>
            <w:vAlign w:val="bottom"/>
          </w:tcPr>
          <w:p>
            <w:pPr>
              <w:jc w:val="right"/>
              <w:ind w:right="206"/>
              <w:spacing w:after="0"/>
              <w:rPr>
                <w:sz w:val="20"/>
                <w:szCs w:val="20"/>
                <w:color w:val="auto"/>
              </w:rPr>
            </w:pPr>
            <w:r>
              <w:rPr>
                <w:rFonts w:ascii="Arial" w:cs="Arial" w:eastAsia="Arial" w:hAnsi="Arial"/>
                <w:sz w:val="14"/>
                <w:szCs w:val="14"/>
                <w:b w:val="1"/>
                <w:bCs w:val="1"/>
                <w:color w:val="auto"/>
              </w:rPr>
              <w:t>of accumulated</w:t>
            </w: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during last</w:t>
            </w:r>
          </w:p>
        </w:tc>
      </w:tr>
      <w:tr>
        <w:trPr>
          <w:trHeight w:val="173"/>
        </w:trPr>
        <w:tc>
          <w:tcPr>
            <w:tcW w:w="1620" w:type="dxa"/>
            <w:vAlign w:val="bottom"/>
          </w:tcPr>
          <w:p>
            <w:pPr>
              <w:spacing w:after="0"/>
              <w:rPr>
                <w:sz w:val="15"/>
                <w:szCs w:val="15"/>
                <w:color w:val="auto"/>
              </w:rPr>
            </w:pPr>
          </w:p>
        </w:tc>
        <w:tc>
          <w:tcPr>
            <w:tcW w:w="5100" w:type="dxa"/>
            <w:vAlign w:val="bottom"/>
          </w:tcPr>
          <w:p>
            <w:pPr>
              <w:spacing w:after="0"/>
              <w:rPr>
                <w:sz w:val="15"/>
                <w:szCs w:val="15"/>
                <w:color w:val="auto"/>
              </w:rPr>
            </w:pPr>
          </w:p>
        </w:tc>
        <w:tc>
          <w:tcPr>
            <w:tcW w:w="1840" w:type="dxa"/>
            <w:vAlign w:val="bottom"/>
          </w:tcPr>
          <w:p>
            <w:pPr>
              <w:jc w:val="right"/>
              <w:ind w:right="267"/>
              <w:spacing w:after="0"/>
              <w:rPr>
                <w:sz w:val="20"/>
                <w:szCs w:val="20"/>
                <w:color w:val="auto"/>
              </w:rPr>
            </w:pPr>
            <w:r>
              <w:rPr>
                <w:rFonts w:ascii="Arial" w:cs="Arial" w:eastAsia="Arial" w:hAnsi="Arial"/>
                <w:sz w:val="14"/>
                <w:szCs w:val="14"/>
                <w:b w:val="1"/>
                <w:bCs w:val="1"/>
                <w:color w:val="auto"/>
              </w:rPr>
              <w:t>service</w:t>
            </w:r>
          </w:p>
        </w:tc>
        <w:tc>
          <w:tcPr>
            <w:tcW w:w="1640" w:type="dxa"/>
            <w:vAlign w:val="bottom"/>
          </w:tcPr>
          <w:p>
            <w:pPr>
              <w:jc w:val="right"/>
              <w:ind w:right="206"/>
              <w:spacing w:after="0"/>
              <w:rPr>
                <w:sz w:val="20"/>
                <w:szCs w:val="20"/>
                <w:color w:val="auto"/>
              </w:rPr>
            </w:pPr>
            <w:r>
              <w:rPr>
                <w:rFonts w:ascii="Arial" w:cs="Arial" w:eastAsia="Arial" w:hAnsi="Arial"/>
                <w:sz w:val="14"/>
                <w:szCs w:val="14"/>
                <w:b w:val="1"/>
                <w:bCs w:val="1"/>
                <w:color w:val="auto"/>
              </w:rPr>
              <w:t>benefit</w:t>
            </w: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fiscal year</w:t>
            </w:r>
          </w:p>
        </w:tc>
      </w:tr>
      <w:tr>
        <w:trPr>
          <w:trHeight w:val="214"/>
        </w:trPr>
        <w:tc>
          <w:tcPr>
            <w:tcW w:w="1620" w:type="dxa"/>
            <w:vAlign w:val="bottom"/>
            <w:tcBorders>
              <w:bottom w:val="single" w:sz="8" w:color="0C3471"/>
            </w:tcBorders>
          </w:tcPr>
          <w:p>
            <w:pPr>
              <w:ind w:left="20"/>
              <w:spacing w:after="0"/>
              <w:rPr>
                <w:sz w:val="20"/>
                <w:szCs w:val="20"/>
                <w:color w:val="auto"/>
              </w:rPr>
            </w:pPr>
            <w:r>
              <w:rPr>
                <w:rFonts w:ascii="Arial" w:cs="Arial" w:eastAsia="Arial" w:hAnsi="Arial"/>
                <w:sz w:val="14"/>
                <w:szCs w:val="14"/>
                <w:b w:val="1"/>
                <w:bCs w:val="1"/>
                <w:color w:val="auto"/>
              </w:rPr>
              <w:t>Name</w:t>
            </w:r>
          </w:p>
        </w:tc>
        <w:tc>
          <w:tcPr>
            <w:tcW w:w="5100" w:type="dxa"/>
            <w:vAlign w:val="bottom"/>
            <w:tcBorders>
              <w:bottom w:val="single" w:sz="8" w:color="0C3471"/>
            </w:tcBorders>
          </w:tcPr>
          <w:p>
            <w:pPr>
              <w:ind w:left="440"/>
              <w:spacing w:after="0"/>
              <w:rPr>
                <w:sz w:val="20"/>
                <w:szCs w:val="20"/>
                <w:color w:val="auto"/>
              </w:rPr>
            </w:pPr>
            <w:r>
              <w:rPr>
                <w:rFonts w:ascii="Arial" w:cs="Arial" w:eastAsia="Arial" w:hAnsi="Arial"/>
                <w:sz w:val="14"/>
                <w:szCs w:val="14"/>
                <w:b w:val="1"/>
                <w:bCs w:val="1"/>
                <w:color w:val="auto"/>
              </w:rPr>
              <w:t>Plan name</w:t>
            </w:r>
          </w:p>
        </w:tc>
        <w:tc>
          <w:tcPr>
            <w:tcW w:w="1840" w:type="dxa"/>
            <w:vAlign w:val="bottom"/>
            <w:tcBorders>
              <w:bottom w:val="single" w:sz="8" w:color="0C3471"/>
            </w:tcBorders>
          </w:tcPr>
          <w:p>
            <w:pPr>
              <w:jc w:val="right"/>
              <w:ind w:right="227"/>
              <w:spacing w:after="0"/>
              <w:rPr>
                <w:sz w:val="20"/>
                <w:szCs w:val="20"/>
                <w:color w:val="auto"/>
              </w:rPr>
            </w:pPr>
            <w:r>
              <w:rPr>
                <w:rFonts w:ascii="Arial" w:cs="Arial" w:eastAsia="Arial" w:hAnsi="Arial"/>
                <w:sz w:val="14"/>
                <w:szCs w:val="14"/>
                <w:b w:val="1"/>
                <w:bCs w:val="1"/>
                <w:color w:val="auto"/>
              </w:rPr>
              <w:t>(#)</w:t>
            </w:r>
          </w:p>
        </w:tc>
        <w:tc>
          <w:tcPr>
            <w:tcW w:w="1640" w:type="dxa"/>
            <w:vAlign w:val="bottom"/>
            <w:tcBorders>
              <w:bottom w:val="single" w:sz="8" w:color="0C3471"/>
            </w:tcBorders>
          </w:tcPr>
          <w:p>
            <w:pPr>
              <w:jc w:val="right"/>
              <w:ind w:right="206"/>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8"/>
                <w:szCs w:val="18"/>
                <w:b w:val="1"/>
                <w:bCs w:val="1"/>
                <w:color w:val="auto"/>
                <w:vertAlign w:val="superscript"/>
              </w:rPr>
              <w:t>(1)</w:t>
            </w:r>
          </w:p>
        </w:tc>
        <w:tc>
          <w:tcPr>
            <w:tcW w:w="1040" w:type="dxa"/>
            <w:vAlign w:val="bottom"/>
            <w:tcBorders>
              <w:bottom w:val="single" w:sz="8" w:color="0C3471"/>
            </w:tcBorders>
          </w:tcPr>
          <w:p>
            <w:pPr>
              <w:jc w:val="right"/>
              <w:spacing w:after="0"/>
              <w:rPr>
                <w:sz w:val="20"/>
                <w:szCs w:val="20"/>
                <w:color w:val="auto"/>
              </w:rPr>
            </w:pPr>
            <w:r>
              <w:rPr>
                <w:rFonts w:ascii="Arial" w:cs="Arial" w:eastAsia="Arial" w:hAnsi="Arial"/>
                <w:sz w:val="14"/>
                <w:szCs w:val="14"/>
                <w:b w:val="1"/>
                <w:bCs w:val="1"/>
                <w:color w:val="auto"/>
              </w:rPr>
              <w:t>($)</w:t>
            </w:r>
          </w:p>
        </w:tc>
      </w:tr>
      <w:tr>
        <w:trPr>
          <w:trHeight w:val="229"/>
        </w:trPr>
        <w:tc>
          <w:tcPr>
            <w:tcW w:w="1620" w:type="dxa"/>
            <w:vAlign w:val="bottom"/>
          </w:tcPr>
          <w:p>
            <w:pPr>
              <w:ind w:left="20"/>
              <w:spacing w:after="0"/>
              <w:rPr>
                <w:sz w:val="20"/>
                <w:szCs w:val="20"/>
                <w:color w:val="auto"/>
              </w:rPr>
            </w:pPr>
            <w:r>
              <w:rPr>
                <w:rFonts w:ascii="Arial" w:cs="Arial" w:eastAsia="Arial" w:hAnsi="Arial"/>
                <w:sz w:val="16"/>
                <w:szCs w:val="16"/>
                <w:b w:val="1"/>
                <w:bCs w:val="1"/>
                <w:color w:val="0C3471"/>
              </w:rPr>
              <w:t>John L. Stauch</w:t>
            </w:r>
          </w:p>
        </w:tc>
        <w:tc>
          <w:tcPr>
            <w:tcW w:w="5100" w:type="dxa"/>
            <w:vAlign w:val="bottom"/>
          </w:tcPr>
          <w:p>
            <w:pPr>
              <w:ind w:left="440"/>
              <w:spacing w:after="0"/>
              <w:rPr>
                <w:sz w:val="20"/>
                <w:szCs w:val="20"/>
                <w:color w:val="auto"/>
              </w:rPr>
            </w:pPr>
            <w:r>
              <w:rPr>
                <w:rFonts w:ascii="Arial" w:cs="Arial" w:eastAsia="Arial" w:hAnsi="Arial"/>
                <w:sz w:val="16"/>
                <w:szCs w:val="16"/>
                <w:color w:val="auto"/>
              </w:rPr>
              <w:t>Pentair, Inc. Supplemental Executive Retirement Plan</w:t>
            </w:r>
          </w:p>
        </w:tc>
        <w:tc>
          <w:tcPr>
            <w:tcW w:w="1840" w:type="dxa"/>
            <w:vAlign w:val="bottom"/>
          </w:tcPr>
          <w:p>
            <w:pPr>
              <w:jc w:val="right"/>
              <w:ind w:right="227"/>
              <w:spacing w:after="0"/>
              <w:rPr>
                <w:sz w:val="20"/>
                <w:szCs w:val="20"/>
                <w:color w:val="auto"/>
              </w:rPr>
            </w:pPr>
            <w:r>
              <w:rPr>
                <w:rFonts w:ascii="Arial" w:cs="Arial" w:eastAsia="Arial" w:hAnsi="Arial"/>
                <w:sz w:val="16"/>
                <w:szCs w:val="16"/>
                <w:color w:val="auto"/>
              </w:rPr>
              <w:t>19</w:t>
            </w:r>
          </w:p>
        </w:tc>
        <w:tc>
          <w:tcPr>
            <w:tcW w:w="1640" w:type="dxa"/>
            <w:vAlign w:val="bottom"/>
          </w:tcPr>
          <w:p>
            <w:pPr>
              <w:jc w:val="right"/>
              <w:ind w:right="266"/>
              <w:spacing w:after="0"/>
              <w:rPr>
                <w:sz w:val="20"/>
                <w:szCs w:val="20"/>
                <w:color w:val="auto"/>
              </w:rPr>
            </w:pPr>
            <w:r>
              <w:rPr>
                <w:rFonts w:ascii="Arial" w:cs="Arial" w:eastAsia="Arial" w:hAnsi="Arial"/>
                <w:sz w:val="16"/>
                <w:szCs w:val="16"/>
                <w:color w:val="auto"/>
              </w:rPr>
              <w:t>12,001,846</w:t>
            </w:r>
          </w:p>
        </w:tc>
        <w:tc>
          <w:tcPr>
            <w:tcW w:w="1040" w:type="dxa"/>
            <w:vAlign w:val="bottom"/>
          </w:tcPr>
          <w:p>
            <w:pPr>
              <w:jc w:val="right"/>
              <w:ind w:right="6"/>
              <w:spacing w:after="0"/>
              <w:rPr>
                <w:sz w:val="20"/>
                <w:szCs w:val="20"/>
                <w:color w:val="auto"/>
              </w:rPr>
            </w:pPr>
            <w:r>
              <w:rPr>
                <w:rFonts w:ascii="Arial" w:cs="Arial" w:eastAsia="Arial" w:hAnsi="Arial"/>
                <w:sz w:val="16"/>
                <w:szCs w:val="16"/>
                <w:color w:val="auto"/>
              </w:rPr>
              <w:t>—</w:t>
            </w:r>
          </w:p>
        </w:tc>
      </w:tr>
      <w:tr>
        <w:trPr>
          <w:trHeight w:val="34"/>
        </w:trPr>
        <w:tc>
          <w:tcPr>
            <w:tcW w:w="1620" w:type="dxa"/>
            <w:vAlign w:val="bottom"/>
            <w:tcBorders>
              <w:bottom w:val="single" w:sz="8" w:color="0C3471"/>
            </w:tcBorders>
          </w:tcPr>
          <w:p>
            <w:pPr>
              <w:spacing w:after="0"/>
              <w:rPr>
                <w:sz w:val="3"/>
                <w:szCs w:val="3"/>
                <w:color w:val="auto"/>
              </w:rPr>
            </w:pPr>
          </w:p>
        </w:tc>
        <w:tc>
          <w:tcPr>
            <w:tcW w:w="5100" w:type="dxa"/>
            <w:vAlign w:val="bottom"/>
            <w:tcBorders>
              <w:bottom w:val="single" w:sz="8" w:color="0C3471"/>
            </w:tcBorders>
          </w:tcPr>
          <w:p>
            <w:pPr>
              <w:spacing w:after="0"/>
              <w:rPr>
                <w:sz w:val="3"/>
                <w:szCs w:val="3"/>
                <w:color w:val="auto"/>
              </w:rPr>
            </w:pPr>
          </w:p>
        </w:tc>
        <w:tc>
          <w:tcPr>
            <w:tcW w:w="1840" w:type="dxa"/>
            <w:vAlign w:val="bottom"/>
            <w:tcBorders>
              <w:bottom w:val="single" w:sz="8" w:color="0C3471"/>
            </w:tcBorders>
          </w:tcPr>
          <w:p>
            <w:pPr>
              <w:spacing w:after="0"/>
              <w:rPr>
                <w:sz w:val="3"/>
                <w:szCs w:val="3"/>
                <w:color w:val="auto"/>
              </w:rPr>
            </w:pPr>
          </w:p>
        </w:tc>
        <w:tc>
          <w:tcPr>
            <w:tcW w:w="1640" w:type="dxa"/>
            <w:vAlign w:val="bottom"/>
            <w:tcBorders>
              <w:bottom w:val="single" w:sz="8" w:color="0C3471"/>
            </w:tcBorders>
          </w:tcPr>
          <w:p>
            <w:pPr>
              <w:spacing w:after="0"/>
              <w:rPr>
                <w:sz w:val="3"/>
                <w:szCs w:val="3"/>
                <w:color w:val="auto"/>
              </w:rPr>
            </w:pPr>
          </w:p>
        </w:tc>
        <w:tc>
          <w:tcPr>
            <w:tcW w:w="1040" w:type="dxa"/>
            <w:vAlign w:val="bottom"/>
            <w:tcBorders>
              <w:bottom w:val="single" w:sz="8" w:color="0C3471"/>
            </w:tcBorders>
          </w:tcPr>
          <w:p>
            <w:pPr>
              <w:spacing w:after="0"/>
              <w:rPr>
                <w:sz w:val="3"/>
                <w:szCs w:val="3"/>
                <w:color w:val="auto"/>
              </w:rPr>
            </w:pPr>
          </w:p>
        </w:tc>
      </w:tr>
    </w:tbl>
    <w:p>
      <w:pPr>
        <w:spacing w:after="0" w:line="180" w:lineRule="exact"/>
        <w:rPr>
          <w:sz w:val="20"/>
          <w:szCs w:val="20"/>
          <w:color w:val="auto"/>
        </w:rPr>
      </w:pPr>
    </w:p>
    <w:p>
      <w:pPr>
        <w:ind w:left="200" w:right="160" w:hanging="192"/>
        <w:spacing w:after="0" w:line="325" w:lineRule="auto"/>
        <w:tabs>
          <w:tab w:leader="none" w:pos="228" w:val="left"/>
        </w:tabs>
        <w:numPr>
          <w:ilvl w:val="0"/>
          <w:numId w:val="112"/>
        </w:numPr>
        <w:rPr>
          <w:rFonts w:ascii="Arial" w:cs="Arial" w:eastAsia="Arial" w:hAnsi="Arial"/>
          <w:sz w:val="9"/>
          <w:szCs w:val="9"/>
          <w:color w:val="auto"/>
        </w:rPr>
      </w:pPr>
      <w:r>
        <w:rPr>
          <w:rFonts w:ascii="Arial" w:cs="Arial" w:eastAsia="Arial" w:hAnsi="Arial"/>
          <w:sz w:val="14"/>
          <w:szCs w:val="14"/>
          <w:color w:val="auto"/>
        </w:rPr>
        <w:t>The Supplemental Executive Retirement Plan benefits, which include amounts under the Restoration Plan, are payable following retirement at age 55 or later in the form of an annuity. The actuarial present value above was calculated using the following methods and assumptions:</w:t>
      </w:r>
    </w:p>
    <w:p>
      <w:pPr>
        <w:spacing w:after="0" w:line="23" w:lineRule="exact"/>
        <w:rPr>
          <w:sz w:val="20"/>
          <w:szCs w:val="20"/>
          <w:color w:val="auto"/>
        </w:rPr>
      </w:pPr>
    </w:p>
    <w:p>
      <w:pPr>
        <w:ind w:left="400" w:hanging="198"/>
        <w:spacing w:after="0"/>
        <w:tabs>
          <w:tab w:leader="none" w:pos="400" w:val="left"/>
        </w:tabs>
        <w:numPr>
          <w:ilvl w:val="0"/>
          <w:numId w:val="113"/>
        </w:numPr>
        <w:rPr>
          <w:rFonts w:ascii="Wingdings" w:cs="Wingdings" w:eastAsia="Wingdings" w:hAnsi="Wingdings"/>
          <w:sz w:val="16"/>
          <w:szCs w:val="16"/>
          <w:b w:val="1"/>
          <w:bCs w:val="1"/>
          <w:color w:val="BCBEC0"/>
        </w:rPr>
      </w:pPr>
      <w:r>
        <w:rPr>
          <w:rFonts w:ascii="Arial" w:cs="Arial" w:eastAsia="Arial" w:hAnsi="Arial"/>
          <w:sz w:val="14"/>
          <w:szCs w:val="14"/>
          <w:color w:val="auto"/>
        </w:rPr>
        <w:t>Present values for the Supplemental Executive Retirement Plan are based on a 180-month certain-only annuity.</w:t>
      </w:r>
    </w:p>
    <w:p>
      <w:pPr>
        <w:spacing w:after="0" w:line="105" w:lineRule="exact"/>
        <w:rPr>
          <w:rFonts w:ascii="Wingdings" w:cs="Wingdings" w:eastAsia="Wingdings" w:hAnsi="Wingdings"/>
          <w:sz w:val="16"/>
          <w:szCs w:val="16"/>
          <w:b w:val="1"/>
          <w:bCs w:val="1"/>
          <w:color w:val="BCBEC0"/>
        </w:rPr>
      </w:pPr>
    </w:p>
    <w:p>
      <w:pPr>
        <w:ind w:left="400" w:hanging="198"/>
        <w:spacing w:after="0"/>
        <w:tabs>
          <w:tab w:leader="none" w:pos="400" w:val="left"/>
        </w:tabs>
        <w:numPr>
          <w:ilvl w:val="0"/>
          <w:numId w:val="113"/>
        </w:numPr>
        <w:rPr>
          <w:rFonts w:ascii="Wingdings" w:cs="Wingdings" w:eastAsia="Wingdings" w:hAnsi="Wingdings"/>
          <w:sz w:val="16"/>
          <w:szCs w:val="16"/>
          <w:b w:val="1"/>
          <w:bCs w:val="1"/>
          <w:color w:val="BCBEC0"/>
        </w:rPr>
      </w:pPr>
      <w:r>
        <w:rPr>
          <w:rFonts w:ascii="Arial" w:cs="Arial" w:eastAsia="Arial" w:hAnsi="Arial"/>
          <w:sz w:val="14"/>
          <w:szCs w:val="14"/>
          <w:color w:val="auto"/>
        </w:rPr>
        <w:t>The present value of Supplemental Executive Retirement Plan benefits as of December 31, 2025 was calculated assuming a 4.65% interest rate.</w:t>
      </w:r>
    </w:p>
    <w:p>
      <w:pPr>
        <w:spacing w:after="0" w:line="128" w:lineRule="exact"/>
        <w:rPr>
          <w:sz w:val="20"/>
          <w:szCs w:val="20"/>
          <w:color w:val="auto"/>
        </w:rPr>
      </w:pPr>
    </w:p>
    <w:p>
      <w:pPr>
        <w:ind w:right="180"/>
        <w:spacing w:after="0" w:line="304" w:lineRule="auto"/>
        <w:rPr>
          <w:sz w:val="20"/>
          <w:szCs w:val="20"/>
          <w:color w:val="auto"/>
        </w:rPr>
      </w:pPr>
      <w:r>
        <w:rPr>
          <w:rFonts w:ascii="Arial" w:cs="Arial" w:eastAsia="Arial" w:hAnsi="Arial"/>
          <w:sz w:val="16"/>
          <w:szCs w:val="16"/>
          <w:color w:val="auto"/>
        </w:rPr>
        <w:t>We previously amended several of our compensation plans. As a result of these amendments, benefits vested prior to January 1, 2005 are separated from benefits earned after January 1, 2005, and may offer different distribution or other options to participants from those described below.</w:t>
      </w:r>
    </w:p>
    <w:p>
      <w:pPr>
        <w:spacing w:after="0" w:line="200" w:lineRule="exact"/>
        <w:rPr>
          <w:sz w:val="20"/>
          <w:szCs w:val="20"/>
          <w:color w:val="auto"/>
        </w:rPr>
      </w:pP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10780" w:type="dxa"/>
            <w:vAlign w:val="bottom"/>
          </w:tcPr>
          <w:p>
            <w:pPr>
              <w:ind w:left="8260"/>
              <w:spacing w:after="0"/>
              <w:rPr>
                <w:sz w:val="20"/>
                <w:szCs w:val="20"/>
                <w:color w:val="auto"/>
              </w:rPr>
            </w:pPr>
            <w:r>
              <w:rPr>
                <w:rFonts w:ascii="Arial" w:cs="Arial" w:eastAsia="Arial" w:hAnsi="Arial"/>
                <w:sz w:val="16"/>
                <w:szCs w:val="16"/>
                <w:b w:val="1"/>
                <w:bCs w:val="1"/>
                <w:color w:val="auto"/>
              </w:rPr>
              <w:t xml:space="preserve">2026 Proxy Statement </w:t>
            </w:r>
            <w:r>
              <w:rPr>
                <w:rFonts w:ascii="Arial" w:cs="Arial" w:eastAsia="Arial" w:hAnsi="Arial"/>
                <w:sz w:val="16"/>
                <w:szCs w:val="16"/>
                <w:b w:val="1"/>
                <w:bCs w:val="1"/>
                <w:color w:val="0C3471"/>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Pentair</w:t>
            </w:r>
          </w:p>
        </w:tc>
        <w:tc>
          <w:tcPr>
            <w:tcW w:w="460" w:type="dxa"/>
            <w:vAlign w:val="bottom"/>
          </w:tcPr>
          <w:p>
            <w:pPr>
              <w:jc w:val="right"/>
              <w:spacing w:after="0"/>
              <w:rPr>
                <w:sz w:val="20"/>
                <w:szCs w:val="20"/>
                <w:color w:val="auto"/>
              </w:rPr>
            </w:pPr>
            <w:r>
              <w:rPr>
                <w:rFonts w:ascii="Arial" w:cs="Arial" w:eastAsia="Arial" w:hAnsi="Arial"/>
                <w:sz w:val="16"/>
                <w:szCs w:val="16"/>
                <w:b w:val="1"/>
                <w:bCs w:val="1"/>
                <w:color w:val="auto"/>
              </w:rPr>
              <w:t>61</w:t>
            </w:r>
          </w:p>
        </w:tc>
      </w:tr>
      <w:tr>
        <w:trPr>
          <w:trHeight w:val="325"/>
        </w:trPr>
        <w:tc>
          <w:tcPr>
            <w:tcW w:w="107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63" w:name="page64"/>
    <w:bookmarkEnd w:id="63"/>
    <w:p>
      <w:pPr>
        <w:ind w:left="36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216535</wp:posOffset>
            </wp:positionH>
            <wp:positionV relativeFrom="page">
              <wp:posOffset>106045</wp:posOffset>
            </wp:positionV>
            <wp:extent cx="102870" cy="11176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clrChange>
                        <a:clrFrom>
                          <a:srgbClr val="FFFFFF"/>
                        </a:clrFrom>
                        <a:clrTo>
                          <a:srgbClr val="FFFFFF">
                            <a:alpha val="0"/>
                          </a:srgbClr>
                        </a:clrTo>
                      </a:clrChange>
                      <a:extLst>
                        <a:ext uri="{28A0092B-C50C-407E-A947-70E740481C1C}"/>
                      </a:extLst>
                    </a:blip>
                    <a:srcRect/>
                    <a:stretch>
                      <a:fillRect/>
                    </a:stretch>
                  </pic:blipFill>
                  <pic:spPr bwMode="auto">
                    <a:xfrm>
                      <a:off x="0" y="0"/>
                      <a:ext cx="102870" cy="111760"/>
                    </a:xfrm>
                    <a:prstGeom prst="rect">
                      <a:avLst/>
                    </a:prstGeom>
                    <a:noFill/>
                  </pic:spPr>
                </pic:pic>
              </a:graphicData>
            </a:graphic>
          </wp:anchor>
        </w:drawing>
        <w:t>Executive Compensation Tables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20"/>
        <w:spacing w:after="0"/>
        <w:rPr>
          <w:sz w:val="20"/>
          <w:szCs w:val="20"/>
          <w:color w:val="auto"/>
        </w:rPr>
      </w:pPr>
      <w:r>
        <w:rPr>
          <w:rFonts w:ascii="Arial" w:cs="Arial" w:eastAsia="Arial" w:hAnsi="Arial"/>
          <w:sz w:val="29"/>
          <w:szCs w:val="29"/>
          <w:color w:val="64A70B"/>
        </w:rPr>
        <w:t>The Pentair, Inc. Supplemental Executive Retirement and Restoration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13" w:lineRule="exact"/>
        <w:rPr>
          <w:sz w:val="20"/>
          <w:szCs w:val="20"/>
          <w:color w:val="auto"/>
        </w:rPr>
      </w:pPr>
    </w:p>
    <w:p>
      <w:pPr>
        <w:ind w:right="160"/>
        <w:spacing w:after="0" w:line="265" w:lineRule="auto"/>
        <w:rPr>
          <w:sz w:val="20"/>
          <w:szCs w:val="20"/>
          <w:color w:val="auto"/>
        </w:rPr>
      </w:pPr>
      <w:r>
        <w:rPr>
          <w:rFonts w:ascii="Arial" w:cs="Arial" w:eastAsia="Arial" w:hAnsi="Arial"/>
          <w:sz w:val="16"/>
          <w:szCs w:val="16"/>
          <w:color w:val="auto"/>
        </w:rPr>
        <w:t>The Pentair, Inc. Supplemental Executive Retirement Plan (“SERP”) and the Pentair, Inc. Restoration Plan (“Restoration Plan”) are unfunded, non-qualified defined benefit pension plans. Employees eligible for participation in the SERP include all executive officers and other key executives selected for participation by the Compensation Committee. Participation in the Restoration Plan is limited to eligible employees under the SERP who were eligible employees on or before December 31, 2007. Benefits under these two plans vest upon the completion of five years of benefit service (all service following initial participation). These plans are combined for all administrative, accounting and other purposes. Of the Named Executive Officers, only Mr. Stauch participated in the SERP and the Restoration Plan. Mr. Stauch was fully vested in these plans during 2025.</w:t>
      </w:r>
    </w:p>
    <w:p>
      <w:pPr>
        <w:spacing w:after="0" w:line="77" w:lineRule="exact"/>
        <w:rPr>
          <w:sz w:val="20"/>
          <w:szCs w:val="20"/>
          <w:color w:val="auto"/>
        </w:rPr>
      </w:pPr>
    </w:p>
    <w:p>
      <w:pPr>
        <w:spacing w:after="0" w:line="269" w:lineRule="auto"/>
        <w:rPr>
          <w:sz w:val="20"/>
          <w:szCs w:val="20"/>
          <w:color w:val="auto"/>
        </w:rPr>
      </w:pPr>
      <w:r>
        <w:rPr>
          <w:rFonts w:ascii="Arial" w:cs="Arial" w:eastAsia="Arial" w:hAnsi="Arial"/>
          <w:sz w:val="16"/>
          <w:szCs w:val="16"/>
          <w:color w:val="auto"/>
        </w:rPr>
        <w:t>Benefits under the SERP are based upon an employee’s years of service following initial participation and the highest average earnings for a five calendar-year period (ending with retirement). Compensation covered by the SERP and the Restoration Plan for Mr. Stauch equals the amount set forth in the “Salary” column in the Summary Compensation Table and incentive compensation paid under the MIP set forth in the “Non-Equity Incentive Plan Compensation” column in the Summary Compensation Table, as well as employer matching contributions to the Employee Stock Purchase Plan and perquisites reported under the “All Other Compensation” column in the Summary Compensation Table.</w:t>
      </w: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color w:val="auto"/>
        </w:rPr>
        <w:t>Benefits under the SERP are calculated as:</w:t>
      </w:r>
    </w:p>
    <w:p>
      <w:pPr>
        <w:spacing w:after="0" w:line="127" w:lineRule="exact"/>
        <w:rPr>
          <w:sz w:val="20"/>
          <w:szCs w:val="20"/>
          <w:color w:val="auto"/>
        </w:rPr>
      </w:pPr>
    </w:p>
    <w:p>
      <w:pPr>
        <w:ind w:left="160" w:hanging="152"/>
        <w:spacing w:after="0"/>
        <w:tabs>
          <w:tab w:leader="none" w:pos="160" w:val="left"/>
        </w:tabs>
        <w:numPr>
          <w:ilvl w:val="0"/>
          <w:numId w:val="114"/>
        </w:numPr>
        <w:rPr>
          <w:rFonts w:ascii="Arial" w:cs="Arial" w:eastAsia="Arial" w:hAnsi="Arial"/>
          <w:sz w:val="13"/>
          <w:szCs w:val="13"/>
          <w:color w:val="64A70B"/>
        </w:rPr>
      </w:pPr>
      <w:r>
        <w:rPr>
          <w:rFonts w:ascii="Arial" w:cs="Arial" w:eastAsia="Arial" w:hAnsi="Arial"/>
          <w:sz w:val="16"/>
          <w:szCs w:val="16"/>
          <w:color w:val="auto"/>
        </w:rPr>
        <w:t>final average compensation as defined above; multiplied by</w:t>
      </w:r>
    </w:p>
    <w:p>
      <w:pPr>
        <w:spacing w:after="0" w:line="86" w:lineRule="exact"/>
        <w:rPr>
          <w:rFonts w:ascii="Arial" w:cs="Arial" w:eastAsia="Arial" w:hAnsi="Arial"/>
          <w:sz w:val="13"/>
          <w:szCs w:val="13"/>
          <w:color w:val="64A70B"/>
        </w:rPr>
      </w:pPr>
    </w:p>
    <w:p>
      <w:pPr>
        <w:ind w:left="160" w:hanging="152"/>
        <w:spacing w:after="0"/>
        <w:tabs>
          <w:tab w:leader="none" w:pos="160" w:val="left"/>
        </w:tabs>
        <w:numPr>
          <w:ilvl w:val="0"/>
          <w:numId w:val="114"/>
        </w:numPr>
        <w:rPr>
          <w:rFonts w:ascii="Arial" w:cs="Arial" w:eastAsia="Arial" w:hAnsi="Arial"/>
          <w:sz w:val="13"/>
          <w:szCs w:val="13"/>
          <w:color w:val="64A70B"/>
        </w:rPr>
      </w:pPr>
      <w:r>
        <w:rPr>
          <w:rFonts w:ascii="Arial" w:cs="Arial" w:eastAsia="Arial" w:hAnsi="Arial"/>
          <w:sz w:val="16"/>
          <w:szCs w:val="16"/>
          <w:color w:val="auto"/>
        </w:rPr>
        <w:t>benefit service percentage, which equals 15% multiplied by years of benefit service.</w:t>
      </w:r>
    </w:p>
    <w:p>
      <w:pPr>
        <w:spacing w:after="0" w:line="113" w:lineRule="exact"/>
        <w:rPr>
          <w:sz w:val="20"/>
          <w:szCs w:val="20"/>
          <w:color w:val="auto"/>
        </w:rPr>
      </w:pPr>
    </w:p>
    <w:p>
      <w:pPr>
        <w:ind w:right="40"/>
        <w:spacing w:after="0" w:line="304" w:lineRule="auto"/>
        <w:rPr>
          <w:sz w:val="20"/>
          <w:szCs w:val="20"/>
          <w:color w:val="auto"/>
        </w:rPr>
      </w:pPr>
      <w:r>
        <w:rPr>
          <w:rFonts w:ascii="Arial" w:cs="Arial" w:eastAsia="Arial" w:hAnsi="Arial"/>
          <w:sz w:val="16"/>
          <w:szCs w:val="16"/>
          <w:color w:val="auto"/>
        </w:rPr>
        <w:t>The Restoration Plan is designed to provide retirement benefits based on compensation earned by participants in excess of the annual limitation imposed by the Code, which was $350,000 in 2025.</w:t>
      </w:r>
    </w:p>
    <w:p>
      <w:pPr>
        <w:spacing w:after="0" w:line="47" w:lineRule="exact"/>
        <w:rPr>
          <w:sz w:val="20"/>
          <w:szCs w:val="20"/>
          <w:color w:val="auto"/>
        </w:rPr>
      </w:pPr>
    </w:p>
    <w:p>
      <w:pPr>
        <w:spacing w:after="0"/>
        <w:rPr>
          <w:sz w:val="20"/>
          <w:szCs w:val="20"/>
          <w:color w:val="auto"/>
        </w:rPr>
      </w:pPr>
      <w:r>
        <w:rPr>
          <w:rFonts w:ascii="Arial" w:cs="Arial" w:eastAsia="Arial" w:hAnsi="Arial"/>
          <w:sz w:val="16"/>
          <w:szCs w:val="16"/>
          <w:color w:val="auto"/>
        </w:rPr>
        <w:t>Benefits under the Restoration Plan are calculated as:</w:t>
      </w:r>
    </w:p>
    <w:p>
      <w:pPr>
        <w:spacing w:after="0" w:line="127" w:lineRule="exact"/>
        <w:rPr>
          <w:sz w:val="20"/>
          <w:szCs w:val="20"/>
          <w:color w:val="auto"/>
        </w:rPr>
      </w:pPr>
    </w:p>
    <w:p>
      <w:pPr>
        <w:ind w:left="160" w:hanging="152"/>
        <w:spacing w:after="0"/>
        <w:tabs>
          <w:tab w:leader="none" w:pos="160" w:val="left"/>
        </w:tabs>
        <w:numPr>
          <w:ilvl w:val="0"/>
          <w:numId w:val="115"/>
        </w:numPr>
        <w:rPr>
          <w:rFonts w:ascii="Arial" w:cs="Arial" w:eastAsia="Arial" w:hAnsi="Arial"/>
          <w:sz w:val="13"/>
          <w:szCs w:val="13"/>
          <w:color w:val="64A70B"/>
        </w:rPr>
      </w:pPr>
      <w:r>
        <w:rPr>
          <w:rFonts w:ascii="Arial" w:cs="Arial" w:eastAsia="Arial" w:hAnsi="Arial"/>
          <w:sz w:val="16"/>
          <w:szCs w:val="16"/>
          <w:color w:val="auto"/>
        </w:rPr>
        <w:t>final average compensation as defined above, less compensation below the annual limitation amount in each year; multiplied by</w:t>
      </w:r>
    </w:p>
    <w:p>
      <w:pPr>
        <w:spacing w:after="0" w:line="86" w:lineRule="exact"/>
        <w:rPr>
          <w:rFonts w:ascii="Arial" w:cs="Arial" w:eastAsia="Arial" w:hAnsi="Arial"/>
          <w:sz w:val="13"/>
          <w:szCs w:val="13"/>
          <w:color w:val="64A70B"/>
        </w:rPr>
      </w:pPr>
    </w:p>
    <w:p>
      <w:pPr>
        <w:ind w:left="160" w:hanging="152"/>
        <w:spacing w:after="0"/>
        <w:tabs>
          <w:tab w:leader="none" w:pos="160" w:val="left"/>
        </w:tabs>
        <w:numPr>
          <w:ilvl w:val="0"/>
          <w:numId w:val="115"/>
        </w:numPr>
        <w:rPr>
          <w:rFonts w:ascii="Arial" w:cs="Arial" w:eastAsia="Arial" w:hAnsi="Arial"/>
          <w:sz w:val="13"/>
          <w:szCs w:val="13"/>
          <w:color w:val="64A70B"/>
        </w:rPr>
      </w:pPr>
      <w:r>
        <w:rPr>
          <w:rFonts w:ascii="Arial" w:cs="Arial" w:eastAsia="Arial" w:hAnsi="Arial"/>
          <w:sz w:val="16"/>
          <w:szCs w:val="16"/>
          <w:color w:val="auto"/>
        </w:rPr>
        <w:t>earned benefit service percentage (which is weighted based on age at the time of service), in accordance with the following table:</w:t>
      </w:r>
    </w:p>
    <w:p>
      <w:pPr>
        <w:spacing w:after="0" w:line="145" w:lineRule="exact"/>
        <w:rPr>
          <w:sz w:val="20"/>
          <w:szCs w:val="20"/>
          <w:color w:val="auto"/>
        </w:rPr>
      </w:pPr>
    </w:p>
    <w:tbl>
      <w:tblPr>
        <w:tblLayout w:type="fixed"/>
        <w:tblInd w:w="200" w:type="dxa"/>
        <w:tblCellMar>
          <w:top w:w="0" w:type="dxa"/>
          <w:left w:w="0" w:type="dxa"/>
          <w:bottom w:w="0" w:type="dxa"/>
          <w:right w:w="0" w:type="dxa"/>
        </w:tblCellMar>
      </w:tblPr>
      <w:tr>
        <w:trPr>
          <w:trHeight w:val="205"/>
        </w:trPr>
        <w:tc>
          <w:tcPr>
            <w:tcW w:w="5420" w:type="dxa"/>
            <w:vAlign w:val="bottom"/>
            <w:tcBorders>
              <w:bottom w:val="single" w:sz="8" w:color="0C3471"/>
            </w:tcBorders>
          </w:tcPr>
          <w:p>
            <w:pPr>
              <w:ind w:left="20"/>
              <w:spacing w:after="0"/>
              <w:rPr>
                <w:sz w:val="20"/>
                <w:szCs w:val="20"/>
                <w:color w:val="auto"/>
              </w:rPr>
            </w:pPr>
            <w:r>
              <w:rPr>
                <w:rFonts w:ascii="Arial" w:cs="Arial" w:eastAsia="Arial" w:hAnsi="Arial"/>
                <w:sz w:val="14"/>
                <w:szCs w:val="14"/>
                <w:b w:val="1"/>
                <w:bCs w:val="1"/>
                <w:color w:val="auto"/>
              </w:rPr>
              <w:t>Service Age</w:t>
            </w:r>
          </w:p>
        </w:tc>
        <w:tc>
          <w:tcPr>
            <w:tcW w:w="5340" w:type="dxa"/>
            <w:vAlign w:val="bottom"/>
            <w:tcBorders>
              <w:bottom w:val="single" w:sz="8" w:color="0C3471"/>
            </w:tcBorders>
          </w:tcPr>
          <w:p>
            <w:pPr>
              <w:jc w:val="right"/>
              <w:spacing w:after="0"/>
              <w:rPr>
                <w:sz w:val="20"/>
                <w:szCs w:val="20"/>
                <w:color w:val="auto"/>
              </w:rPr>
            </w:pPr>
            <w:r>
              <w:rPr>
                <w:rFonts w:ascii="Arial" w:cs="Arial" w:eastAsia="Arial" w:hAnsi="Arial"/>
                <w:sz w:val="14"/>
                <w:szCs w:val="14"/>
                <w:b w:val="1"/>
                <w:bCs w:val="1"/>
                <w:color w:val="auto"/>
              </w:rPr>
              <w:t>Percentage</w:t>
            </w:r>
          </w:p>
        </w:tc>
      </w:tr>
      <w:tr>
        <w:trPr>
          <w:trHeight w:val="228"/>
        </w:trPr>
        <w:tc>
          <w:tcPr>
            <w:tcW w:w="5420" w:type="dxa"/>
            <w:vAlign w:val="bottom"/>
          </w:tcPr>
          <w:p>
            <w:pPr>
              <w:ind w:left="20"/>
              <w:spacing w:after="0"/>
              <w:rPr>
                <w:sz w:val="20"/>
                <w:szCs w:val="20"/>
                <w:color w:val="auto"/>
              </w:rPr>
            </w:pPr>
            <w:r>
              <w:rPr>
                <w:rFonts w:ascii="Arial" w:cs="Arial" w:eastAsia="Arial" w:hAnsi="Arial"/>
                <w:sz w:val="16"/>
                <w:szCs w:val="16"/>
                <w:color w:val="auto"/>
              </w:rPr>
              <w:t>Under 25</w:t>
            </w:r>
          </w:p>
        </w:tc>
        <w:tc>
          <w:tcPr>
            <w:tcW w:w="5340" w:type="dxa"/>
            <w:vAlign w:val="bottom"/>
          </w:tcPr>
          <w:p>
            <w:pPr>
              <w:jc w:val="right"/>
              <w:spacing w:after="0"/>
              <w:rPr>
                <w:sz w:val="20"/>
                <w:szCs w:val="20"/>
                <w:color w:val="auto"/>
              </w:rPr>
            </w:pPr>
            <w:r>
              <w:rPr>
                <w:rFonts w:ascii="Arial" w:cs="Arial" w:eastAsia="Arial" w:hAnsi="Arial"/>
                <w:sz w:val="16"/>
                <w:szCs w:val="16"/>
                <w:color w:val="auto"/>
              </w:rPr>
              <w:t>4.0%</w:t>
            </w:r>
          </w:p>
        </w:tc>
      </w:tr>
      <w:tr>
        <w:trPr>
          <w:trHeight w:val="43"/>
        </w:trPr>
        <w:tc>
          <w:tcPr>
            <w:tcW w:w="5420" w:type="dxa"/>
            <w:vAlign w:val="bottom"/>
            <w:tcBorders>
              <w:bottom w:val="single" w:sz="8" w:color="BCBEC0"/>
            </w:tcBorders>
          </w:tcPr>
          <w:p>
            <w:pPr>
              <w:spacing w:after="0"/>
              <w:rPr>
                <w:sz w:val="3"/>
                <w:szCs w:val="3"/>
                <w:color w:val="auto"/>
              </w:rPr>
            </w:pPr>
          </w:p>
        </w:tc>
        <w:tc>
          <w:tcPr>
            <w:tcW w:w="5340" w:type="dxa"/>
            <w:vAlign w:val="bottom"/>
            <w:tcBorders>
              <w:bottom w:val="single" w:sz="8" w:color="BCBEC0"/>
            </w:tcBorders>
          </w:tcPr>
          <w:p>
            <w:pPr>
              <w:spacing w:after="0"/>
              <w:rPr>
                <w:sz w:val="3"/>
                <w:szCs w:val="3"/>
                <w:color w:val="auto"/>
              </w:rPr>
            </w:pPr>
          </w:p>
        </w:tc>
      </w:tr>
      <w:tr>
        <w:trPr>
          <w:trHeight w:val="221"/>
        </w:trPr>
        <w:tc>
          <w:tcPr>
            <w:tcW w:w="5420" w:type="dxa"/>
            <w:vAlign w:val="bottom"/>
          </w:tcPr>
          <w:p>
            <w:pPr>
              <w:ind w:left="20"/>
              <w:spacing w:after="0"/>
              <w:rPr>
                <w:sz w:val="20"/>
                <w:szCs w:val="20"/>
                <w:color w:val="auto"/>
              </w:rPr>
            </w:pPr>
            <w:r>
              <w:rPr>
                <w:rFonts w:ascii="Arial" w:cs="Arial" w:eastAsia="Arial" w:hAnsi="Arial"/>
                <w:sz w:val="16"/>
                <w:szCs w:val="16"/>
                <w:color w:val="auto"/>
              </w:rPr>
              <w:t>25-34</w:t>
            </w:r>
          </w:p>
        </w:tc>
        <w:tc>
          <w:tcPr>
            <w:tcW w:w="5340" w:type="dxa"/>
            <w:vAlign w:val="bottom"/>
          </w:tcPr>
          <w:p>
            <w:pPr>
              <w:jc w:val="right"/>
              <w:spacing w:after="0"/>
              <w:rPr>
                <w:sz w:val="20"/>
                <w:szCs w:val="20"/>
                <w:color w:val="auto"/>
              </w:rPr>
            </w:pPr>
            <w:r>
              <w:rPr>
                <w:rFonts w:ascii="Arial" w:cs="Arial" w:eastAsia="Arial" w:hAnsi="Arial"/>
                <w:sz w:val="16"/>
                <w:szCs w:val="16"/>
                <w:color w:val="auto"/>
              </w:rPr>
              <w:t>5.5%</w:t>
            </w:r>
          </w:p>
        </w:tc>
      </w:tr>
      <w:tr>
        <w:trPr>
          <w:trHeight w:val="42"/>
        </w:trPr>
        <w:tc>
          <w:tcPr>
            <w:tcW w:w="5420" w:type="dxa"/>
            <w:vAlign w:val="bottom"/>
            <w:tcBorders>
              <w:bottom w:val="single" w:sz="8" w:color="BCBEC0"/>
            </w:tcBorders>
          </w:tcPr>
          <w:p>
            <w:pPr>
              <w:spacing w:after="0"/>
              <w:rPr>
                <w:sz w:val="3"/>
                <w:szCs w:val="3"/>
                <w:color w:val="auto"/>
              </w:rPr>
            </w:pPr>
          </w:p>
        </w:tc>
        <w:tc>
          <w:tcPr>
            <w:tcW w:w="5340" w:type="dxa"/>
            <w:vAlign w:val="bottom"/>
            <w:tcBorders>
              <w:bottom w:val="single" w:sz="8" w:color="BCBEC0"/>
            </w:tcBorders>
          </w:tcPr>
          <w:p>
            <w:pPr>
              <w:spacing w:after="0"/>
              <w:rPr>
                <w:sz w:val="3"/>
                <w:szCs w:val="3"/>
                <w:color w:val="auto"/>
              </w:rPr>
            </w:pPr>
          </w:p>
        </w:tc>
      </w:tr>
      <w:tr>
        <w:trPr>
          <w:trHeight w:val="221"/>
        </w:trPr>
        <w:tc>
          <w:tcPr>
            <w:tcW w:w="5420" w:type="dxa"/>
            <w:vAlign w:val="bottom"/>
          </w:tcPr>
          <w:p>
            <w:pPr>
              <w:ind w:left="20"/>
              <w:spacing w:after="0"/>
              <w:rPr>
                <w:sz w:val="20"/>
                <w:szCs w:val="20"/>
                <w:color w:val="auto"/>
              </w:rPr>
            </w:pPr>
            <w:r>
              <w:rPr>
                <w:rFonts w:ascii="Arial" w:cs="Arial" w:eastAsia="Arial" w:hAnsi="Arial"/>
                <w:sz w:val="16"/>
                <w:szCs w:val="16"/>
                <w:color w:val="auto"/>
              </w:rPr>
              <w:t>35-44</w:t>
            </w:r>
          </w:p>
        </w:tc>
        <w:tc>
          <w:tcPr>
            <w:tcW w:w="5340" w:type="dxa"/>
            <w:vAlign w:val="bottom"/>
          </w:tcPr>
          <w:p>
            <w:pPr>
              <w:jc w:val="right"/>
              <w:spacing w:after="0"/>
              <w:rPr>
                <w:sz w:val="20"/>
                <w:szCs w:val="20"/>
                <w:color w:val="auto"/>
              </w:rPr>
            </w:pPr>
            <w:r>
              <w:rPr>
                <w:rFonts w:ascii="Arial" w:cs="Arial" w:eastAsia="Arial" w:hAnsi="Arial"/>
                <w:sz w:val="16"/>
                <w:szCs w:val="16"/>
                <w:color w:val="auto"/>
              </w:rPr>
              <w:t>7.0%</w:t>
            </w:r>
          </w:p>
        </w:tc>
      </w:tr>
      <w:tr>
        <w:trPr>
          <w:trHeight w:val="43"/>
        </w:trPr>
        <w:tc>
          <w:tcPr>
            <w:tcW w:w="5420" w:type="dxa"/>
            <w:vAlign w:val="bottom"/>
            <w:tcBorders>
              <w:bottom w:val="single" w:sz="8" w:color="BCBEC0"/>
            </w:tcBorders>
          </w:tcPr>
          <w:p>
            <w:pPr>
              <w:spacing w:after="0"/>
              <w:rPr>
                <w:sz w:val="3"/>
                <w:szCs w:val="3"/>
                <w:color w:val="auto"/>
              </w:rPr>
            </w:pPr>
          </w:p>
        </w:tc>
        <w:tc>
          <w:tcPr>
            <w:tcW w:w="5340" w:type="dxa"/>
            <w:vAlign w:val="bottom"/>
            <w:tcBorders>
              <w:bottom w:val="single" w:sz="8" w:color="BCBEC0"/>
            </w:tcBorders>
          </w:tcPr>
          <w:p>
            <w:pPr>
              <w:spacing w:after="0"/>
              <w:rPr>
                <w:sz w:val="3"/>
                <w:szCs w:val="3"/>
                <w:color w:val="auto"/>
              </w:rPr>
            </w:pPr>
          </w:p>
        </w:tc>
      </w:tr>
      <w:tr>
        <w:trPr>
          <w:trHeight w:val="221"/>
        </w:trPr>
        <w:tc>
          <w:tcPr>
            <w:tcW w:w="5420" w:type="dxa"/>
            <w:vAlign w:val="bottom"/>
          </w:tcPr>
          <w:p>
            <w:pPr>
              <w:ind w:left="20"/>
              <w:spacing w:after="0"/>
              <w:rPr>
                <w:sz w:val="20"/>
                <w:szCs w:val="20"/>
                <w:color w:val="auto"/>
              </w:rPr>
            </w:pPr>
            <w:r>
              <w:rPr>
                <w:rFonts w:ascii="Arial" w:cs="Arial" w:eastAsia="Arial" w:hAnsi="Arial"/>
                <w:sz w:val="16"/>
                <w:szCs w:val="16"/>
                <w:color w:val="auto"/>
              </w:rPr>
              <w:t>45-54</w:t>
            </w:r>
          </w:p>
        </w:tc>
        <w:tc>
          <w:tcPr>
            <w:tcW w:w="5340" w:type="dxa"/>
            <w:vAlign w:val="bottom"/>
          </w:tcPr>
          <w:p>
            <w:pPr>
              <w:jc w:val="right"/>
              <w:spacing w:after="0"/>
              <w:rPr>
                <w:sz w:val="20"/>
                <w:szCs w:val="20"/>
                <w:color w:val="auto"/>
              </w:rPr>
            </w:pPr>
            <w:r>
              <w:rPr>
                <w:rFonts w:ascii="Arial" w:cs="Arial" w:eastAsia="Arial" w:hAnsi="Arial"/>
                <w:sz w:val="16"/>
                <w:szCs w:val="16"/>
                <w:color w:val="auto"/>
              </w:rPr>
              <w:t>9.0%</w:t>
            </w:r>
          </w:p>
        </w:tc>
      </w:tr>
      <w:tr>
        <w:trPr>
          <w:trHeight w:val="43"/>
        </w:trPr>
        <w:tc>
          <w:tcPr>
            <w:tcW w:w="5420" w:type="dxa"/>
            <w:vAlign w:val="bottom"/>
            <w:tcBorders>
              <w:bottom w:val="single" w:sz="8" w:color="BCBEC0"/>
            </w:tcBorders>
          </w:tcPr>
          <w:p>
            <w:pPr>
              <w:spacing w:after="0"/>
              <w:rPr>
                <w:sz w:val="3"/>
                <w:szCs w:val="3"/>
                <w:color w:val="auto"/>
              </w:rPr>
            </w:pPr>
          </w:p>
        </w:tc>
        <w:tc>
          <w:tcPr>
            <w:tcW w:w="5340" w:type="dxa"/>
            <w:vAlign w:val="bottom"/>
            <w:tcBorders>
              <w:bottom w:val="single" w:sz="8" w:color="BCBEC0"/>
            </w:tcBorders>
          </w:tcPr>
          <w:p>
            <w:pPr>
              <w:spacing w:after="0"/>
              <w:rPr>
                <w:sz w:val="3"/>
                <w:szCs w:val="3"/>
                <w:color w:val="auto"/>
              </w:rPr>
            </w:pPr>
          </w:p>
        </w:tc>
      </w:tr>
      <w:tr>
        <w:trPr>
          <w:trHeight w:val="221"/>
        </w:trPr>
        <w:tc>
          <w:tcPr>
            <w:tcW w:w="5420" w:type="dxa"/>
            <w:vAlign w:val="bottom"/>
          </w:tcPr>
          <w:p>
            <w:pPr>
              <w:ind w:left="20"/>
              <w:spacing w:after="0"/>
              <w:rPr>
                <w:sz w:val="20"/>
                <w:szCs w:val="20"/>
                <w:color w:val="auto"/>
              </w:rPr>
            </w:pPr>
            <w:r>
              <w:rPr>
                <w:rFonts w:ascii="Arial" w:cs="Arial" w:eastAsia="Arial" w:hAnsi="Arial"/>
                <w:sz w:val="16"/>
                <w:szCs w:val="16"/>
                <w:color w:val="auto"/>
              </w:rPr>
              <w:t>55 or over</w:t>
            </w:r>
          </w:p>
        </w:tc>
        <w:tc>
          <w:tcPr>
            <w:tcW w:w="5340" w:type="dxa"/>
            <w:vAlign w:val="bottom"/>
          </w:tcPr>
          <w:p>
            <w:pPr>
              <w:jc w:val="right"/>
              <w:spacing w:after="0"/>
              <w:rPr>
                <w:sz w:val="20"/>
                <w:szCs w:val="20"/>
                <w:color w:val="auto"/>
              </w:rPr>
            </w:pPr>
            <w:r>
              <w:rPr>
                <w:rFonts w:ascii="Arial" w:cs="Arial" w:eastAsia="Arial" w:hAnsi="Arial"/>
                <w:sz w:val="16"/>
                <w:szCs w:val="16"/>
                <w:color w:val="auto"/>
              </w:rPr>
              <w:t>12.0%</w:t>
            </w:r>
          </w:p>
        </w:tc>
      </w:tr>
      <w:tr>
        <w:trPr>
          <w:trHeight w:val="42"/>
        </w:trPr>
        <w:tc>
          <w:tcPr>
            <w:tcW w:w="5420" w:type="dxa"/>
            <w:vAlign w:val="bottom"/>
            <w:tcBorders>
              <w:bottom w:val="single" w:sz="8" w:color="0C3471"/>
            </w:tcBorders>
          </w:tcPr>
          <w:p>
            <w:pPr>
              <w:spacing w:after="0"/>
              <w:rPr>
                <w:sz w:val="3"/>
                <w:szCs w:val="3"/>
                <w:color w:val="auto"/>
              </w:rPr>
            </w:pPr>
          </w:p>
        </w:tc>
        <w:tc>
          <w:tcPr>
            <w:tcW w:w="5340" w:type="dxa"/>
            <w:vAlign w:val="bottom"/>
            <w:tcBorders>
              <w:bottom w:val="single" w:sz="8" w:color="0C3471"/>
            </w:tcBorders>
          </w:tcPr>
          <w:p>
            <w:pPr>
              <w:spacing w:after="0"/>
              <w:rPr>
                <w:sz w:val="3"/>
                <w:szCs w:val="3"/>
                <w:color w:val="auto"/>
              </w:rPr>
            </w:pPr>
          </w:p>
        </w:tc>
      </w:tr>
    </w:tbl>
    <w:p>
      <w:pPr>
        <w:spacing w:after="0" w:line="188" w:lineRule="exact"/>
        <w:rPr>
          <w:sz w:val="20"/>
          <w:szCs w:val="20"/>
          <w:color w:val="auto"/>
        </w:rPr>
      </w:pPr>
    </w:p>
    <w:p>
      <w:pPr>
        <w:ind w:right="80"/>
        <w:spacing w:after="0" w:line="271" w:lineRule="auto"/>
        <w:rPr>
          <w:sz w:val="20"/>
          <w:szCs w:val="20"/>
          <w:color w:val="auto"/>
        </w:rPr>
      </w:pPr>
      <w:r>
        <w:rPr>
          <w:rFonts w:ascii="Arial" w:cs="Arial" w:eastAsia="Arial" w:hAnsi="Arial"/>
          <w:sz w:val="16"/>
          <w:szCs w:val="16"/>
          <w:color w:val="auto"/>
        </w:rPr>
        <w:t>The benefit percentages calculated above are added, and the resulting percentage is multiplied by the covered compensation amount. Benefits vested as of December 31, 2004 are payable after retirement in the form of a 15-year certain annuity or, at the participant’s option, a 100% joint and survivor annuity. Benefits earned after December 31, 2004 are payable after retirement in the form of a 15-year certain annuity. No additional benefits may be earned under the Restoration Plan after December 31, 2017.</w:t>
      </w:r>
    </w:p>
    <w:p>
      <w:pPr>
        <w:spacing w:after="0" w:line="73" w:lineRule="exact"/>
        <w:rPr>
          <w:sz w:val="20"/>
          <w:szCs w:val="20"/>
          <w:color w:val="auto"/>
        </w:rPr>
      </w:pPr>
    </w:p>
    <w:p>
      <w:pPr>
        <w:ind w:right="440"/>
        <w:spacing w:after="0" w:line="286" w:lineRule="auto"/>
        <w:rPr>
          <w:sz w:val="20"/>
          <w:szCs w:val="20"/>
          <w:color w:val="auto"/>
        </w:rPr>
      </w:pPr>
      <w:r>
        <w:rPr>
          <w:rFonts w:ascii="Arial" w:cs="Arial" w:eastAsia="Arial" w:hAnsi="Arial"/>
          <w:sz w:val="16"/>
          <w:szCs w:val="16"/>
          <w:color w:val="auto"/>
        </w:rPr>
        <w:t>The present value of the combined accumulated benefits for Mr. Stauch under both the SERP and the Restoration Plan is set forth in the 2025 Pension Benefits table.</w:t>
      </w:r>
    </w:p>
    <w:p>
      <w:pPr>
        <w:spacing w:after="0" w:line="286" w:lineRule="exact"/>
        <w:rPr>
          <w:sz w:val="20"/>
          <w:szCs w:val="20"/>
          <w:color w:val="auto"/>
        </w:rPr>
      </w:pPr>
    </w:p>
    <w:p>
      <w:pPr>
        <w:ind w:left="20"/>
        <w:spacing w:after="0"/>
        <w:rPr>
          <w:sz w:val="20"/>
          <w:szCs w:val="20"/>
          <w:color w:val="auto"/>
        </w:rPr>
      </w:pPr>
      <w:r>
        <w:rPr>
          <w:rFonts w:ascii="Arial" w:cs="Arial" w:eastAsia="Arial" w:hAnsi="Arial"/>
          <w:sz w:val="29"/>
          <w:szCs w:val="29"/>
          <w:color w:val="64A70B"/>
        </w:rPr>
        <w:t>The Pentair, Inc. Retirement Savings and Stock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99" w:lineRule="exact"/>
        <w:rPr>
          <w:sz w:val="20"/>
          <w:szCs w:val="20"/>
          <w:color w:val="auto"/>
        </w:rPr>
      </w:pPr>
    </w:p>
    <w:p>
      <w:pPr>
        <w:ind w:right="520"/>
        <w:spacing w:after="0" w:line="277" w:lineRule="auto"/>
        <w:rPr>
          <w:sz w:val="20"/>
          <w:szCs w:val="20"/>
          <w:color w:val="auto"/>
        </w:rPr>
      </w:pPr>
      <w:r>
        <w:rPr>
          <w:rFonts w:ascii="Arial" w:cs="Arial" w:eastAsia="Arial" w:hAnsi="Arial"/>
          <w:sz w:val="16"/>
          <w:szCs w:val="16"/>
          <w:color w:val="auto"/>
        </w:rPr>
        <w:t>The Pentair, Inc. Retirement Savings and Stock Incentive Plan (“RSIP”) is a tax-qualified 401(k) retirement savings plan. Participating employees may contribute up to 50% of base salary and incentive compensation on a before-tax basis and 15% of compensation on an after-tax basis, into their RSIP accounts. We match an amount equal to one dollar for each dollar contributed to the RSIP by participating employees on the first 5% of their regular earnings on a before-tax basis to incentivize employees to make contributions to our retirement plan.</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600" w:hanging="574"/>
        <w:spacing w:after="0"/>
        <w:tabs>
          <w:tab w:leader="none" w:pos="600" w:val="left"/>
        </w:tabs>
        <w:numPr>
          <w:ilvl w:val="0"/>
          <w:numId w:val="116"/>
        </w:numPr>
        <w:rPr>
          <w:rFonts w:ascii="Arial" w:cs="Arial" w:eastAsia="Arial" w:hAnsi="Arial"/>
          <w:sz w:val="16"/>
          <w:szCs w:val="16"/>
          <w:b w:val="1"/>
          <w:bCs w:val="1"/>
          <w:color w:val="auto"/>
        </w:rPr>
      </w:pPr>
      <w:r>
        <w:rPr>
          <w:rFonts w:ascii="Arial" w:cs="Arial" w:eastAsia="Arial" w:hAnsi="Arial"/>
          <w:sz w:val="16"/>
          <w:szCs w:val="16"/>
          <w:color w:val="auto"/>
        </w:rPr>
        <w:t xml:space="preserve">Pentair </w:t>
      </w:r>
      <w:r>
        <w:rPr>
          <w:rFonts w:ascii="Arial" w:cs="Arial" w:eastAsia="Arial" w:hAnsi="Arial"/>
          <w:sz w:val="16"/>
          <w:szCs w:val="16"/>
          <w:b w:val="1"/>
          <w:bCs w:val="1"/>
          <w:color w:val="0C3471"/>
        </w:rPr>
        <w:t>|</w:t>
      </w:r>
      <w:r>
        <w:rPr>
          <w:rFonts w:ascii="Arial" w:cs="Arial" w:eastAsia="Arial" w:hAnsi="Arial"/>
          <w:sz w:val="16"/>
          <w:szCs w:val="16"/>
          <w:color w:val="auto"/>
        </w:rPr>
        <w:t xml:space="preserve"> </w:t>
      </w:r>
      <w:r>
        <w:rPr>
          <w:rFonts w:ascii="Arial" w:cs="Arial" w:eastAsia="Arial" w:hAnsi="Arial"/>
          <w:sz w:val="16"/>
          <w:szCs w:val="16"/>
          <w:b w:val="1"/>
          <w:bCs w:val="1"/>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205105</wp:posOffset>
            </wp:positionV>
            <wp:extent cx="7157720" cy="425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64" w:name="page65"/>
    <w:bookmarkEnd w:id="64"/>
    <w:p>
      <w:pPr>
        <w:ind w:left="874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5274310</wp:posOffset>
            </wp:positionH>
            <wp:positionV relativeFrom="page">
              <wp:posOffset>106045</wp:posOffset>
            </wp:positionV>
            <wp:extent cx="102870" cy="11176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clrChange>
                        <a:clrFrom>
                          <a:srgbClr val="FFFFFF"/>
                        </a:clrFrom>
                        <a:clrTo>
                          <a:srgbClr val="FFFFFF">
                            <a:alpha val="0"/>
                          </a:srgbClr>
                        </a:clrTo>
                      </a:clrChange>
                      <a:extLst>
                        <a:ext uri="{28A0092B-C50C-407E-A947-70E740481C1C}"/>
                      </a:extLst>
                    </a:blip>
                    <a:srcRect/>
                    <a:stretch>
                      <a:fillRect/>
                    </a:stretch>
                  </pic:blipFill>
                  <pic:spPr bwMode="auto">
                    <a:xfrm>
                      <a:off x="0" y="0"/>
                      <a:ext cx="102870" cy="111760"/>
                    </a:xfrm>
                    <a:prstGeom prst="rect">
                      <a:avLst/>
                    </a:prstGeom>
                    <a:noFill/>
                  </pic:spPr>
                </pic:pic>
              </a:graphicData>
            </a:graphic>
          </wp:anchor>
        </w:drawing>
        <w:t>Executive Compensation Tables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6"/>
          <w:szCs w:val="16"/>
          <w:color w:val="auto"/>
        </w:rPr>
        <w:t>The RSIP limits the amount of cash compensation considered for contribution purposes to the maximum imposed by the Code, which was $23,500 in 2025.</w:t>
      </w:r>
    </w:p>
    <w:p>
      <w:pPr>
        <w:spacing w:after="0" w:line="140" w:lineRule="exact"/>
        <w:rPr>
          <w:sz w:val="20"/>
          <w:szCs w:val="20"/>
          <w:color w:val="auto"/>
        </w:rPr>
      </w:pPr>
    </w:p>
    <w:p>
      <w:pPr>
        <w:ind w:right="540"/>
        <w:spacing w:after="0" w:line="304" w:lineRule="auto"/>
        <w:rPr>
          <w:sz w:val="20"/>
          <w:szCs w:val="20"/>
          <w:color w:val="auto"/>
        </w:rPr>
      </w:pPr>
      <w:r>
        <w:rPr>
          <w:rFonts w:ascii="Arial" w:cs="Arial" w:eastAsia="Arial" w:hAnsi="Arial"/>
          <w:sz w:val="16"/>
          <w:szCs w:val="16"/>
          <w:color w:val="auto"/>
        </w:rPr>
        <w:t>Participants in the RSIP are allowed to invest their account balances in a number of possible mutual fund investments. Our ordinary shares are also a permitted investment choice under the RSIP.</w:t>
      </w:r>
    </w:p>
    <w:p>
      <w:pPr>
        <w:spacing w:after="0" w:line="60" w:lineRule="exact"/>
        <w:rPr>
          <w:sz w:val="20"/>
          <w:szCs w:val="20"/>
          <w:color w:val="auto"/>
        </w:rPr>
      </w:pPr>
    </w:p>
    <w:p>
      <w:pPr>
        <w:spacing w:after="0"/>
        <w:rPr>
          <w:sz w:val="20"/>
          <w:szCs w:val="20"/>
          <w:color w:val="auto"/>
        </w:rPr>
      </w:pPr>
      <w:r>
        <w:rPr>
          <w:rFonts w:ascii="Arial" w:cs="Arial" w:eastAsia="Arial" w:hAnsi="Arial"/>
          <w:sz w:val="16"/>
          <w:szCs w:val="16"/>
          <w:color w:val="auto"/>
        </w:rPr>
        <w:t>We do not guarantee or subsidize any investment earnings under the RSIP.</w:t>
      </w:r>
    </w:p>
    <w:p>
      <w:pPr>
        <w:spacing w:after="0" w:line="127" w:lineRule="exact"/>
        <w:rPr>
          <w:sz w:val="20"/>
          <w:szCs w:val="20"/>
          <w:color w:val="auto"/>
        </w:rPr>
      </w:pPr>
    </w:p>
    <w:p>
      <w:pPr>
        <w:ind w:right="280"/>
        <w:spacing w:after="0" w:line="301" w:lineRule="auto"/>
        <w:rPr>
          <w:sz w:val="20"/>
          <w:szCs w:val="20"/>
          <w:color w:val="auto"/>
        </w:rPr>
      </w:pPr>
      <w:r>
        <w:rPr>
          <w:rFonts w:ascii="Arial" w:cs="Arial" w:eastAsia="Arial" w:hAnsi="Arial"/>
          <w:sz w:val="16"/>
          <w:szCs w:val="16"/>
          <w:color w:val="auto"/>
        </w:rPr>
        <w:t>Amounts contributed, if any, under the RSIP by the Named Executive Officers are included in the “Salary” and “Non-Equity Incentive Plan Compensation” columns in the Summary Compensation Table. Amounts contributed by us to the RSIP for the Named Executive Officers are included in the “All Other Compensation” column in the Summary Compensation Table.</w:t>
      </w:r>
    </w:p>
    <w:p>
      <w:pPr>
        <w:spacing w:after="0" w:line="252" w:lineRule="exact"/>
        <w:rPr>
          <w:sz w:val="20"/>
          <w:szCs w:val="20"/>
          <w:color w:val="auto"/>
        </w:rPr>
      </w:pPr>
    </w:p>
    <w:p>
      <w:pPr>
        <w:spacing w:after="0"/>
        <w:rPr>
          <w:sz w:val="20"/>
          <w:szCs w:val="20"/>
          <w:color w:val="auto"/>
        </w:rPr>
      </w:pPr>
      <w:r>
        <w:rPr>
          <w:rFonts w:ascii="Arial" w:cs="Arial" w:eastAsia="Arial" w:hAnsi="Arial"/>
          <w:sz w:val="32"/>
          <w:szCs w:val="32"/>
          <w:color w:val="0C3471"/>
        </w:rPr>
        <w:t>2025 Non-Qualified Deferred Compensation Table</w:t>
      </w:r>
    </w:p>
    <w:p>
      <w:pPr>
        <w:spacing w:after="0" w:line="146" w:lineRule="exact"/>
        <w:rPr>
          <w:sz w:val="20"/>
          <w:szCs w:val="20"/>
          <w:color w:val="auto"/>
        </w:rPr>
      </w:pPr>
    </w:p>
    <w:p>
      <w:pPr>
        <w:ind w:right="20"/>
        <w:spacing w:after="0" w:line="282" w:lineRule="auto"/>
        <w:rPr>
          <w:sz w:val="20"/>
          <w:szCs w:val="20"/>
          <w:color w:val="auto"/>
        </w:rPr>
      </w:pPr>
      <w:r>
        <w:rPr>
          <w:rFonts w:ascii="Arial" w:cs="Arial" w:eastAsia="Arial" w:hAnsi="Arial"/>
          <w:sz w:val="16"/>
          <w:szCs w:val="16"/>
          <w:color w:val="auto"/>
        </w:rPr>
        <w:t>The following table sets forth the contributions, earnings, distributions and 2025 year-end balances for each of the Named Executive Officers under our Sidekick Plan described under “Compensation Discussion and Analysis – Retirement and Other Benefits – Deferred Compensation.” Contributions we make to the Sidekick Plan are intended to make up for contributions to our RSIP (including our matching contributions) for cash compensation above the maximum imposed by the Code, which was $23,500 in 2025. Because the Code does not permit contributions on amounts in excess of that limit under a tax-qualified plan, the Sidekick Plan is designed to permit matching contributions on compensation in excess of the maximum imposed by the Code. We make these matching contributions to the Sidekick Plan on amounts in excess of the maximum imposed by the Code, but below the $700,000 compensation limit contained in our Sidekick Plan (such contributions by a Named Executive Officer, “Covered Sidekick Compensation”).</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78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500" w:type="dxa"/>
            <w:vAlign w:val="bottom"/>
          </w:tcPr>
          <w:p>
            <w:pPr>
              <w:jc w:val="right"/>
              <w:ind w:right="264"/>
              <w:spacing w:after="0"/>
              <w:rPr>
                <w:sz w:val="20"/>
                <w:szCs w:val="20"/>
                <w:color w:val="auto"/>
              </w:rPr>
            </w:pPr>
            <w:r>
              <w:rPr>
                <w:rFonts w:ascii="Arial" w:cs="Arial" w:eastAsia="Arial" w:hAnsi="Arial"/>
                <w:sz w:val="14"/>
                <w:szCs w:val="14"/>
                <w:b w:val="1"/>
                <w:bCs w:val="1"/>
                <w:color w:val="auto"/>
              </w:rPr>
              <w:t>Aggregate</w:t>
            </w:r>
          </w:p>
        </w:tc>
        <w:tc>
          <w:tcPr>
            <w:tcW w:w="1280" w:type="dxa"/>
            <w:vAlign w:val="bottom"/>
          </w:tcPr>
          <w:p>
            <w:pPr>
              <w:jc w:val="right"/>
              <w:spacing w:after="0"/>
              <w:rPr>
                <w:sz w:val="20"/>
                <w:szCs w:val="20"/>
                <w:color w:val="auto"/>
              </w:rPr>
            </w:pPr>
            <w:r>
              <w:rPr>
                <w:rFonts w:ascii="Arial" w:cs="Arial" w:eastAsia="Arial" w:hAnsi="Arial"/>
                <w:sz w:val="14"/>
                <w:szCs w:val="14"/>
                <w:b w:val="1"/>
                <w:bCs w:val="1"/>
                <w:color w:val="auto"/>
              </w:rPr>
              <w:t>Aggregate</w:t>
            </w:r>
          </w:p>
        </w:tc>
      </w:tr>
      <w:tr>
        <w:trPr>
          <w:trHeight w:val="175"/>
        </w:trPr>
        <w:tc>
          <w:tcPr>
            <w:tcW w:w="2780" w:type="dxa"/>
            <w:vAlign w:val="bottom"/>
          </w:tcPr>
          <w:p>
            <w:pPr>
              <w:spacing w:after="0"/>
              <w:rPr>
                <w:sz w:val="15"/>
                <w:szCs w:val="15"/>
                <w:color w:val="auto"/>
              </w:rPr>
            </w:pPr>
          </w:p>
        </w:tc>
        <w:tc>
          <w:tcPr>
            <w:tcW w:w="2520" w:type="dxa"/>
            <w:vAlign w:val="bottom"/>
          </w:tcPr>
          <w:p>
            <w:pPr>
              <w:jc w:val="right"/>
              <w:ind w:right="203"/>
              <w:spacing w:after="0"/>
              <w:rPr>
                <w:sz w:val="20"/>
                <w:szCs w:val="20"/>
                <w:color w:val="auto"/>
              </w:rPr>
            </w:pPr>
            <w:r>
              <w:rPr>
                <w:rFonts w:ascii="Arial" w:cs="Arial" w:eastAsia="Arial" w:hAnsi="Arial"/>
                <w:sz w:val="14"/>
                <w:szCs w:val="14"/>
                <w:b w:val="1"/>
                <w:bCs w:val="1"/>
                <w:color w:val="auto"/>
              </w:rPr>
              <w:t>Executive</w:t>
            </w:r>
          </w:p>
        </w:tc>
        <w:tc>
          <w:tcPr>
            <w:tcW w:w="1500" w:type="dxa"/>
            <w:vAlign w:val="bottom"/>
          </w:tcPr>
          <w:p>
            <w:pPr>
              <w:jc w:val="right"/>
              <w:ind w:right="223"/>
              <w:spacing w:after="0"/>
              <w:rPr>
                <w:sz w:val="20"/>
                <w:szCs w:val="20"/>
                <w:color w:val="auto"/>
              </w:rPr>
            </w:pPr>
            <w:r>
              <w:rPr>
                <w:rFonts w:ascii="Arial" w:cs="Arial" w:eastAsia="Arial" w:hAnsi="Arial"/>
                <w:sz w:val="14"/>
                <w:szCs w:val="14"/>
                <w:b w:val="1"/>
                <w:bCs w:val="1"/>
                <w:color w:val="auto"/>
              </w:rPr>
              <w:t>Registrant</w:t>
            </w:r>
          </w:p>
        </w:tc>
        <w:tc>
          <w:tcPr>
            <w:tcW w:w="1660" w:type="dxa"/>
            <w:vAlign w:val="bottom"/>
          </w:tcPr>
          <w:p>
            <w:pPr>
              <w:jc w:val="right"/>
              <w:ind w:right="203"/>
              <w:spacing w:after="0"/>
              <w:rPr>
                <w:sz w:val="20"/>
                <w:szCs w:val="20"/>
                <w:color w:val="auto"/>
              </w:rPr>
            </w:pPr>
            <w:r>
              <w:rPr>
                <w:rFonts w:ascii="Arial" w:cs="Arial" w:eastAsia="Arial" w:hAnsi="Arial"/>
                <w:sz w:val="14"/>
                <w:szCs w:val="14"/>
                <w:b w:val="1"/>
                <w:bCs w:val="1"/>
                <w:color w:val="auto"/>
              </w:rPr>
              <w:t>Aggregate</w:t>
            </w:r>
          </w:p>
        </w:tc>
        <w:tc>
          <w:tcPr>
            <w:tcW w:w="1500" w:type="dxa"/>
            <w:vAlign w:val="bottom"/>
          </w:tcPr>
          <w:p>
            <w:pPr>
              <w:jc w:val="right"/>
              <w:ind w:right="264"/>
              <w:spacing w:after="0"/>
              <w:rPr>
                <w:sz w:val="20"/>
                <w:szCs w:val="20"/>
                <w:color w:val="auto"/>
              </w:rPr>
            </w:pPr>
            <w:r>
              <w:rPr>
                <w:rFonts w:ascii="Arial" w:cs="Arial" w:eastAsia="Arial" w:hAnsi="Arial"/>
                <w:sz w:val="14"/>
                <w:szCs w:val="14"/>
                <w:b w:val="1"/>
                <w:bCs w:val="1"/>
                <w:color w:val="auto"/>
              </w:rPr>
              <w:t>Withdrawals/</w:t>
            </w:r>
          </w:p>
        </w:tc>
        <w:tc>
          <w:tcPr>
            <w:tcW w:w="1280" w:type="dxa"/>
            <w:vAlign w:val="bottom"/>
          </w:tcPr>
          <w:p>
            <w:pPr>
              <w:jc w:val="right"/>
              <w:spacing w:after="0"/>
              <w:rPr>
                <w:sz w:val="20"/>
                <w:szCs w:val="20"/>
                <w:color w:val="auto"/>
              </w:rPr>
            </w:pPr>
            <w:r>
              <w:rPr>
                <w:rFonts w:ascii="Arial" w:cs="Arial" w:eastAsia="Arial" w:hAnsi="Arial"/>
                <w:sz w:val="14"/>
                <w:szCs w:val="14"/>
                <w:b w:val="1"/>
                <w:bCs w:val="1"/>
                <w:color w:val="auto"/>
              </w:rPr>
              <w:t>Balance at</w:t>
            </w:r>
          </w:p>
        </w:tc>
      </w:tr>
      <w:tr>
        <w:trPr>
          <w:trHeight w:val="176"/>
        </w:trPr>
        <w:tc>
          <w:tcPr>
            <w:tcW w:w="2780" w:type="dxa"/>
            <w:vAlign w:val="bottom"/>
          </w:tcPr>
          <w:p>
            <w:pPr>
              <w:spacing w:after="0"/>
              <w:rPr>
                <w:sz w:val="15"/>
                <w:szCs w:val="15"/>
                <w:color w:val="auto"/>
              </w:rPr>
            </w:pPr>
          </w:p>
        </w:tc>
        <w:tc>
          <w:tcPr>
            <w:tcW w:w="2520" w:type="dxa"/>
            <w:vAlign w:val="bottom"/>
          </w:tcPr>
          <w:p>
            <w:pPr>
              <w:jc w:val="right"/>
              <w:ind w:right="203"/>
              <w:spacing w:after="0"/>
              <w:rPr>
                <w:sz w:val="20"/>
                <w:szCs w:val="20"/>
                <w:color w:val="auto"/>
              </w:rPr>
            </w:pPr>
            <w:r>
              <w:rPr>
                <w:rFonts w:ascii="Arial" w:cs="Arial" w:eastAsia="Arial" w:hAnsi="Arial"/>
                <w:sz w:val="14"/>
                <w:szCs w:val="14"/>
                <w:b w:val="1"/>
                <w:bCs w:val="1"/>
                <w:color w:val="auto"/>
              </w:rPr>
              <w:t>Contributions</w:t>
            </w:r>
          </w:p>
        </w:tc>
        <w:tc>
          <w:tcPr>
            <w:tcW w:w="1500" w:type="dxa"/>
            <w:vAlign w:val="bottom"/>
          </w:tcPr>
          <w:p>
            <w:pPr>
              <w:jc w:val="right"/>
              <w:ind w:right="223"/>
              <w:spacing w:after="0"/>
              <w:rPr>
                <w:sz w:val="20"/>
                <w:szCs w:val="20"/>
                <w:color w:val="auto"/>
              </w:rPr>
            </w:pPr>
            <w:r>
              <w:rPr>
                <w:rFonts w:ascii="Arial" w:cs="Arial" w:eastAsia="Arial" w:hAnsi="Arial"/>
                <w:sz w:val="14"/>
                <w:szCs w:val="14"/>
                <w:b w:val="1"/>
                <w:bCs w:val="1"/>
                <w:color w:val="auto"/>
              </w:rPr>
              <w:t>Contributions</w:t>
            </w:r>
          </w:p>
        </w:tc>
        <w:tc>
          <w:tcPr>
            <w:tcW w:w="1660" w:type="dxa"/>
            <w:vAlign w:val="bottom"/>
          </w:tcPr>
          <w:p>
            <w:pPr>
              <w:jc w:val="right"/>
              <w:ind w:right="203"/>
              <w:spacing w:after="0"/>
              <w:rPr>
                <w:sz w:val="20"/>
                <w:szCs w:val="20"/>
                <w:color w:val="auto"/>
              </w:rPr>
            </w:pPr>
            <w:r>
              <w:rPr>
                <w:rFonts w:ascii="Arial" w:cs="Arial" w:eastAsia="Arial" w:hAnsi="Arial"/>
                <w:sz w:val="14"/>
                <w:szCs w:val="14"/>
                <w:b w:val="1"/>
                <w:bCs w:val="1"/>
                <w:color w:val="auto"/>
              </w:rPr>
              <w:t>Earnings/(Loss)</w:t>
            </w:r>
          </w:p>
        </w:tc>
        <w:tc>
          <w:tcPr>
            <w:tcW w:w="1500" w:type="dxa"/>
            <w:vAlign w:val="bottom"/>
          </w:tcPr>
          <w:p>
            <w:pPr>
              <w:jc w:val="right"/>
              <w:ind w:right="264"/>
              <w:spacing w:after="0"/>
              <w:rPr>
                <w:sz w:val="20"/>
                <w:szCs w:val="20"/>
                <w:color w:val="auto"/>
              </w:rPr>
            </w:pPr>
            <w:r>
              <w:rPr>
                <w:rFonts w:ascii="Arial" w:cs="Arial" w:eastAsia="Arial" w:hAnsi="Arial"/>
                <w:sz w:val="14"/>
                <w:szCs w:val="14"/>
                <w:b w:val="1"/>
                <w:bCs w:val="1"/>
                <w:color w:val="auto"/>
              </w:rPr>
              <w:t>Distributions</w:t>
            </w:r>
          </w:p>
        </w:tc>
        <w:tc>
          <w:tcPr>
            <w:tcW w:w="1280" w:type="dxa"/>
            <w:vAlign w:val="bottom"/>
          </w:tcPr>
          <w:p>
            <w:pPr>
              <w:jc w:val="right"/>
              <w:spacing w:after="0"/>
              <w:rPr>
                <w:sz w:val="20"/>
                <w:szCs w:val="20"/>
                <w:color w:val="auto"/>
              </w:rPr>
            </w:pPr>
            <w:r>
              <w:rPr>
                <w:rFonts w:ascii="Arial" w:cs="Arial" w:eastAsia="Arial" w:hAnsi="Arial"/>
                <w:sz w:val="14"/>
                <w:szCs w:val="14"/>
                <w:b w:val="1"/>
                <w:bCs w:val="1"/>
                <w:color w:val="auto"/>
              </w:rPr>
              <w:t>December 31,</w:t>
            </w:r>
          </w:p>
        </w:tc>
      </w:tr>
      <w:tr>
        <w:trPr>
          <w:trHeight w:val="162"/>
        </w:trPr>
        <w:tc>
          <w:tcPr>
            <w:tcW w:w="2780" w:type="dxa"/>
            <w:vAlign w:val="bottom"/>
          </w:tcPr>
          <w:p>
            <w:pPr>
              <w:spacing w:after="0"/>
              <w:rPr>
                <w:sz w:val="14"/>
                <w:szCs w:val="14"/>
                <w:color w:val="auto"/>
              </w:rPr>
            </w:pPr>
          </w:p>
        </w:tc>
        <w:tc>
          <w:tcPr>
            <w:tcW w:w="2520" w:type="dxa"/>
            <w:vAlign w:val="bottom"/>
          </w:tcPr>
          <w:p>
            <w:pPr>
              <w:jc w:val="right"/>
              <w:ind w:right="203"/>
              <w:spacing w:after="0"/>
              <w:rPr>
                <w:sz w:val="20"/>
                <w:szCs w:val="20"/>
                <w:color w:val="auto"/>
              </w:rPr>
            </w:pPr>
            <w:r>
              <w:rPr>
                <w:rFonts w:ascii="Arial" w:cs="Arial" w:eastAsia="Arial" w:hAnsi="Arial"/>
                <w:sz w:val="14"/>
                <w:szCs w:val="14"/>
                <w:b w:val="1"/>
                <w:bCs w:val="1"/>
                <w:color w:val="auto"/>
              </w:rPr>
              <w:t>in 2025</w:t>
            </w:r>
          </w:p>
        </w:tc>
        <w:tc>
          <w:tcPr>
            <w:tcW w:w="1500" w:type="dxa"/>
            <w:vAlign w:val="bottom"/>
          </w:tcPr>
          <w:p>
            <w:pPr>
              <w:jc w:val="right"/>
              <w:ind w:right="223"/>
              <w:spacing w:after="0"/>
              <w:rPr>
                <w:sz w:val="20"/>
                <w:szCs w:val="20"/>
                <w:color w:val="auto"/>
              </w:rPr>
            </w:pPr>
            <w:r>
              <w:rPr>
                <w:rFonts w:ascii="Arial" w:cs="Arial" w:eastAsia="Arial" w:hAnsi="Arial"/>
                <w:sz w:val="14"/>
                <w:szCs w:val="14"/>
                <w:b w:val="1"/>
                <w:bCs w:val="1"/>
                <w:color w:val="auto"/>
              </w:rPr>
              <w:t>in 2025</w:t>
            </w:r>
          </w:p>
        </w:tc>
        <w:tc>
          <w:tcPr>
            <w:tcW w:w="1660" w:type="dxa"/>
            <w:vAlign w:val="bottom"/>
          </w:tcPr>
          <w:p>
            <w:pPr>
              <w:jc w:val="right"/>
              <w:ind w:right="203"/>
              <w:spacing w:after="0"/>
              <w:rPr>
                <w:sz w:val="20"/>
                <w:szCs w:val="20"/>
                <w:color w:val="auto"/>
              </w:rPr>
            </w:pPr>
            <w:r>
              <w:rPr>
                <w:rFonts w:ascii="Arial" w:cs="Arial" w:eastAsia="Arial" w:hAnsi="Arial"/>
                <w:sz w:val="14"/>
                <w:szCs w:val="14"/>
                <w:b w:val="1"/>
                <w:bCs w:val="1"/>
                <w:color w:val="auto"/>
              </w:rPr>
              <w:t>in 2025</w:t>
            </w:r>
          </w:p>
        </w:tc>
        <w:tc>
          <w:tcPr>
            <w:tcW w:w="1500" w:type="dxa"/>
            <w:vAlign w:val="bottom"/>
          </w:tcPr>
          <w:p>
            <w:pPr>
              <w:jc w:val="right"/>
              <w:ind w:right="264"/>
              <w:spacing w:after="0"/>
              <w:rPr>
                <w:sz w:val="20"/>
                <w:szCs w:val="20"/>
                <w:color w:val="auto"/>
              </w:rPr>
            </w:pPr>
            <w:r>
              <w:rPr>
                <w:rFonts w:ascii="Arial" w:cs="Arial" w:eastAsia="Arial" w:hAnsi="Arial"/>
                <w:sz w:val="14"/>
                <w:szCs w:val="14"/>
                <w:b w:val="1"/>
                <w:bCs w:val="1"/>
                <w:color w:val="auto"/>
              </w:rPr>
              <w:t>in 2025</w:t>
            </w:r>
          </w:p>
        </w:tc>
        <w:tc>
          <w:tcPr>
            <w:tcW w:w="1280" w:type="dxa"/>
            <w:vAlign w:val="bottom"/>
          </w:tcPr>
          <w:p>
            <w:pPr>
              <w:jc w:val="right"/>
              <w:spacing w:after="0"/>
              <w:rPr>
                <w:sz w:val="20"/>
                <w:szCs w:val="20"/>
                <w:color w:val="auto"/>
              </w:rPr>
            </w:pPr>
            <w:r>
              <w:rPr>
                <w:rFonts w:ascii="Arial" w:cs="Arial" w:eastAsia="Arial" w:hAnsi="Arial"/>
                <w:sz w:val="14"/>
                <w:szCs w:val="14"/>
                <w:b w:val="1"/>
                <w:bCs w:val="1"/>
                <w:color w:val="auto"/>
              </w:rPr>
              <w:t>2025</w:t>
            </w:r>
          </w:p>
        </w:tc>
      </w:tr>
      <w:tr>
        <w:trPr>
          <w:trHeight w:val="211"/>
        </w:trPr>
        <w:tc>
          <w:tcPr>
            <w:tcW w:w="2780" w:type="dxa"/>
            <w:vAlign w:val="bottom"/>
            <w:tcBorders>
              <w:bottom w:val="single" w:sz="8" w:color="0C3471"/>
            </w:tcBorders>
          </w:tcPr>
          <w:p>
            <w:pPr>
              <w:ind w:left="20"/>
              <w:spacing w:after="0"/>
              <w:rPr>
                <w:sz w:val="20"/>
                <w:szCs w:val="20"/>
                <w:color w:val="auto"/>
              </w:rPr>
            </w:pPr>
            <w:r>
              <w:rPr>
                <w:rFonts w:ascii="Arial" w:cs="Arial" w:eastAsia="Arial" w:hAnsi="Arial"/>
                <w:sz w:val="14"/>
                <w:szCs w:val="14"/>
                <w:b w:val="1"/>
                <w:bCs w:val="1"/>
                <w:color w:val="auto"/>
              </w:rPr>
              <w:t>Name</w:t>
            </w:r>
          </w:p>
        </w:tc>
        <w:tc>
          <w:tcPr>
            <w:tcW w:w="2520" w:type="dxa"/>
            <w:vAlign w:val="bottom"/>
            <w:tcBorders>
              <w:bottom w:val="single" w:sz="8" w:color="0C3471"/>
            </w:tcBorders>
          </w:tcPr>
          <w:p>
            <w:pPr>
              <w:jc w:val="right"/>
              <w:ind w:right="203"/>
              <w:spacing w:after="0"/>
              <w:rPr>
                <w:sz w:val="20"/>
                <w:szCs w:val="20"/>
                <w:color w:val="auto"/>
              </w:rPr>
            </w:pPr>
            <w:r>
              <w:rPr>
                <w:rFonts w:ascii="Arial" w:cs="Arial" w:eastAsia="Arial" w:hAnsi="Arial"/>
                <w:sz w:val="14"/>
                <w:szCs w:val="14"/>
                <w:b w:val="1"/>
                <w:bCs w:val="1"/>
                <w:color w:val="auto"/>
              </w:rPr>
              <w:t>($)</w:t>
            </w:r>
          </w:p>
        </w:tc>
        <w:tc>
          <w:tcPr>
            <w:tcW w:w="1500" w:type="dxa"/>
            <w:vAlign w:val="bottom"/>
            <w:tcBorders>
              <w:bottom w:val="single" w:sz="8" w:color="0C3471"/>
            </w:tcBorders>
          </w:tcPr>
          <w:p>
            <w:pPr>
              <w:jc w:val="right"/>
              <w:ind w:right="223"/>
              <w:spacing w:after="0"/>
              <w:rPr>
                <w:sz w:val="20"/>
                <w:szCs w:val="20"/>
                <w:color w:val="auto"/>
              </w:rPr>
            </w:pPr>
            <w:r>
              <w:rPr>
                <w:rFonts w:ascii="Arial" w:cs="Arial" w:eastAsia="Arial" w:hAnsi="Arial"/>
                <w:sz w:val="14"/>
                <w:szCs w:val="14"/>
                <w:b w:val="1"/>
                <w:bCs w:val="1"/>
                <w:color w:val="auto"/>
              </w:rPr>
              <w:t>($)</w:t>
            </w:r>
          </w:p>
        </w:tc>
        <w:tc>
          <w:tcPr>
            <w:tcW w:w="1660" w:type="dxa"/>
            <w:vAlign w:val="bottom"/>
            <w:tcBorders>
              <w:bottom w:val="single" w:sz="8" w:color="0C3471"/>
            </w:tcBorders>
          </w:tcPr>
          <w:p>
            <w:pPr>
              <w:jc w:val="right"/>
              <w:ind w:right="203"/>
              <w:spacing w:after="0"/>
              <w:rPr>
                <w:sz w:val="20"/>
                <w:szCs w:val="20"/>
                <w:color w:val="auto"/>
              </w:rPr>
            </w:pPr>
            <w:r>
              <w:rPr>
                <w:rFonts w:ascii="Arial" w:cs="Arial" w:eastAsia="Arial" w:hAnsi="Arial"/>
                <w:sz w:val="14"/>
                <w:szCs w:val="14"/>
                <w:b w:val="1"/>
                <w:bCs w:val="1"/>
                <w:color w:val="auto"/>
              </w:rPr>
              <w:t>($)</w:t>
            </w:r>
          </w:p>
        </w:tc>
        <w:tc>
          <w:tcPr>
            <w:tcW w:w="1500" w:type="dxa"/>
            <w:vAlign w:val="bottom"/>
            <w:tcBorders>
              <w:bottom w:val="single" w:sz="8" w:color="0C3471"/>
            </w:tcBorders>
          </w:tcPr>
          <w:p>
            <w:pPr>
              <w:jc w:val="right"/>
              <w:ind w:right="264"/>
              <w:spacing w:after="0"/>
              <w:rPr>
                <w:sz w:val="20"/>
                <w:szCs w:val="20"/>
                <w:color w:val="auto"/>
              </w:rPr>
            </w:pPr>
            <w:r>
              <w:rPr>
                <w:rFonts w:ascii="Arial" w:cs="Arial" w:eastAsia="Arial" w:hAnsi="Arial"/>
                <w:sz w:val="14"/>
                <w:szCs w:val="14"/>
                <w:b w:val="1"/>
                <w:bCs w:val="1"/>
                <w:color w:val="auto"/>
              </w:rPr>
              <w:t>($)</w:t>
            </w:r>
          </w:p>
        </w:tc>
        <w:tc>
          <w:tcPr>
            <w:tcW w:w="1280" w:type="dxa"/>
            <w:vAlign w:val="bottom"/>
            <w:tcBorders>
              <w:bottom w:val="single" w:sz="8" w:color="0C3471"/>
            </w:tcBorders>
          </w:tcPr>
          <w:p>
            <w:pPr>
              <w:jc w:val="right"/>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9"/>
                <w:szCs w:val="9"/>
                <w:b w:val="1"/>
                <w:bCs w:val="1"/>
                <w:color w:val="auto"/>
              </w:rPr>
              <w:t>(1)</w:t>
            </w:r>
          </w:p>
        </w:tc>
      </w:tr>
      <w:tr>
        <w:trPr>
          <w:trHeight w:val="261"/>
        </w:trPr>
        <w:tc>
          <w:tcPr>
            <w:tcW w:w="2780" w:type="dxa"/>
            <w:vAlign w:val="bottom"/>
            <w:tcBorders>
              <w:bottom w:val="single" w:sz="8" w:color="BCBEC0"/>
            </w:tcBorders>
          </w:tcPr>
          <w:p>
            <w:pPr>
              <w:ind w:left="20"/>
              <w:spacing w:after="0"/>
              <w:rPr>
                <w:sz w:val="20"/>
                <w:szCs w:val="20"/>
                <w:color w:val="auto"/>
              </w:rPr>
            </w:pPr>
            <w:r>
              <w:rPr>
                <w:rFonts w:ascii="Arial" w:cs="Arial" w:eastAsia="Arial" w:hAnsi="Arial"/>
                <w:sz w:val="16"/>
                <w:szCs w:val="16"/>
                <w:b w:val="1"/>
                <w:bCs w:val="1"/>
                <w:color w:val="0C3471"/>
              </w:rPr>
              <w:t>John L. Stauch</w:t>
            </w:r>
          </w:p>
        </w:tc>
        <w:tc>
          <w:tcPr>
            <w:tcW w:w="2520" w:type="dxa"/>
            <w:vAlign w:val="bottom"/>
            <w:tcBorders>
              <w:bottom w:val="single" w:sz="8" w:color="BCBEC0"/>
            </w:tcBorders>
          </w:tcPr>
          <w:p>
            <w:pPr>
              <w:jc w:val="right"/>
              <w:ind w:right="243"/>
              <w:spacing w:after="0"/>
              <w:rPr>
                <w:sz w:val="20"/>
                <w:szCs w:val="20"/>
                <w:color w:val="auto"/>
              </w:rPr>
            </w:pPr>
            <w:r>
              <w:rPr>
                <w:rFonts w:ascii="Arial" w:cs="Arial" w:eastAsia="Arial" w:hAnsi="Arial"/>
                <w:sz w:val="16"/>
                <w:szCs w:val="16"/>
                <w:color w:val="auto"/>
              </w:rPr>
              <w:t>6,340,828</w:t>
            </w:r>
          </w:p>
        </w:tc>
        <w:tc>
          <w:tcPr>
            <w:tcW w:w="1500" w:type="dxa"/>
            <w:vAlign w:val="bottom"/>
            <w:tcBorders>
              <w:bottom w:val="single" w:sz="8" w:color="BCBEC0"/>
            </w:tcBorders>
          </w:tcPr>
          <w:p>
            <w:pPr>
              <w:jc w:val="right"/>
              <w:ind w:right="283"/>
              <w:spacing w:after="0"/>
              <w:rPr>
                <w:sz w:val="20"/>
                <w:szCs w:val="20"/>
                <w:color w:val="auto"/>
              </w:rPr>
            </w:pPr>
            <w:r>
              <w:rPr>
                <w:rFonts w:ascii="Arial" w:cs="Arial" w:eastAsia="Arial" w:hAnsi="Arial"/>
                <w:sz w:val="16"/>
                <w:szCs w:val="16"/>
                <w:color w:val="auto"/>
              </w:rPr>
              <w:t>17,750</w:t>
            </w:r>
          </w:p>
        </w:tc>
        <w:tc>
          <w:tcPr>
            <w:tcW w:w="1660" w:type="dxa"/>
            <w:vAlign w:val="bottom"/>
            <w:tcBorders>
              <w:bottom w:val="single" w:sz="8" w:color="BCBEC0"/>
            </w:tcBorders>
          </w:tcPr>
          <w:p>
            <w:pPr>
              <w:jc w:val="right"/>
              <w:ind w:right="263"/>
              <w:spacing w:after="0"/>
              <w:rPr>
                <w:sz w:val="20"/>
                <w:szCs w:val="20"/>
                <w:color w:val="auto"/>
              </w:rPr>
            </w:pPr>
            <w:r>
              <w:rPr>
                <w:rFonts w:ascii="Arial" w:cs="Arial" w:eastAsia="Arial" w:hAnsi="Arial"/>
                <w:sz w:val="16"/>
                <w:szCs w:val="16"/>
                <w:color w:val="auto"/>
              </w:rPr>
              <w:t>3,671,892</w:t>
            </w:r>
          </w:p>
        </w:tc>
        <w:tc>
          <w:tcPr>
            <w:tcW w:w="1500" w:type="dxa"/>
            <w:vAlign w:val="bottom"/>
            <w:tcBorders>
              <w:bottom w:val="single" w:sz="8" w:color="BCBEC0"/>
            </w:tcBorders>
          </w:tcPr>
          <w:p>
            <w:pPr>
              <w:jc w:val="right"/>
              <w:ind w:right="264"/>
              <w:spacing w:after="0"/>
              <w:rPr>
                <w:sz w:val="20"/>
                <w:szCs w:val="20"/>
                <w:color w:val="auto"/>
              </w:rPr>
            </w:pPr>
            <w:r>
              <w:rPr>
                <w:rFonts w:ascii="Arial" w:cs="Arial" w:eastAsia="Arial" w:hAnsi="Arial"/>
                <w:sz w:val="16"/>
                <w:szCs w:val="16"/>
                <w:color w:val="auto"/>
              </w:rPr>
              <w:t>(3,346,301)</w:t>
            </w:r>
          </w:p>
        </w:tc>
        <w:tc>
          <w:tcPr>
            <w:tcW w:w="1280" w:type="dxa"/>
            <w:vAlign w:val="bottom"/>
            <w:tcBorders>
              <w:bottom w:val="single" w:sz="8" w:color="BCBEC0"/>
            </w:tcBorders>
          </w:tcPr>
          <w:p>
            <w:pPr>
              <w:jc w:val="right"/>
              <w:ind w:right="4"/>
              <w:spacing w:after="0"/>
              <w:rPr>
                <w:sz w:val="20"/>
                <w:szCs w:val="20"/>
                <w:color w:val="auto"/>
              </w:rPr>
            </w:pPr>
            <w:r>
              <w:rPr>
                <w:rFonts w:ascii="Arial" w:cs="Arial" w:eastAsia="Arial" w:hAnsi="Arial"/>
                <w:sz w:val="16"/>
                <w:szCs w:val="16"/>
                <w:color w:val="auto"/>
              </w:rPr>
              <w:t>51,036,515</w:t>
            </w:r>
          </w:p>
        </w:tc>
      </w:tr>
      <w:tr>
        <w:trPr>
          <w:trHeight w:val="263"/>
        </w:trPr>
        <w:tc>
          <w:tcPr>
            <w:tcW w:w="2780" w:type="dxa"/>
            <w:vAlign w:val="bottom"/>
            <w:tcBorders>
              <w:bottom w:val="single" w:sz="8" w:color="BCBEC0"/>
            </w:tcBorders>
          </w:tcPr>
          <w:p>
            <w:pPr>
              <w:ind w:left="20"/>
              <w:spacing w:after="0"/>
              <w:rPr>
                <w:sz w:val="20"/>
                <w:szCs w:val="20"/>
                <w:color w:val="auto"/>
              </w:rPr>
            </w:pPr>
            <w:r>
              <w:rPr>
                <w:rFonts w:ascii="Arial" w:cs="Arial" w:eastAsia="Arial" w:hAnsi="Arial"/>
                <w:sz w:val="16"/>
                <w:szCs w:val="16"/>
                <w:b w:val="1"/>
                <w:bCs w:val="1"/>
                <w:color w:val="0C3471"/>
              </w:rPr>
              <w:t>Robert P. Fishman</w:t>
            </w:r>
          </w:p>
        </w:tc>
        <w:tc>
          <w:tcPr>
            <w:tcW w:w="2520" w:type="dxa"/>
            <w:vAlign w:val="bottom"/>
            <w:tcBorders>
              <w:bottom w:val="single" w:sz="8" w:color="BCBEC0"/>
            </w:tcBorders>
          </w:tcPr>
          <w:p>
            <w:pPr>
              <w:jc w:val="right"/>
              <w:ind w:right="243"/>
              <w:spacing w:after="0"/>
              <w:rPr>
                <w:sz w:val="20"/>
                <w:szCs w:val="20"/>
                <w:color w:val="auto"/>
              </w:rPr>
            </w:pPr>
            <w:r>
              <w:rPr>
                <w:rFonts w:ascii="Arial" w:cs="Arial" w:eastAsia="Arial" w:hAnsi="Arial"/>
                <w:sz w:val="16"/>
                <w:szCs w:val="16"/>
                <w:color w:val="auto"/>
              </w:rPr>
              <w:t>178,497</w:t>
            </w:r>
          </w:p>
        </w:tc>
        <w:tc>
          <w:tcPr>
            <w:tcW w:w="1500" w:type="dxa"/>
            <w:vAlign w:val="bottom"/>
            <w:tcBorders>
              <w:bottom w:val="single" w:sz="8" w:color="BCBEC0"/>
            </w:tcBorders>
          </w:tcPr>
          <w:p>
            <w:pPr>
              <w:jc w:val="right"/>
              <w:ind w:right="283"/>
              <w:spacing w:after="0"/>
              <w:rPr>
                <w:sz w:val="20"/>
                <w:szCs w:val="20"/>
                <w:color w:val="auto"/>
              </w:rPr>
            </w:pPr>
            <w:r>
              <w:rPr>
                <w:rFonts w:ascii="Arial" w:cs="Arial" w:eastAsia="Arial" w:hAnsi="Arial"/>
                <w:sz w:val="16"/>
                <w:szCs w:val="16"/>
                <w:color w:val="auto"/>
              </w:rPr>
              <w:t>18,343</w:t>
            </w:r>
          </w:p>
        </w:tc>
        <w:tc>
          <w:tcPr>
            <w:tcW w:w="1660" w:type="dxa"/>
            <w:vAlign w:val="bottom"/>
            <w:tcBorders>
              <w:bottom w:val="single" w:sz="8" w:color="BCBEC0"/>
            </w:tcBorders>
          </w:tcPr>
          <w:p>
            <w:pPr>
              <w:jc w:val="right"/>
              <w:ind w:right="263"/>
              <w:spacing w:after="0"/>
              <w:rPr>
                <w:sz w:val="20"/>
                <w:szCs w:val="20"/>
                <w:color w:val="auto"/>
              </w:rPr>
            </w:pPr>
            <w:r>
              <w:rPr>
                <w:rFonts w:ascii="Arial" w:cs="Arial" w:eastAsia="Arial" w:hAnsi="Arial"/>
                <w:sz w:val="16"/>
                <w:szCs w:val="16"/>
                <w:color w:val="auto"/>
              </w:rPr>
              <w:t>293,326</w:t>
            </w:r>
          </w:p>
        </w:tc>
        <w:tc>
          <w:tcPr>
            <w:tcW w:w="1500" w:type="dxa"/>
            <w:vAlign w:val="bottom"/>
            <w:tcBorders>
              <w:bottom w:val="single" w:sz="8" w:color="BCBEC0"/>
            </w:tcBorders>
          </w:tcPr>
          <w:p>
            <w:pPr>
              <w:jc w:val="right"/>
              <w:ind w:right="264"/>
              <w:spacing w:after="0"/>
              <w:rPr>
                <w:sz w:val="20"/>
                <w:szCs w:val="20"/>
                <w:color w:val="auto"/>
              </w:rPr>
            </w:pPr>
            <w:r>
              <w:rPr>
                <w:rFonts w:ascii="Arial" w:cs="Arial" w:eastAsia="Arial" w:hAnsi="Arial"/>
                <w:sz w:val="16"/>
                <w:szCs w:val="16"/>
                <w:color w:val="auto"/>
              </w:rPr>
              <w:t>(38,497)</w:t>
            </w:r>
          </w:p>
        </w:tc>
        <w:tc>
          <w:tcPr>
            <w:tcW w:w="1280" w:type="dxa"/>
            <w:vAlign w:val="bottom"/>
            <w:tcBorders>
              <w:bottom w:val="single" w:sz="8" w:color="BCBEC0"/>
            </w:tcBorders>
          </w:tcPr>
          <w:p>
            <w:pPr>
              <w:jc w:val="right"/>
              <w:ind w:right="4"/>
              <w:spacing w:after="0"/>
              <w:rPr>
                <w:sz w:val="20"/>
                <w:szCs w:val="20"/>
                <w:color w:val="auto"/>
              </w:rPr>
            </w:pPr>
            <w:r>
              <w:rPr>
                <w:rFonts w:ascii="Arial" w:cs="Arial" w:eastAsia="Arial" w:hAnsi="Arial"/>
                <w:sz w:val="16"/>
                <w:szCs w:val="16"/>
                <w:color w:val="auto"/>
              </w:rPr>
              <w:t>1,575,610</w:t>
            </w:r>
          </w:p>
        </w:tc>
      </w:tr>
      <w:tr>
        <w:trPr>
          <w:trHeight w:val="263"/>
        </w:trPr>
        <w:tc>
          <w:tcPr>
            <w:tcW w:w="2780" w:type="dxa"/>
            <w:vAlign w:val="bottom"/>
            <w:tcBorders>
              <w:bottom w:val="single" w:sz="8" w:color="BCBEC0"/>
            </w:tcBorders>
          </w:tcPr>
          <w:p>
            <w:pPr>
              <w:ind w:left="20"/>
              <w:spacing w:after="0"/>
              <w:rPr>
                <w:sz w:val="20"/>
                <w:szCs w:val="20"/>
                <w:color w:val="auto"/>
              </w:rPr>
            </w:pPr>
            <w:r>
              <w:rPr>
                <w:rFonts w:ascii="Arial" w:cs="Arial" w:eastAsia="Arial" w:hAnsi="Arial"/>
                <w:sz w:val="16"/>
                <w:szCs w:val="16"/>
                <w:b w:val="1"/>
                <w:bCs w:val="1"/>
                <w:color w:val="0C3471"/>
              </w:rPr>
              <w:t>Jerome O. Pedretti</w:t>
            </w:r>
          </w:p>
        </w:tc>
        <w:tc>
          <w:tcPr>
            <w:tcW w:w="2520" w:type="dxa"/>
            <w:vAlign w:val="bottom"/>
            <w:tcBorders>
              <w:bottom w:val="single" w:sz="8" w:color="BCBEC0"/>
            </w:tcBorders>
          </w:tcPr>
          <w:p>
            <w:pPr>
              <w:jc w:val="right"/>
              <w:ind w:right="243"/>
              <w:spacing w:after="0"/>
              <w:rPr>
                <w:sz w:val="20"/>
                <w:szCs w:val="20"/>
                <w:color w:val="auto"/>
              </w:rPr>
            </w:pPr>
            <w:r>
              <w:rPr>
                <w:rFonts w:ascii="Arial" w:cs="Arial" w:eastAsia="Arial" w:hAnsi="Arial"/>
                <w:sz w:val="16"/>
                <w:szCs w:val="16"/>
                <w:color w:val="auto"/>
              </w:rPr>
              <w:t>559,626</w:t>
            </w:r>
          </w:p>
        </w:tc>
        <w:tc>
          <w:tcPr>
            <w:tcW w:w="1500" w:type="dxa"/>
            <w:vAlign w:val="bottom"/>
            <w:tcBorders>
              <w:bottom w:val="single" w:sz="8" w:color="BCBEC0"/>
            </w:tcBorders>
          </w:tcPr>
          <w:p>
            <w:pPr>
              <w:jc w:val="right"/>
              <w:ind w:right="283"/>
              <w:spacing w:after="0"/>
              <w:rPr>
                <w:sz w:val="20"/>
                <w:szCs w:val="20"/>
                <w:color w:val="auto"/>
              </w:rPr>
            </w:pPr>
            <w:r>
              <w:rPr>
                <w:rFonts w:ascii="Arial" w:cs="Arial" w:eastAsia="Arial" w:hAnsi="Arial"/>
                <w:sz w:val="16"/>
                <w:szCs w:val="16"/>
                <w:color w:val="auto"/>
              </w:rPr>
              <w:t>17,750</w:t>
            </w:r>
          </w:p>
        </w:tc>
        <w:tc>
          <w:tcPr>
            <w:tcW w:w="1660" w:type="dxa"/>
            <w:vAlign w:val="bottom"/>
            <w:tcBorders>
              <w:bottom w:val="single" w:sz="8" w:color="BCBEC0"/>
            </w:tcBorders>
          </w:tcPr>
          <w:p>
            <w:pPr>
              <w:jc w:val="right"/>
              <w:ind w:right="263"/>
              <w:spacing w:after="0"/>
              <w:rPr>
                <w:sz w:val="20"/>
                <w:szCs w:val="20"/>
                <w:color w:val="auto"/>
              </w:rPr>
            </w:pPr>
            <w:r>
              <w:rPr>
                <w:rFonts w:ascii="Arial" w:cs="Arial" w:eastAsia="Arial" w:hAnsi="Arial"/>
                <w:sz w:val="16"/>
                <w:szCs w:val="16"/>
                <w:color w:val="auto"/>
              </w:rPr>
              <w:t>488,924</w:t>
            </w:r>
          </w:p>
        </w:tc>
        <w:tc>
          <w:tcPr>
            <w:tcW w:w="1500" w:type="dxa"/>
            <w:vAlign w:val="bottom"/>
            <w:tcBorders>
              <w:bottom w:val="single" w:sz="8" w:color="BCBEC0"/>
            </w:tcBorders>
          </w:tcPr>
          <w:p>
            <w:pPr>
              <w:jc w:val="right"/>
              <w:ind w:right="264"/>
              <w:spacing w:after="0"/>
              <w:rPr>
                <w:sz w:val="20"/>
                <w:szCs w:val="20"/>
                <w:color w:val="auto"/>
              </w:rPr>
            </w:pPr>
            <w:r>
              <w:rPr>
                <w:rFonts w:ascii="Arial" w:cs="Arial" w:eastAsia="Arial" w:hAnsi="Arial"/>
                <w:sz w:val="16"/>
                <w:szCs w:val="16"/>
                <w:color w:val="auto"/>
              </w:rPr>
              <w:t>(273,515)</w:t>
            </w:r>
          </w:p>
        </w:tc>
        <w:tc>
          <w:tcPr>
            <w:tcW w:w="1280" w:type="dxa"/>
            <w:vAlign w:val="bottom"/>
            <w:tcBorders>
              <w:bottom w:val="single" w:sz="8" w:color="BCBEC0"/>
            </w:tcBorders>
          </w:tcPr>
          <w:p>
            <w:pPr>
              <w:jc w:val="right"/>
              <w:ind w:right="4"/>
              <w:spacing w:after="0"/>
              <w:rPr>
                <w:sz w:val="20"/>
                <w:szCs w:val="20"/>
                <w:color w:val="auto"/>
              </w:rPr>
            </w:pPr>
            <w:r>
              <w:rPr>
                <w:rFonts w:ascii="Arial" w:cs="Arial" w:eastAsia="Arial" w:hAnsi="Arial"/>
                <w:sz w:val="16"/>
                <w:szCs w:val="16"/>
                <w:color w:val="auto"/>
              </w:rPr>
              <w:t>3,479,583</w:t>
            </w:r>
          </w:p>
        </w:tc>
      </w:tr>
      <w:tr>
        <w:trPr>
          <w:trHeight w:val="264"/>
        </w:trPr>
        <w:tc>
          <w:tcPr>
            <w:tcW w:w="2780" w:type="dxa"/>
            <w:vAlign w:val="bottom"/>
            <w:tcBorders>
              <w:bottom w:val="single" w:sz="8" w:color="BCBEC0"/>
            </w:tcBorders>
          </w:tcPr>
          <w:p>
            <w:pPr>
              <w:ind w:left="20"/>
              <w:spacing w:after="0"/>
              <w:rPr>
                <w:sz w:val="20"/>
                <w:szCs w:val="20"/>
                <w:color w:val="auto"/>
              </w:rPr>
            </w:pPr>
            <w:r>
              <w:rPr>
                <w:rFonts w:ascii="Arial" w:cs="Arial" w:eastAsia="Arial" w:hAnsi="Arial"/>
                <w:sz w:val="16"/>
                <w:szCs w:val="16"/>
                <w:b w:val="1"/>
                <w:bCs w:val="1"/>
                <w:color w:val="0C3471"/>
              </w:rPr>
              <w:t>De'Mon L. Wiggins</w:t>
            </w:r>
          </w:p>
        </w:tc>
        <w:tc>
          <w:tcPr>
            <w:tcW w:w="2520" w:type="dxa"/>
            <w:vAlign w:val="bottom"/>
            <w:tcBorders>
              <w:bottom w:val="single" w:sz="8" w:color="BCBEC0"/>
            </w:tcBorders>
          </w:tcPr>
          <w:p>
            <w:pPr>
              <w:jc w:val="right"/>
              <w:ind w:right="243"/>
              <w:spacing w:after="0"/>
              <w:rPr>
                <w:sz w:val="20"/>
                <w:szCs w:val="20"/>
                <w:color w:val="auto"/>
              </w:rPr>
            </w:pPr>
            <w:r>
              <w:rPr>
                <w:rFonts w:ascii="Arial" w:cs="Arial" w:eastAsia="Arial" w:hAnsi="Arial"/>
                <w:sz w:val="16"/>
                <w:szCs w:val="16"/>
                <w:color w:val="auto"/>
              </w:rPr>
              <w:t>151,379</w:t>
            </w:r>
          </w:p>
        </w:tc>
        <w:tc>
          <w:tcPr>
            <w:tcW w:w="1500" w:type="dxa"/>
            <w:vAlign w:val="bottom"/>
            <w:tcBorders>
              <w:bottom w:val="single" w:sz="8" w:color="BCBEC0"/>
            </w:tcBorders>
          </w:tcPr>
          <w:p>
            <w:pPr>
              <w:jc w:val="right"/>
              <w:ind w:right="283"/>
              <w:spacing w:after="0"/>
              <w:rPr>
                <w:sz w:val="20"/>
                <w:szCs w:val="20"/>
                <w:color w:val="auto"/>
              </w:rPr>
            </w:pPr>
            <w:r>
              <w:rPr>
                <w:rFonts w:ascii="Arial" w:cs="Arial" w:eastAsia="Arial" w:hAnsi="Arial"/>
                <w:sz w:val="16"/>
                <w:szCs w:val="16"/>
                <w:color w:val="auto"/>
              </w:rPr>
              <w:t>17,750</w:t>
            </w:r>
          </w:p>
        </w:tc>
        <w:tc>
          <w:tcPr>
            <w:tcW w:w="1660" w:type="dxa"/>
            <w:vAlign w:val="bottom"/>
            <w:tcBorders>
              <w:bottom w:val="single" w:sz="8" w:color="BCBEC0"/>
            </w:tcBorders>
          </w:tcPr>
          <w:p>
            <w:pPr>
              <w:jc w:val="right"/>
              <w:ind w:right="263"/>
              <w:spacing w:after="0"/>
              <w:rPr>
                <w:sz w:val="20"/>
                <w:szCs w:val="20"/>
                <w:color w:val="auto"/>
              </w:rPr>
            </w:pPr>
            <w:r>
              <w:rPr>
                <w:rFonts w:ascii="Arial" w:cs="Arial" w:eastAsia="Arial" w:hAnsi="Arial"/>
                <w:sz w:val="16"/>
                <w:szCs w:val="16"/>
                <w:color w:val="auto"/>
              </w:rPr>
              <w:t>96,471</w:t>
            </w:r>
          </w:p>
        </w:tc>
        <w:tc>
          <w:tcPr>
            <w:tcW w:w="1500" w:type="dxa"/>
            <w:vAlign w:val="bottom"/>
            <w:tcBorders>
              <w:bottom w:val="single" w:sz="8" w:color="BCBEC0"/>
            </w:tcBorders>
          </w:tcPr>
          <w:p>
            <w:pPr>
              <w:jc w:val="right"/>
              <w:ind w:right="304"/>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BCBEC0"/>
            </w:tcBorders>
          </w:tcPr>
          <w:p>
            <w:pPr>
              <w:jc w:val="right"/>
              <w:ind w:right="4"/>
              <w:spacing w:after="0"/>
              <w:rPr>
                <w:sz w:val="20"/>
                <w:szCs w:val="20"/>
                <w:color w:val="auto"/>
              </w:rPr>
            </w:pPr>
            <w:r>
              <w:rPr>
                <w:rFonts w:ascii="Arial" w:cs="Arial" w:eastAsia="Arial" w:hAnsi="Arial"/>
                <w:sz w:val="16"/>
                <w:szCs w:val="16"/>
                <w:color w:val="auto"/>
              </w:rPr>
              <w:t>579,034</w:t>
            </w:r>
          </w:p>
        </w:tc>
      </w:tr>
      <w:tr>
        <w:trPr>
          <w:trHeight w:val="263"/>
        </w:trPr>
        <w:tc>
          <w:tcPr>
            <w:tcW w:w="2780" w:type="dxa"/>
            <w:vAlign w:val="bottom"/>
            <w:tcBorders>
              <w:bottom w:val="single" w:sz="8" w:color="0C3471"/>
            </w:tcBorders>
          </w:tcPr>
          <w:p>
            <w:pPr>
              <w:ind w:left="20"/>
              <w:spacing w:after="0"/>
              <w:rPr>
                <w:sz w:val="20"/>
                <w:szCs w:val="20"/>
                <w:color w:val="auto"/>
              </w:rPr>
            </w:pPr>
            <w:r>
              <w:rPr>
                <w:rFonts w:ascii="Arial" w:cs="Arial" w:eastAsia="Arial" w:hAnsi="Arial"/>
                <w:sz w:val="16"/>
                <w:szCs w:val="16"/>
                <w:b w:val="1"/>
                <w:bCs w:val="1"/>
                <w:color w:val="0C3471"/>
              </w:rPr>
              <w:t>Adrian C. Chiu</w:t>
            </w:r>
          </w:p>
        </w:tc>
        <w:tc>
          <w:tcPr>
            <w:tcW w:w="2520" w:type="dxa"/>
            <w:vAlign w:val="bottom"/>
            <w:tcBorders>
              <w:bottom w:val="single" w:sz="8" w:color="0C3471"/>
            </w:tcBorders>
          </w:tcPr>
          <w:p>
            <w:pPr>
              <w:jc w:val="right"/>
              <w:ind w:right="243"/>
              <w:spacing w:after="0"/>
              <w:rPr>
                <w:sz w:val="20"/>
                <w:szCs w:val="20"/>
                <w:color w:val="auto"/>
              </w:rPr>
            </w:pPr>
            <w:r>
              <w:rPr>
                <w:rFonts w:ascii="Arial" w:cs="Arial" w:eastAsia="Arial" w:hAnsi="Arial"/>
                <w:sz w:val="16"/>
                <w:szCs w:val="16"/>
                <w:color w:val="auto"/>
              </w:rPr>
              <w:t>665,221</w:t>
            </w:r>
          </w:p>
        </w:tc>
        <w:tc>
          <w:tcPr>
            <w:tcW w:w="1500" w:type="dxa"/>
            <w:vAlign w:val="bottom"/>
            <w:tcBorders>
              <w:bottom w:val="single" w:sz="8" w:color="0C3471"/>
            </w:tcBorders>
          </w:tcPr>
          <w:p>
            <w:pPr>
              <w:jc w:val="right"/>
              <w:ind w:right="283"/>
              <w:spacing w:after="0"/>
              <w:rPr>
                <w:sz w:val="20"/>
                <w:szCs w:val="20"/>
                <w:color w:val="auto"/>
              </w:rPr>
            </w:pPr>
            <w:r>
              <w:rPr>
                <w:rFonts w:ascii="Arial" w:cs="Arial" w:eastAsia="Arial" w:hAnsi="Arial"/>
                <w:sz w:val="16"/>
                <w:szCs w:val="16"/>
                <w:color w:val="auto"/>
              </w:rPr>
              <w:t>17,750</w:t>
            </w:r>
          </w:p>
        </w:tc>
        <w:tc>
          <w:tcPr>
            <w:tcW w:w="1660" w:type="dxa"/>
            <w:vAlign w:val="bottom"/>
            <w:tcBorders>
              <w:bottom w:val="single" w:sz="8" w:color="0C3471"/>
            </w:tcBorders>
          </w:tcPr>
          <w:p>
            <w:pPr>
              <w:jc w:val="right"/>
              <w:ind w:right="263"/>
              <w:spacing w:after="0"/>
              <w:rPr>
                <w:sz w:val="20"/>
                <w:szCs w:val="20"/>
                <w:color w:val="auto"/>
              </w:rPr>
            </w:pPr>
            <w:r>
              <w:rPr>
                <w:rFonts w:ascii="Arial" w:cs="Arial" w:eastAsia="Arial" w:hAnsi="Arial"/>
                <w:sz w:val="16"/>
                <w:szCs w:val="16"/>
                <w:color w:val="auto"/>
              </w:rPr>
              <w:t>268,111</w:t>
            </w:r>
          </w:p>
        </w:tc>
        <w:tc>
          <w:tcPr>
            <w:tcW w:w="1500" w:type="dxa"/>
            <w:vAlign w:val="bottom"/>
            <w:tcBorders>
              <w:bottom w:val="single" w:sz="8" w:color="0C3471"/>
            </w:tcBorders>
          </w:tcPr>
          <w:p>
            <w:pPr>
              <w:jc w:val="right"/>
              <w:ind w:right="304"/>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0C3471"/>
            </w:tcBorders>
          </w:tcPr>
          <w:p>
            <w:pPr>
              <w:jc w:val="right"/>
              <w:ind w:right="4"/>
              <w:spacing w:after="0"/>
              <w:rPr>
                <w:sz w:val="20"/>
                <w:szCs w:val="20"/>
                <w:color w:val="auto"/>
              </w:rPr>
            </w:pPr>
            <w:r>
              <w:rPr>
                <w:rFonts w:ascii="Arial" w:cs="Arial" w:eastAsia="Arial" w:hAnsi="Arial"/>
                <w:sz w:val="16"/>
                <w:szCs w:val="16"/>
                <w:color w:val="auto"/>
              </w:rPr>
              <w:t>2,355,453</w:t>
            </w:r>
          </w:p>
        </w:tc>
      </w:tr>
    </w:tbl>
    <w:p>
      <w:pPr>
        <w:spacing w:after="0" w:line="180" w:lineRule="exact"/>
        <w:rPr>
          <w:sz w:val="20"/>
          <w:szCs w:val="20"/>
          <w:color w:val="auto"/>
        </w:rPr>
      </w:pPr>
    </w:p>
    <w:p>
      <w:pPr>
        <w:ind w:left="200" w:right="180" w:hanging="192"/>
        <w:spacing w:after="0" w:line="239" w:lineRule="auto"/>
        <w:tabs>
          <w:tab w:leader="none" w:pos="228" w:val="left"/>
        </w:tabs>
        <w:numPr>
          <w:ilvl w:val="0"/>
          <w:numId w:val="117"/>
        </w:numPr>
        <w:rPr>
          <w:rFonts w:ascii="Arial" w:cs="Arial" w:eastAsia="Arial" w:hAnsi="Arial"/>
          <w:sz w:val="19"/>
          <w:szCs w:val="19"/>
          <w:color w:val="auto"/>
          <w:vertAlign w:val="superscript"/>
        </w:rPr>
      </w:pPr>
      <w:r>
        <w:rPr>
          <w:rFonts w:ascii="Arial" w:cs="Arial" w:eastAsia="Arial" w:hAnsi="Arial"/>
          <w:sz w:val="14"/>
          <w:szCs w:val="14"/>
          <w:color w:val="auto"/>
        </w:rPr>
        <w:t>Amounts deferred under the Sidekick Plan that have also been reported in the Summary Compensation Table for fiscal year 2025 or prior years for each Named Executive Officer are: Mr. Stauch — $31,900,090; Mr. Fishman — $1,068,226; Mr. Pedretti — $3,056,753; Mr. Wiggins — $330,292; and Mr. Chiu — $1,274,649.</w:t>
      </w:r>
    </w:p>
    <w:p>
      <w:pPr>
        <w:spacing w:after="0" w:line="90" w:lineRule="exact"/>
        <w:rPr>
          <w:sz w:val="20"/>
          <w:szCs w:val="20"/>
          <w:color w:val="auto"/>
        </w:rPr>
      </w:pPr>
    </w:p>
    <w:p>
      <w:pPr>
        <w:ind w:right="420"/>
        <w:spacing w:after="0" w:line="321" w:lineRule="auto"/>
        <w:rPr>
          <w:sz w:val="20"/>
          <w:szCs w:val="20"/>
          <w:color w:val="auto"/>
        </w:rPr>
      </w:pPr>
      <w:r>
        <w:rPr>
          <w:rFonts w:ascii="Arial" w:cs="Arial" w:eastAsia="Arial" w:hAnsi="Arial"/>
          <w:sz w:val="16"/>
          <w:szCs w:val="16"/>
          <w:color w:val="auto"/>
        </w:rPr>
        <w:t>The amounts set forth in the column “Executive Contributions in 2025” reflect the amount of cash compensation, performance stock units and restricted stock units each Named Executive Officer deferred in 2025 under the Sidekick Plan.</w:t>
      </w:r>
    </w:p>
    <w:p>
      <w:pPr>
        <w:spacing w:after="0" w:line="48" w:lineRule="exact"/>
        <w:rPr>
          <w:sz w:val="20"/>
          <w:szCs w:val="20"/>
          <w:color w:val="auto"/>
        </w:rPr>
      </w:pPr>
    </w:p>
    <w:p>
      <w:pPr>
        <w:spacing w:after="0" w:line="282" w:lineRule="auto"/>
        <w:rPr>
          <w:sz w:val="20"/>
          <w:szCs w:val="20"/>
          <w:color w:val="auto"/>
        </w:rPr>
      </w:pPr>
      <w:r>
        <w:rPr>
          <w:rFonts w:ascii="Arial" w:cs="Arial" w:eastAsia="Arial" w:hAnsi="Arial"/>
          <w:sz w:val="16"/>
          <w:szCs w:val="16"/>
          <w:color w:val="auto"/>
        </w:rPr>
        <w:t>The amounts set forth in the column “Registrant Contributions in 2025” are the totals of contributions we made in 2025 under the Sidekick Plan for the account of each Named Executive Officer. These amounts, in addition to contributions we made under the RSIP, are included in the Summary Compensation Table above in the column labeled “All Other Compensation.” The contributions we made are derived from matching contributions equal to one dollar for each dollar contributed up to 5% of Covered Sidekick Compensation deferred in 2024 by each Named Executive Officer; we normally make these contributions one year in arrears.</w:t>
      </w:r>
    </w:p>
    <w:p>
      <w:pPr>
        <w:spacing w:after="0" w:line="80" w:lineRule="exact"/>
        <w:rPr>
          <w:sz w:val="20"/>
          <w:szCs w:val="20"/>
          <w:color w:val="auto"/>
        </w:rPr>
      </w:pPr>
    </w:p>
    <w:p>
      <w:pPr>
        <w:ind w:right="440"/>
        <w:spacing w:after="0" w:line="304" w:lineRule="auto"/>
        <w:rPr>
          <w:sz w:val="20"/>
          <w:szCs w:val="20"/>
          <w:color w:val="auto"/>
        </w:rPr>
      </w:pPr>
      <w:r>
        <w:rPr>
          <w:rFonts w:ascii="Arial" w:cs="Arial" w:eastAsia="Arial" w:hAnsi="Arial"/>
          <w:sz w:val="16"/>
          <w:szCs w:val="16"/>
          <w:color w:val="auto"/>
        </w:rPr>
        <w:t>The amounts set forth in the column “Aggregate Earnings/(Loss) in 2025” reflect the amount of investment earnings realized by each Named Executive Officer on the investments chosen that are offered to participants in our RSIP and Sidekick Plan.</w:t>
      </w:r>
    </w:p>
    <w:p>
      <w:pPr>
        <w:spacing w:after="0" w:line="60" w:lineRule="exact"/>
        <w:rPr>
          <w:sz w:val="20"/>
          <w:szCs w:val="20"/>
          <w:color w:val="auto"/>
        </w:rPr>
      </w:pPr>
    </w:p>
    <w:p>
      <w:pPr>
        <w:ind w:right="420"/>
        <w:spacing w:after="0" w:line="304" w:lineRule="auto"/>
        <w:rPr>
          <w:sz w:val="20"/>
          <w:szCs w:val="20"/>
          <w:color w:val="auto"/>
        </w:rPr>
      </w:pPr>
      <w:r>
        <w:rPr>
          <w:rFonts w:ascii="Arial" w:cs="Arial" w:eastAsia="Arial" w:hAnsi="Arial"/>
          <w:sz w:val="16"/>
          <w:szCs w:val="16"/>
          <w:color w:val="auto"/>
        </w:rPr>
        <w:t>Fidelity Investments Institutional Services Co. provides these investment vehicles for participants and handles all allocation and accounting services for these plans. We do not guarantee or subsidize any investment earnings in either plan.</w:t>
      </w:r>
    </w:p>
    <w:p>
      <w:pPr>
        <w:spacing w:after="0" w:line="60" w:lineRule="exact"/>
        <w:rPr>
          <w:sz w:val="20"/>
          <w:szCs w:val="20"/>
          <w:color w:val="auto"/>
        </w:rPr>
      </w:pPr>
    </w:p>
    <w:p>
      <w:pPr>
        <w:ind w:right="500"/>
        <w:spacing w:after="0" w:line="321" w:lineRule="auto"/>
        <w:rPr>
          <w:sz w:val="20"/>
          <w:szCs w:val="20"/>
          <w:color w:val="auto"/>
        </w:rPr>
      </w:pPr>
      <w:r>
        <w:rPr>
          <w:rFonts w:ascii="Arial" w:cs="Arial" w:eastAsia="Arial" w:hAnsi="Arial"/>
          <w:sz w:val="16"/>
          <w:szCs w:val="16"/>
          <w:color w:val="auto"/>
        </w:rPr>
        <w:t>Amounts deferred under the Sidekick Plan are generally distributed on or after the earliest of the participant’s separation from service, the participant’s disability, a change in control, or a specified date elected by the participant.</w:t>
      </w:r>
    </w:p>
    <w:p>
      <w:pPr>
        <w:spacing w:after="0" w:line="200" w:lineRule="exact"/>
        <w:rPr>
          <w:sz w:val="20"/>
          <w:szCs w:val="20"/>
          <w:color w:val="auto"/>
        </w:rPr>
      </w:pP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10780" w:type="dxa"/>
            <w:vAlign w:val="bottom"/>
          </w:tcPr>
          <w:p>
            <w:pPr>
              <w:ind w:left="8260"/>
              <w:spacing w:after="0"/>
              <w:rPr>
                <w:sz w:val="20"/>
                <w:szCs w:val="20"/>
                <w:color w:val="auto"/>
              </w:rPr>
            </w:pPr>
            <w:r>
              <w:rPr>
                <w:rFonts w:ascii="Arial" w:cs="Arial" w:eastAsia="Arial" w:hAnsi="Arial"/>
                <w:sz w:val="16"/>
                <w:szCs w:val="16"/>
                <w:b w:val="1"/>
                <w:bCs w:val="1"/>
                <w:color w:val="auto"/>
              </w:rPr>
              <w:t xml:space="preserve">2026 Proxy Statement </w:t>
            </w:r>
            <w:r>
              <w:rPr>
                <w:rFonts w:ascii="Arial" w:cs="Arial" w:eastAsia="Arial" w:hAnsi="Arial"/>
                <w:sz w:val="16"/>
                <w:szCs w:val="16"/>
                <w:b w:val="1"/>
                <w:bCs w:val="1"/>
                <w:color w:val="0C3471"/>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Pentair</w:t>
            </w:r>
          </w:p>
        </w:tc>
        <w:tc>
          <w:tcPr>
            <w:tcW w:w="460" w:type="dxa"/>
            <w:vAlign w:val="bottom"/>
          </w:tcPr>
          <w:p>
            <w:pPr>
              <w:jc w:val="right"/>
              <w:spacing w:after="0"/>
              <w:rPr>
                <w:sz w:val="20"/>
                <w:szCs w:val="20"/>
                <w:color w:val="auto"/>
              </w:rPr>
            </w:pPr>
            <w:r>
              <w:rPr>
                <w:rFonts w:ascii="Arial" w:cs="Arial" w:eastAsia="Arial" w:hAnsi="Arial"/>
                <w:sz w:val="16"/>
                <w:szCs w:val="16"/>
                <w:b w:val="1"/>
                <w:bCs w:val="1"/>
                <w:color w:val="auto"/>
              </w:rPr>
              <w:t>63</w:t>
            </w:r>
          </w:p>
        </w:tc>
      </w:tr>
      <w:tr>
        <w:trPr>
          <w:trHeight w:val="311"/>
        </w:trPr>
        <w:tc>
          <w:tcPr>
            <w:tcW w:w="107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65" w:name="page66"/>
    <w:bookmarkEnd w:id="65"/>
    <w:p>
      <w:pPr>
        <w:ind w:left="36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216535</wp:posOffset>
            </wp:positionH>
            <wp:positionV relativeFrom="page">
              <wp:posOffset>106045</wp:posOffset>
            </wp:positionV>
            <wp:extent cx="102870" cy="11176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clrChange>
                        <a:clrFrom>
                          <a:srgbClr val="FFFFFF"/>
                        </a:clrFrom>
                        <a:clrTo>
                          <a:srgbClr val="FFFFFF">
                            <a:alpha val="0"/>
                          </a:srgbClr>
                        </a:clrTo>
                      </a:clrChange>
                      <a:extLst>
                        <a:ext uri="{28A0092B-C50C-407E-A947-70E740481C1C}"/>
                      </a:extLst>
                    </a:blip>
                    <a:srcRect/>
                    <a:stretch>
                      <a:fillRect/>
                    </a:stretch>
                  </pic:blipFill>
                  <pic:spPr bwMode="auto">
                    <a:xfrm>
                      <a:off x="0" y="0"/>
                      <a:ext cx="102870" cy="111760"/>
                    </a:xfrm>
                    <a:prstGeom prst="rect">
                      <a:avLst/>
                    </a:prstGeom>
                    <a:noFill/>
                  </pic:spPr>
                </pic:pic>
              </a:graphicData>
            </a:graphic>
          </wp:anchor>
        </w:drawing>
        <w:t>Executive Compensation Tables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32"/>
          <w:szCs w:val="32"/>
          <w:color w:val="0C3471"/>
        </w:rPr>
        <w:t>Potential Payments Upon Termination or Change in Control</w:t>
      </w:r>
    </w:p>
    <w:p>
      <w:pPr>
        <w:spacing w:after="0" w:line="357" w:lineRule="exact"/>
        <w:rPr>
          <w:sz w:val="20"/>
          <w:szCs w:val="20"/>
          <w:color w:val="auto"/>
        </w:rPr>
      </w:pPr>
    </w:p>
    <w:p>
      <w:pPr>
        <w:ind w:left="20"/>
        <w:spacing w:after="0"/>
        <w:rPr>
          <w:sz w:val="20"/>
          <w:szCs w:val="20"/>
          <w:color w:val="auto"/>
        </w:rPr>
      </w:pPr>
      <w:r>
        <w:rPr>
          <w:rFonts w:ascii="Arial" w:cs="Arial" w:eastAsia="Arial" w:hAnsi="Arial"/>
          <w:sz w:val="29"/>
          <w:szCs w:val="29"/>
          <w:color w:val="64A70B"/>
        </w:rPr>
        <w:t>Executive Officer Severance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13"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In December 2020, the Compensation Committee recommended, and the independent members of the Board approved, the Executive Severance Plan, which became effective January 1, 2021. Under the Executive Severance Plan, our executives, including our Named Executive Officers, are eligible to receive severance benefits in the event of a qualifying termination of employment to the extent the terms and conditions of the Executive Severance Plan are satisfied. A qualifying termination occurs in the event of an executive’s involuntary termination without cause or resignation for good reason.</w:t>
      </w:r>
    </w:p>
    <w:p>
      <w:pPr>
        <w:spacing w:after="0" w:line="59" w:lineRule="exact"/>
        <w:rPr>
          <w:sz w:val="20"/>
          <w:szCs w:val="20"/>
          <w:color w:val="auto"/>
        </w:rPr>
      </w:pPr>
    </w:p>
    <w:p>
      <w:pPr>
        <w:spacing w:after="0" w:line="280" w:lineRule="auto"/>
        <w:rPr>
          <w:sz w:val="20"/>
          <w:szCs w:val="20"/>
          <w:color w:val="auto"/>
        </w:rPr>
      </w:pPr>
      <w:r>
        <w:rPr>
          <w:rFonts w:ascii="Arial" w:cs="Arial" w:eastAsia="Arial" w:hAnsi="Arial"/>
          <w:sz w:val="16"/>
          <w:szCs w:val="16"/>
          <w:color w:val="auto"/>
        </w:rPr>
        <w:t>The severance benefits under the Executive Severance Plan provide for a cash payment equal to the product of the severance multiplier and the sum of the Named Executive Officer’s base salary and annual bonus target. The severance multiplier is two for the chief executive officer and any other executive officer who was an executive officer as of January 1, 2021, and one and one half for anyone who becomes an executive officer thereafter, and the cash payments are made in equal installments over the corresponding period. If enrolled in the group medical and/or dental insurance coverage, the participant will receive an additional cash payment equal to the amount determined by multiplying the severance multiplier by the amount equal to the employer’s portion of the health and/or dental insurance premiums for one year. The participant is also eligible for outplacement services. As a condition for the severance benefits, the participant must sign a separation and release agreement and restrictive covenants agreement. The Compensation Committee and the independent members of the Board adopted the Executive Severance Plan to aid in the attraction and retention of executive talent. The Company retains the right to adjust the severance benefits available under the plan.</w:t>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Under the Executive Severance Plan, “cause” means the executive’s:</w:t>
      </w:r>
    </w:p>
    <w:p>
      <w:pPr>
        <w:spacing w:after="0" w:line="127" w:lineRule="exact"/>
        <w:rPr>
          <w:sz w:val="20"/>
          <w:szCs w:val="20"/>
          <w:color w:val="auto"/>
        </w:rPr>
      </w:pPr>
    </w:p>
    <w:p>
      <w:pPr>
        <w:ind w:left="160" w:hanging="152"/>
        <w:spacing w:after="0"/>
        <w:tabs>
          <w:tab w:leader="none" w:pos="160" w:val="left"/>
        </w:tabs>
        <w:numPr>
          <w:ilvl w:val="0"/>
          <w:numId w:val="118"/>
        </w:numPr>
        <w:rPr>
          <w:rFonts w:ascii="Arial" w:cs="Arial" w:eastAsia="Arial" w:hAnsi="Arial"/>
          <w:sz w:val="13"/>
          <w:szCs w:val="13"/>
          <w:color w:val="64A70B"/>
        </w:rPr>
      </w:pPr>
      <w:r>
        <w:rPr>
          <w:rFonts w:ascii="Arial" w:cs="Arial" w:eastAsia="Arial" w:hAnsi="Arial"/>
          <w:sz w:val="16"/>
          <w:szCs w:val="16"/>
          <w:color w:val="auto"/>
        </w:rPr>
        <w:t>breach of any written agreement with the Company, including restrictive covenants which are not remedied;</w:t>
      </w:r>
    </w:p>
    <w:p>
      <w:pPr>
        <w:spacing w:after="0" w:line="99" w:lineRule="exact"/>
        <w:rPr>
          <w:rFonts w:ascii="Arial" w:cs="Arial" w:eastAsia="Arial" w:hAnsi="Arial"/>
          <w:sz w:val="13"/>
          <w:szCs w:val="13"/>
          <w:color w:val="64A70B"/>
        </w:rPr>
      </w:pPr>
    </w:p>
    <w:p>
      <w:pPr>
        <w:ind w:left="160" w:hanging="152"/>
        <w:spacing w:after="0"/>
        <w:tabs>
          <w:tab w:leader="none" w:pos="160" w:val="left"/>
        </w:tabs>
        <w:numPr>
          <w:ilvl w:val="0"/>
          <w:numId w:val="118"/>
        </w:numPr>
        <w:rPr>
          <w:rFonts w:ascii="Arial" w:cs="Arial" w:eastAsia="Arial" w:hAnsi="Arial"/>
          <w:sz w:val="13"/>
          <w:szCs w:val="13"/>
          <w:color w:val="64A70B"/>
        </w:rPr>
      </w:pPr>
      <w:r>
        <w:rPr>
          <w:rFonts w:ascii="Arial" w:cs="Arial" w:eastAsia="Arial" w:hAnsi="Arial"/>
          <w:sz w:val="16"/>
          <w:szCs w:val="16"/>
          <w:color w:val="auto"/>
        </w:rPr>
        <w:t>acts of dishonesty, fraud or breach of fiduciary duty;</w:t>
      </w:r>
    </w:p>
    <w:p>
      <w:pPr>
        <w:spacing w:after="0" w:line="99" w:lineRule="exact"/>
        <w:rPr>
          <w:rFonts w:ascii="Arial" w:cs="Arial" w:eastAsia="Arial" w:hAnsi="Arial"/>
          <w:sz w:val="13"/>
          <w:szCs w:val="13"/>
          <w:color w:val="64A70B"/>
        </w:rPr>
      </w:pPr>
    </w:p>
    <w:p>
      <w:pPr>
        <w:ind w:left="160" w:hanging="152"/>
        <w:spacing w:after="0"/>
        <w:tabs>
          <w:tab w:leader="none" w:pos="160" w:val="left"/>
        </w:tabs>
        <w:numPr>
          <w:ilvl w:val="0"/>
          <w:numId w:val="118"/>
        </w:numPr>
        <w:rPr>
          <w:rFonts w:ascii="Arial" w:cs="Arial" w:eastAsia="Arial" w:hAnsi="Arial"/>
          <w:sz w:val="13"/>
          <w:szCs w:val="13"/>
          <w:color w:val="64A70B"/>
        </w:rPr>
      </w:pPr>
      <w:r>
        <w:rPr>
          <w:rFonts w:ascii="Arial" w:cs="Arial" w:eastAsia="Arial" w:hAnsi="Arial"/>
          <w:sz w:val="16"/>
          <w:szCs w:val="16"/>
          <w:color w:val="auto"/>
        </w:rPr>
        <w:t>failure to satisfactorily perform duties of employment;</w:t>
      </w:r>
    </w:p>
    <w:p>
      <w:pPr>
        <w:spacing w:after="0" w:line="99" w:lineRule="exact"/>
        <w:rPr>
          <w:rFonts w:ascii="Arial" w:cs="Arial" w:eastAsia="Arial" w:hAnsi="Arial"/>
          <w:sz w:val="13"/>
          <w:szCs w:val="13"/>
          <w:color w:val="64A70B"/>
        </w:rPr>
      </w:pPr>
    </w:p>
    <w:p>
      <w:pPr>
        <w:ind w:left="160" w:hanging="152"/>
        <w:spacing w:after="0"/>
        <w:tabs>
          <w:tab w:leader="none" w:pos="160" w:val="left"/>
        </w:tabs>
        <w:numPr>
          <w:ilvl w:val="0"/>
          <w:numId w:val="118"/>
        </w:numPr>
        <w:rPr>
          <w:rFonts w:ascii="Arial" w:cs="Arial" w:eastAsia="Arial" w:hAnsi="Arial"/>
          <w:sz w:val="13"/>
          <w:szCs w:val="13"/>
          <w:color w:val="64A70B"/>
        </w:rPr>
      </w:pPr>
      <w:r>
        <w:rPr>
          <w:rFonts w:ascii="Arial" w:cs="Arial" w:eastAsia="Arial" w:hAnsi="Arial"/>
          <w:sz w:val="16"/>
          <w:szCs w:val="16"/>
          <w:color w:val="auto"/>
        </w:rPr>
        <w:t>violation of any anti-harassment, anti-discrimination or anti-retaliation policy of the Company; or</w:t>
      </w:r>
    </w:p>
    <w:p>
      <w:pPr>
        <w:spacing w:after="0" w:line="99" w:lineRule="exact"/>
        <w:rPr>
          <w:rFonts w:ascii="Arial" w:cs="Arial" w:eastAsia="Arial" w:hAnsi="Arial"/>
          <w:sz w:val="13"/>
          <w:szCs w:val="13"/>
          <w:color w:val="64A70B"/>
        </w:rPr>
      </w:pPr>
    </w:p>
    <w:p>
      <w:pPr>
        <w:ind w:left="160" w:hanging="152"/>
        <w:spacing w:after="0"/>
        <w:tabs>
          <w:tab w:leader="none" w:pos="160" w:val="left"/>
        </w:tabs>
        <w:numPr>
          <w:ilvl w:val="0"/>
          <w:numId w:val="118"/>
        </w:numPr>
        <w:rPr>
          <w:rFonts w:ascii="Arial" w:cs="Arial" w:eastAsia="Arial" w:hAnsi="Arial"/>
          <w:sz w:val="13"/>
          <w:szCs w:val="13"/>
          <w:color w:val="64A70B"/>
        </w:rPr>
      </w:pPr>
      <w:r>
        <w:rPr>
          <w:rFonts w:ascii="Arial" w:cs="Arial" w:eastAsia="Arial" w:hAnsi="Arial"/>
          <w:sz w:val="16"/>
          <w:szCs w:val="16"/>
          <w:color w:val="auto"/>
        </w:rPr>
        <w:t>misconduct.</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Under the Executive Severance Plan, provided the officer provides us with 90 days’ written notice, “good reason” means:</w:t>
      </w:r>
    </w:p>
    <w:p>
      <w:pPr>
        <w:spacing w:after="0" w:line="140" w:lineRule="exact"/>
        <w:rPr>
          <w:sz w:val="20"/>
          <w:szCs w:val="20"/>
          <w:color w:val="auto"/>
        </w:rPr>
      </w:pPr>
    </w:p>
    <w:p>
      <w:pPr>
        <w:ind w:left="160" w:hanging="152"/>
        <w:spacing w:after="0"/>
        <w:tabs>
          <w:tab w:leader="none" w:pos="160" w:val="left"/>
        </w:tabs>
        <w:numPr>
          <w:ilvl w:val="0"/>
          <w:numId w:val="119"/>
        </w:numPr>
        <w:rPr>
          <w:rFonts w:ascii="Arial" w:cs="Arial" w:eastAsia="Arial" w:hAnsi="Arial"/>
          <w:sz w:val="13"/>
          <w:szCs w:val="13"/>
          <w:color w:val="64A70B"/>
        </w:rPr>
      </w:pPr>
      <w:r>
        <w:rPr>
          <w:rFonts w:ascii="Arial" w:cs="Arial" w:eastAsia="Arial" w:hAnsi="Arial"/>
          <w:sz w:val="16"/>
          <w:szCs w:val="16"/>
          <w:color w:val="auto"/>
        </w:rPr>
        <w:t>a breach of the Executive Severance Plan or employment agreement by us;</w:t>
      </w:r>
    </w:p>
    <w:p>
      <w:pPr>
        <w:spacing w:after="0" w:line="99" w:lineRule="exact"/>
        <w:rPr>
          <w:rFonts w:ascii="Arial" w:cs="Arial" w:eastAsia="Arial" w:hAnsi="Arial"/>
          <w:sz w:val="13"/>
          <w:szCs w:val="13"/>
          <w:color w:val="64A70B"/>
        </w:rPr>
      </w:pPr>
    </w:p>
    <w:p>
      <w:pPr>
        <w:ind w:left="160" w:hanging="152"/>
        <w:spacing w:after="0"/>
        <w:tabs>
          <w:tab w:leader="none" w:pos="160" w:val="left"/>
        </w:tabs>
        <w:numPr>
          <w:ilvl w:val="0"/>
          <w:numId w:val="119"/>
        </w:numPr>
        <w:rPr>
          <w:rFonts w:ascii="Arial" w:cs="Arial" w:eastAsia="Arial" w:hAnsi="Arial"/>
          <w:sz w:val="13"/>
          <w:szCs w:val="13"/>
          <w:color w:val="64A70B"/>
        </w:rPr>
      </w:pPr>
      <w:r>
        <w:rPr>
          <w:rFonts w:ascii="Arial" w:cs="Arial" w:eastAsia="Arial" w:hAnsi="Arial"/>
          <w:sz w:val="16"/>
          <w:szCs w:val="16"/>
          <w:color w:val="auto"/>
        </w:rPr>
        <w:t>the officer’s removal from, or any failure to reelect or reappoint him or her to, any title or position as a corporate officer;</w:t>
      </w:r>
    </w:p>
    <w:p>
      <w:pPr>
        <w:spacing w:after="0" w:line="99" w:lineRule="exact"/>
        <w:rPr>
          <w:rFonts w:ascii="Arial" w:cs="Arial" w:eastAsia="Arial" w:hAnsi="Arial"/>
          <w:sz w:val="13"/>
          <w:szCs w:val="13"/>
          <w:color w:val="64A70B"/>
        </w:rPr>
      </w:pPr>
    </w:p>
    <w:p>
      <w:pPr>
        <w:ind w:left="160" w:hanging="152"/>
        <w:spacing w:after="0"/>
        <w:tabs>
          <w:tab w:leader="none" w:pos="160" w:val="left"/>
        </w:tabs>
        <w:numPr>
          <w:ilvl w:val="0"/>
          <w:numId w:val="119"/>
        </w:numPr>
        <w:rPr>
          <w:rFonts w:ascii="Arial" w:cs="Arial" w:eastAsia="Arial" w:hAnsi="Arial"/>
          <w:sz w:val="13"/>
          <w:szCs w:val="13"/>
          <w:color w:val="64A70B"/>
        </w:rPr>
      </w:pPr>
      <w:r>
        <w:rPr>
          <w:rFonts w:ascii="Arial" w:cs="Arial" w:eastAsia="Arial" w:hAnsi="Arial"/>
          <w:sz w:val="16"/>
          <w:szCs w:val="16"/>
          <w:color w:val="auto"/>
        </w:rPr>
        <w:t>a material diminution of the officer’s authority or responsibilities;</w:t>
      </w:r>
    </w:p>
    <w:p>
      <w:pPr>
        <w:spacing w:after="0" w:line="99" w:lineRule="exact"/>
        <w:rPr>
          <w:rFonts w:ascii="Arial" w:cs="Arial" w:eastAsia="Arial" w:hAnsi="Arial"/>
          <w:sz w:val="13"/>
          <w:szCs w:val="13"/>
          <w:color w:val="64A70B"/>
        </w:rPr>
      </w:pPr>
    </w:p>
    <w:p>
      <w:pPr>
        <w:ind w:left="160" w:hanging="152"/>
        <w:spacing w:after="0"/>
        <w:tabs>
          <w:tab w:leader="none" w:pos="160" w:val="left"/>
        </w:tabs>
        <w:numPr>
          <w:ilvl w:val="0"/>
          <w:numId w:val="119"/>
        </w:numPr>
        <w:rPr>
          <w:rFonts w:ascii="Arial" w:cs="Arial" w:eastAsia="Arial" w:hAnsi="Arial"/>
          <w:sz w:val="13"/>
          <w:szCs w:val="13"/>
          <w:color w:val="64A70B"/>
        </w:rPr>
      </w:pPr>
      <w:r>
        <w:rPr>
          <w:rFonts w:ascii="Arial" w:cs="Arial" w:eastAsia="Arial" w:hAnsi="Arial"/>
          <w:sz w:val="16"/>
          <w:szCs w:val="16"/>
          <w:color w:val="auto"/>
        </w:rPr>
        <w:t>a material reduction in an officer’s base salary (unless as part of a uniformly applied reduction for all executive officers); or</w:t>
      </w:r>
    </w:p>
    <w:p>
      <w:pPr>
        <w:spacing w:after="0" w:line="99" w:lineRule="exact"/>
        <w:rPr>
          <w:rFonts w:ascii="Arial" w:cs="Arial" w:eastAsia="Arial" w:hAnsi="Arial"/>
          <w:sz w:val="13"/>
          <w:szCs w:val="13"/>
          <w:color w:val="64A70B"/>
        </w:rPr>
      </w:pPr>
    </w:p>
    <w:p>
      <w:pPr>
        <w:ind w:left="200" w:right="580" w:hanging="192"/>
        <w:spacing w:after="0" w:line="304" w:lineRule="auto"/>
        <w:tabs>
          <w:tab w:leader="none" w:pos="157" w:val="left"/>
        </w:tabs>
        <w:numPr>
          <w:ilvl w:val="0"/>
          <w:numId w:val="119"/>
        </w:numPr>
        <w:rPr>
          <w:rFonts w:ascii="Arial" w:cs="Arial" w:eastAsia="Arial" w:hAnsi="Arial"/>
          <w:sz w:val="13"/>
          <w:szCs w:val="13"/>
          <w:color w:val="64A70B"/>
        </w:rPr>
      </w:pPr>
      <w:r>
        <w:rPr>
          <w:rFonts w:ascii="Arial" w:cs="Arial" w:eastAsia="Arial" w:hAnsi="Arial"/>
          <w:sz w:val="16"/>
          <w:szCs w:val="16"/>
          <w:color w:val="auto"/>
        </w:rPr>
        <w:t>relocation of an officer’s principal place of employment to a location more than 50 miles from his or her principal place of employment (other than a relocation to the Company’s management office in the U.S.).</w:t>
      </w:r>
    </w:p>
    <w:p>
      <w:pPr>
        <w:spacing w:after="0" w:line="60" w:lineRule="exact"/>
        <w:rPr>
          <w:sz w:val="20"/>
          <w:szCs w:val="20"/>
          <w:color w:val="auto"/>
        </w:rPr>
      </w:pPr>
    </w:p>
    <w:p>
      <w:pPr>
        <w:spacing w:after="0"/>
        <w:rPr>
          <w:sz w:val="20"/>
          <w:szCs w:val="20"/>
          <w:color w:val="auto"/>
        </w:rPr>
      </w:pPr>
      <w:r>
        <w:rPr>
          <w:rFonts w:ascii="Arial" w:cs="Arial" w:eastAsia="Arial" w:hAnsi="Arial"/>
          <w:sz w:val="16"/>
          <w:szCs w:val="16"/>
          <w:color w:val="auto"/>
        </w:rPr>
        <w:t>In the event of a “change in control” as defined in the KEESA, benefits are to be provided under the KEESA instead of the Executive Severance Plan.</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600" w:hanging="574"/>
        <w:spacing w:after="0"/>
        <w:tabs>
          <w:tab w:leader="none" w:pos="600" w:val="left"/>
        </w:tabs>
        <w:numPr>
          <w:ilvl w:val="0"/>
          <w:numId w:val="120"/>
        </w:numPr>
        <w:rPr>
          <w:rFonts w:ascii="Arial" w:cs="Arial" w:eastAsia="Arial" w:hAnsi="Arial"/>
          <w:sz w:val="16"/>
          <w:szCs w:val="16"/>
          <w:b w:val="1"/>
          <w:bCs w:val="1"/>
          <w:color w:val="auto"/>
        </w:rPr>
      </w:pPr>
      <w:r>
        <w:rPr>
          <w:rFonts w:ascii="Arial" w:cs="Arial" w:eastAsia="Arial" w:hAnsi="Arial"/>
          <w:sz w:val="16"/>
          <w:szCs w:val="16"/>
          <w:color w:val="auto"/>
        </w:rPr>
        <w:t xml:space="preserve">Pentair </w:t>
      </w:r>
      <w:r>
        <w:rPr>
          <w:rFonts w:ascii="Arial" w:cs="Arial" w:eastAsia="Arial" w:hAnsi="Arial"/>
          <w:sz w:val="16"/>
          <w:szCs w:val="16"/>
          <w:b w:val="1"/>
          <w:bCs w:val="1"/>
          <w:color w:val="0C3471"/>
        </w:rPr>
        <w:t>|</w:t>
      </w:r>
      <w:r>
        <w:rPr>
          <w:rFonts w:ascii="Arial" w:cs="Arial" w:eastAsia="Arial" w:hAnsi="Arial"/>
          <w:sz w:val="16"/>
          <w:szCs w:val="16"/>
          <w:color w:val="auto"/>
        </w:rPr>
        <w:t xml:space="preserve"> </w:t>
      </w:r>
      <w:r>
        <w:rPr>
          <w:rFonts w:ascii="Arial" w:cs="Arial" w:eastAsia="Arial" w:hAnsi="Arial"/>
          <w:sz w:val="16"/>
          <w:szCs w:val="16"/>
          <w:b w:val="1"/>
          <w:bCs w:val="1"/>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205105</wp:posOffset>
            </wp:positionV>
            <wp:extent cx="7157720" cy="425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9" w:right="359" w:bottom="1440" w:gutter="0" w:footer="0" w:header="0"/>
        </w:sectPr>
      </w:pPr>
    </w:p>
    <w:bookmarkStart w:id="66" w:name="page67"/>
    <w:bookmarkEnd w:id="66"/>
    <w:p>
      <w:pPr>
        <w:ind w:left="874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5274310</wp:posOffset>
            </wp:positionH>
            <wp:positionV relativeFrom="page">
              <wp:posOffset>106045</wp:posOffset>
            </wp:positionV>
            <wp:extent cx="102870" cy="11176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clrChange>
                        <a:clrFrom>
                          <a:srgbClr val="FFFFFF"/>
                        </a:clrFrom>
                        <a:clrTo>
                          <a:srgbClr val="FFFFFF">
                            <a:alpha val="0"/>
                          </a:srgbClr>
                        </a:clrTo>
                      </a:clrChange>
                      <a:extLst>
                        <a:ext uri="{28A0092B-C50C-407E-A947-70E740481C1C}"/>
                      </a:extLst>
                    </a:blip>
                    <a:srcRect/>
                    <a:stretch>
                      <a:fillRect/>
                    </a:stretch>
                  </pic:blipFill>
                  <pic:spPr bwMode="auto">
                    <a:xfrm>
                      <a:off x="0" y="0"/>
                      <a:ext cx="102870" cy="111760"/>
                    </a:xfrm>
                    <a:prstGeom prst="rect">
                      <a:avLst/>
                    </a:prstGeom>
                    <a:noFill/>
                  </pic:spPr>
                </pic:pic>
              </a:graphicData>
            </a:graphic>
          </wp:anchor>
        </w:drawing>
        <w:t>Executive Compensation Tables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20"/>
        <w:spacing w:after="0"/>
        <w:rPr>
          <w:sz w:val="20"/>
          <w:szCs w:val="20"/>
          <w:color w:val="auto"/>
        </w:rPr>
      </w:pPr>
      <w:r>
        <w:rPr>
          <w:rFonts w:ascii="Arial" w:cs="Arial" w:eastAsia="Arial" w:hAnsi="Arial"/>
          <w:sz w:val="29"/>
          <w:szCs w:val="29"/>
          <w:color w:val="64A70B"/>
        </w:rPr>
        <w:t>Change in Control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13" w:lineRule="exact"/>
        <w:rPr>
          <w:sz w:val="20"/>
          <w:szCs w:val="20"/>
          <w:color w:val="auto"/>
        </w:rPr>
      </w:pPr>
    </w:p>
    <w:p>
      <w:pPr>
        <w:ind w:right="60"/>
        <w:spacing w:after="0" w:line="282" w:lineRule="auto"/>
        <w:rPr>
          <w:sz w:val="20"/>
          <w:szCs w:val="20"/>
          <w:color w:val="auto"/>
        </w:rPr>
      </w:pPr>
      <w:r>
        <w:rPr>
          <w:rFonts w:ascii="Arial" w:cs="Arial" w:eastAsia="Arial" w:hAnsi="Arial"/>
          <w:sz w:val="16"/>
          <w:szCs w:val="16"/>
          <w:color w:val="auto"/>
        </w:rPr>
        <w:t>We have entered into KEESAs with certain key corporate executives, including all Named Executive Officers, that provide for certain benefits in connection with a change in control. These change in control agreements are intended to provide for continuity of management upon a completed or threatened change in control. The agreements provide that covered executive officers could be entitled to certain severance or other benefits following a change in control if the executive officer is involuntarily terminated, other than for disability or for cause, or if such executive officer terminates his or her employment for conditions that constitute good reason. We do not provide excise tax gross-ups under the KEESAs.</w:t>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Under these agreements, “cause” means:</w:t>
      </w:r>
    </w:p>
    <w:p>
      <w:pPr>
        <w:spacing w:after="0" w:line="127" w:lineRule="exact"/>
        <w:rPr>
          <w:sz w:val="20"/>
          <w:szCs w:val="20"/>
          <w:color w:val="auto"/>
        </w:rPr>
      </w:pPr>
    </w:p>
    <w:p>
      <w:pPr>
        <w:ind w:left="160" w:hanging="152"/>
        <w:spacing w:after="0"/>
        <w:tabs>
          <w:tab w:leader="none" w:pos="160" w:val="left"/>
        </w:tabs>
        <w:numPr>
          <w:ilvl w:val="0"/>
          <w:numId w:val="121"/>
        </w:numPr>
        <w:rPr>
          <w:rFonts w:ascii="Arial" w:cs="Arial" w:eastAsia="Arial" w:hAnsi="Arial"/>
          <w:sz w:val="13"/>
          <w:szCs w:val="13"/>
          <w:color w:val="64A70B"/>
        </w:rPr>
      </w:pPr>
      <w:r>
        <w:rPr>
          <w:rFonts w:ascii="Arial" w:cs="Arial" w:eastAsia="Arial" w:hAnsi="Arial"/>
          <w:sz w:val="16"/>
          <w:szCs w:val="16"/>
          <w:color w:val="auto"/>
        </w:rPr>
        <w:t>engaging in intentional conduct that causes us demonstrable and serious financial injury;</w:t>
      </w:r>
    </w:p>
    <w:p>
      <w:pPr>
        <w:spacing w:after="0" w:line="99" w:lineRule="exact"/>
        <w:rPr>
          <w:rFonts w:ascii="Arial" w:cs="Arial" w:eastAsia="Arial" w:hAnsi="Arial"/>
          <w:sz w:val="13"/>
          <w:szCs w:val="13"/>
          <w:color w:val="64A70B"/>
        </w:rPr>
      </w:pPr>
    </w:p>
    <w:p>
      <w:pPr>
        <w:ind w:left="160" w:hanging="152"/>
        <w:spacing w:after="0"/>
        <w:tabs>
          <w:tab w:leader="none" w:pos="160" w:val="left"/>
        </w:tabs>
        <w:numPr>
          <w:ilvl w:val="0"/>
          <w:numId w:val="121"/>
        </w:numPr>
        <w:rPr>
          <w:rFonts w:ascii="Arial" w:cs="Arial" w:eastAsia="Arial" w:hAnsi="Arial"/>
          <w:sz w:val="13"/>
          <w:szCs w:val="13"/>
          <w:color w:val="64A70B"/>
        </w:rPr>
      </w:pPr>
      <w:r>
        <w:rPr>
          <w:rFonts w:ascii="Arial" w:cs="Arial" w:eastAsia="Arial" w:hAnsi="Arial"/>
          <w:sz w:val="16"/>
          <w:szCs w:val="16"/>
          <w:color w:val="auto"/>
        </w:rPr>
        <w:t>conviction of a felony; or</w:t>
      </w:r>
    </w:p>
    <w:p>
      <w:pPr>
        <w:spacing w:after="0" w:line="99" w:lineRule="exact"/>
        <w:rPr>
          <w:rFonts w:ascii="Arial" w:cs="Arial" w:eastAsia="Arial" w:hAnsi="Arial"/>
          <w:sz w:val="13"/>
          <w:szCs w:val="13"/>
          <w:color w:val="64A70B"/>
        </w:rPr>
      </w:pPr>
    </w:p>
    <w:p>
      <w:pPr>
        <w:ind w:left="160" w:hanging="152"/>
        <w:spacing w:after="0"/>
        <w:tabs>
          <w:tab w:leader="none" w:pos="160" w:val="left"/>
        </w:tabs>
        <w:numPr>
          <w:ilvl w:val="0"/>
          <w:numId w:val="121"/>
        </w:numPr>
        <w:rPr>
          <w:rFonts w:ascii="Arial" w:cs="Arial" w:eastAsia="Arial" w:hAnsi="Arial"/>
          <w:sz w:val="13"/>
          <w:szCs w:val="13"/>
          <w:color w:val="64A70B"/>
        </w:rPr>
      </w:pPr>
      <w:r>
        <w:rPr>
          <w:rFonts w:ascii="Arial" w:cs="Arial" w:eastAsia="Arial" w:hAnsi="Arial"/>
          <w:sz w:val="16"/>
          <w:szCs w:val="16"/>
          <w:color w:val="auto"/>
        </w:rPr>
        <w:t>continuing willful and unreasonable refusal by an officer to perform his or her duties or responsibilities.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Under these agreements, “good reason” means:</w:t>
      </w:r>
    </w:p>
    <w:p>
      <w:pPr>
        <w:spacing w:after="0" w:line="127" w:lineRule="exact"/>
        <w:rPr>
          <w:sz w:val="20"/>
          <w:szCs w:val="20"/>
          <w:color w:val="auto"/>
        </w:rPr>
      </w:pPr>
    </w:p>
    <w:p>
      <w:pPr>
        <w:ind w:left="160" w:hanging="152"/>
        <w:spacing w:after="0"/>
        <w:tabs>
          <w:tab w:leader="none" w:pos="160" w:val="left"/>
        </w:tabs>
        <w:numPr>
          <w:ilvl w:val="0"/>
          <w:numId w:val="122"/>
        </w:numPr>
        <w:rPr>
          <w:rFonts w:ascii="Arial" w:cs="Arial" w:eastAsia="Arial" w:hAnsi="Arial"/>
          <w:sz w:val="13"/>
          <w:szCs w:val="13"/>
          <w:color w:val="64A70B"/>
        </w:rPr>
      </w:pPr>
      <w:r>
        <w:rPr>
          <w:rFonts w:ascii="Arial" w:cs="Arial" w:eastAsia="Arial" w:hAnsi="Arial"/>
          <w:sz w:val="16"/>
          <w:szCs w:val="16"/>
          <w:color w:val="auto"/>
        </w:rPr>
        <w:t>a breach of the agreement by us;</w:t>
      </w:r>
    </w:p>
    <w:p>
      <w:pPr>
        <w:spacing w:after="0" w:line="99" w:lineRule="exact"/>
        <w:rPr>
          <w:rFonts w:ascii="Arial" w:cs="Arial" w:eastAsia="Arial" w:hAnsi="Arial"/>
          <w:sz w:val="13"/>
          <w:szCs w:val="13"/>
          <w:color w:val="64A70B"/>
        </w:rPr>
      </w:pPr>
    </w:p>
    <w:p>
      <w:pPr>
        <w:ind w:left="200" w:right="60" w:hanging="192"/>
        <w:spacing w:after="0" w:line="321" w:lineRule="auto"/>
        <w:tabs>
          <w:tab w:leader="none" w:pos="157" w:val="left"/>
        </w:tabs>
        <w:numPr>
          <w:ilvl w:val="0"/>
          <w:numId w:val="122"/>
        </w:numPr>
        <w:rPr>
          <w:rFonts w:ascii="Arial" w:cs="Arial" w:eastAsia="Arial" w:hAnsi="Arial"/>
          <w:sz w:val="13"/>
          <w:szCs w:val="13"/>
          <w:color w:val="64A70B"/>
        </w:rPr>
      </w:pPr>
      <w:r>
        <w:rPr>
          <w:rFonts w:ascii="Arial" w:cs="Arial" w:eastAsia="Arial" w:hAnsi="Arial"/>
          <w:sz w:val="16"/>
          <w:szCs w:val="16"/>
          <w:color w:val="auto"/>
        </w:rPr>
        <w:t>any reduction in an officer’s base salary, percentage of base salary available as cash incentive compensation or bonus opportunity, grant date fair value of equity-based awards or other benefits;</w:t>
      </w:r>
    </w:p>
    <w:p>
      <w:pPr>
        <w:spacing w:after="0" w:line="7" w:lineRule="exact"/>
        <w:rPr>
          <w:rFonts w:ascii="Arial" w:cs="Arial" w:eastAsia="Arial" w:hAnsi="Arial"/>
          <w:sz w:val="13"/>
          <w:szCs w:val="13"/>
          <w:color w:val="64A70B"/>
        </w:rPr>
      </w:pPr>
    </w:p>
    <w:p>
      <w:pPr>
        <w:ind w:left="200" w:right="120" w:hanging="192"/>
        <w:spacing w:after="0" w:line="292" w:lineRule="auto"/>
        <w:tabs>
          <w:tab w:leader="none" w:pos="157" w:val="left"/>
        </w:tabs>
        <w:numPr>
          <w:ilvl w:val="0"/>
          <w:numId w:val="122"/>
        </w:numPr>
        <w:rPr>
          <w:rFonts w:ascii="Arial" w:cs="Arial" w:eastAsia="Arial" w:hAnsi="Arial"/>
          <w:sz w:val="13"/>
          <w:szCs w:val="13"/>
          <w:color w:val="64A70B"/>
        </w:rPr>
      </w:pPr>
      <w:r>
        <w:rPr>
          <w:rFonts w:ascii="Arial" w:cs="Arial" w:eastAsia="Arial" w:hAnsi="Arial"/>
          <w:sz w:val="16"/>
          <w:szCs w:val="16"/>
          <w:color w:val="auto"/>
        </w:rPr>
        <w:t>an officer’s removal from, or any failure to reelect or reappoint him or her to serve in, any of the positions held with us on the date of the change in control or any other positions to which he or she is thereafter elected, appointed or assigned, except in the event that such removal or failure to reelect or reappoint relates to our termination of an officer’s employment for cause or by reason of disability;</w:t>
      </w:r>
    </w:p>
    <w:p>
      <w:pPr>
        <w:spacing w:after="0" w:line="30" w:lineRule="exact"/>
        <w:rPr>
          <w:rFonts w:ascii="Arial" w:cs="Arial" w:eastAsia="Arial" w:hAnsi="Arial"/>
          <w:sz w:val="13"/>
          <w:szCs w:val="13"/>
          <w:color w:val="64A70B"/>
        </w:rPr>
      </w:pPr>
    </w:p>
    <w:p>
      <w:pPr>
        <w:ind w:left="200" w:right="80" w:hanging="192"/>
        <w:spacing w:after="0" w:line="282" w:lineRule="auto"/>
        <w:tabs>
          <w:tab w:leader="none" w:pos="157" w:val="left"/>
        </w:tabs>
        <w:numPr>
          <w:ilvl w:val="0"/>
          <w:numId w:val="122"/>
        </w:numPr>
        <w:rPr>
          <w:rFonts w:ascii="Arial" w:cs="Arial" w:eastAsia="Arial" w:hAnsi="Arial"/>
          <w:sz w:val="13"/>
          <w:szCs w:val="13"/>
          <w:color w:val="64A70B"/>
        </w:rPr>
      </w:pPr>
      <w:r>
        <w:rPr>
          <w:rFonts w:ascii="Arial" w:cs="Arial" w:eastAsia="Arial" w:hAnsi="Arial"/>
          <w:sz w:val="16"/>
          <w:szCs w:val="16"/>
          <w:color w:val="auto"/>
        </w:rPr>
        <w:t>a good faith determination by an officer that there has been a material adverse change in his or her working conditions or status relative to the most favorable working conditions or status in effect during the 180-day period prior to the change in control, or, to the extent more favorable to him or her, those in effect at any time while employed after the change in control, including a significant change in the nature or scope of his or her authority, powers, functions, duties or responsibilities or a significant reduction in the level of support services, staff, secretarial and other assistance, office space and accoutrements, but in each case excluding for this purpose an isolated, insubstantial and inadvertent event not occurring in bad faith that we remedy within 10 days after receipt of written notice;</w:t>
      </w:r>
    </w:p>
    <w:p>
      <w:pPr>
        <w:spacing w:after="0" w:line="39" w:lineRule="exact"/>
        <w:rPr>
          <w:rFonts w:ascii="Arial" w:cs="Arial" w:eastAsia="Arial" w:hAnsi="Arial"/>
          <w:sz w:val="13"/>
          <w:szCs w:val="13"/>
          <w:color w:val="64A70B"/>
        </w:rPr>
      </w:pPr>
    </w:p>
    <w:p>
      <w:pPr>
        <w:ind w:left="200" w:hanging="192"/>
        <w:spacing w:after="0" w:line="304" w:lineRule="auto"/>
        <w:tabs>
          <w:tab w:leader="none" w:pos="157" w:val="left"/>
        </w:tabs>
        <w:numPr>
          <w:ilvl w:val="0"/>
          <w:numId w:val="122"/>
        </w:numPr>
        <w:rPr>
          <w:rFonts w:ascii="Arial" w:cs="Arial" w:eastAsia="Arial" w:hAnsi="Arial"/>
          <w:sz w:val="13"/>
          <w:szCs w:val="13"/>
          <w:color w:val="64A70B"/>
        </w:rPr>
      </w:pPr>
      <w:r>
        <w:rPr>
          <w:rFonts w:ascii="Arial" w:cs="Arial" w:eastAsia="Arial" w:hAnsi="Arial"/>
          <w:sz w:val="16"/>
          <w:szCs w:val="16"/>
          <w:color w:val="auto"/>
        </w:rPr>
        <w:t>relocation of an officer’s principal place of employment to a location more than 50 miles from his or her principal place of employment on the date 180 days prior to the change in control;</w:t>
      </w:r>
    </w:p>
    <w:p>
      <w:pPr>
        <w:spacing w:after="0" w:line="19" w:lineRule="exact"/>
        <w:rPr>
          <w:rFonts w:ascii="Arial" w:cs="Arial" w:eastAsia="Arial" w:hAnsi="Arial"/>
          <w:sz w:val="13"/>
          <w:szCs w:val="13"/>
          <w:color w:val="64A70B"/>
        </w:rPr>
      </w:pPr>
    </w:p>
    <w:p>
      <w:pPr>
        <w:ind w:left="200" w:right="340" w:hanging="192"/>
        <w:spacing w:after="0" w:line="321" w:lineRule="auto"/>
        <w:tabs>
          <w:tab w:leader="none" w:pos="157" w:val="left"/>
        </w:tabs>
        <w:numPr>
          <w:ilvl w:val="0"/>
          <w:numId w:val="122"/>
        </w:numPr>
        <w:rPr>
          <w:rFonts w:ascii="Arial" w:cs="Arial" w:eastAsia="Arial" w:hAnsi="Arial"/>
          <w:sz w:val="13"/>
          <w:szCs w:val="13"/>
          <w:color w:val="64A70B"/>
        </w:rPr>
      </w:pPr>
      <w:r>
        <w:rPr>
          <w:rFonts w:ascii="Arial" w:cs="Arial" w:eastAsia="Arial" w:hAnsi="Arial"/>
          <w:sz w:val="16"/>
          <w:szCs w:val="16"/>
          <w:color w:val="auto"/>
        </w:rPr>
        <w:t>imposition of a requirement that an officer travel on business 20% in excess of the average number of days per month he or she was required to travel during the 180-day period prior to the change in control; or</w:t>
      </w:r>
    </w:p>
    <w:p>
      <w:pPr>
        <w:spacing w:after="0" w:line="7" w:lineRule="exact"/>
        <w:rPr>
          <w:rFonts w:ascii="Arial" w:cs="Arial" w:eastAsia="Arial" w:hAnsi="Arial"/>
          <w:sz w:val="13"/>
          <w:szCs w:val="13"/>
          <w:color w:val="64A70B"/>
        </w:rPr>
      </w:pPr>
    </w:p>
    <w:p>
      <w:pPr>
        <w:ind w:left="160" w:hanging="152"/>
        <w:spacing w:after="0"/>
        <w:tabs>
          <w:tab w:leader="none" w:pos="160" w:val="left"/>
        </w:tabs>
        <w:numPr>
          <w:ilvl w:val="0"/>
          <w:numId w:val="122"/>
        </w:numPr>
        <w:rPr>
          <w:rFonts w:ascii="Arial" w:cs="Arial" w:eastAsia="Arial" w:hAnsi="Arial"/>
          <w:sz w:val="13"/>
          <w:szCs w:val="13"/>
          <w:color w:val="64A70B"/>
        </w:rPr>
      </w:pPr>
      <w:r>
        <w:rPr>
          <w:rFonts w:ascii="Arial" w:cs="Arial" w:eastAsia="Arial" w:hAnsi="Arial"/>
          <w:sz w:val="16"/>
          <w:szCs w:val="16"/>
          <w:color w:val="auto"/>
        </w:rPr>
        <w:t>our failure to cause a successor to assume an officer’s agreement.</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Under these agreements, a “change in control” is deemed to have occurred if:</w:t>
      </w:r>
    </w:p>
    <w:p>
      <w:pPr>
        <w:spacing w:after="0" w:line="140" w:lineRule="exact"/>
        <w:rPr>
          <w:sz w:val="20"/>
          <w:szCs w:val="20"/>
          <w:color w:val="auto"/>
        </w:rPr>
      </w:pPr>
    </w:p>
    <w:p>
      <w:pPr>
        <w:ind w:left="160" w:hanging="152"/>
        <w:spacing w:after="0"/>
        <w:tabs>
          <w:tab w:leader="none" w:pos="160" w:val="left"/>
        </w:tabs>
        <w:numPr>
          <w:ilvl w:val="0"/>
          <w:numId w:val="123"/>
        </w:numPr>
        <w:rPr>
          <w:rFonts w:ascii="Arial" w:cs="Arial" w:eastAsia="Arial" w:hAnsi="Arial"/>
          <w:sz w:val="13"/>
          <w:szCs w:val="13"/>
          <w:color w:val="64A70B"/>
        </w:rPr>
      </w:pPr>
      <w:r>
        <w:rPr>
          <w:rFonts w:ascii="Arial" w:cs="Arial" w:eastAsia="Arial" w:hAnsi="Arial"/>
          <w:sz w:val="16"/>
          <w:szCs w:val="16"/>
          <w:color w:val="auto"/>
        </w:rPr>
        <w:t>any person is or becomes the beneficial owner of securities representing 30% or more of our outstanding ordinary shares or combined voting power;</w:t>
      </w:r>
    </w:p>
    <w:p>
      <w:pPr>
        <w:spacing w:after="0" w:line="99" w:lineRule="exact"/>
        <w:rPr>
          <w:rFonts w:ascii="Arial" w:cs="Arial" w:eastAsia="Arial" w:hAnsi="Arial"/>
          <w:sz w:val="13"/>
          <w:szCs w:val="13"/>
          <w:color w:val="64A70B"/>
        </w:rPr>
      </w:pPr>
    </w:p>
    <w:p>
      <w:pPr>
        <w:ind w:left="200" w:hanging="192"/>
        <w:spacing w:after="0" w:line="304" w:lineRule="auto"/>
        <w:tabs>
          <w:tab w:leader="none" w:pos="157" w:val="left"/>
        </w:tabs>
        <w:numPr>
          <w:ilvl w:val="0"/>
          <w:numId w:val="123"/>
        </w:numPr>
        <w:rPr>
          <w:rFonts w:ascii="Arial" w:cs="Arial" w:eastAsia="Arial" w:hAnsi="Arial"/>
          <w:sz w:val="13"/>
          <w:szCs w:val="13"/>
          <w:color w:val="64A70B"/>
        </w:rPr>
      </w:pPr>
      <w:r>
        <w:rPr>
          <w:rFonts w:ascii="Arial" w:cs="Arial" w:eastAsia="Arial" w:hAnsi="Arial"/>
          <w:sz w:val="16"/>
          <w:szCs w:val="16"/>
          <w:color w:val="auto"/>
        </w:rPr>
        <w:t>a majority of the Board changes in a manner that has not been approved by at least two-thirds of the incumbent directors or successor directors nominated by at least two-thirds of the incumbent directors;</w:t>
      </w:r>
    </w:p>
    <w:p>
      <w:pPr>
        <w:spacing w:after="0" w:line="19" w:lineRule="exact"/>
        <w:rPr>
          <w:rFonts w:ascii="Arial" w:cs="Arial" w:eastAsia="Arial" w:hAnsi="Arial"/>
          <w:sz w:val="13"/>
          <w:szCs w:val="13"/>
          <w:color w:val="64A70B"/>
        </w:rPr>
      </w:pPr>
    </w:p>
    <w:p>
      <w:pPr>
        <w:ind w:left="200" w:right="120" w:hanging="192"/>
        <w:spacing w:after="0" w:line="301" w:lineRule="auto"/>
        <w:tabs>
          <w:tab w:leader="none" w:pos="157" w:val="left"/>
        </w:tabs>
        <w:numPr>
          <w:ilvl w:val="0"/>
          <w:numId w:val="123"/>
        </w:numPr>
        <w:rPr>
          <w:rFonts w:ascii="Arial" w:cs="Arial" w:eastAsia="Arial" w:hAnsi="Arial"/>
          <w:sz w:val="13"/>
          <w:szCs w:val="13"/>
          <w:color w:val="64A70B"/>
        </w:rPr>
      </w:pPr>
      <w:r>
        <w:rPr>
          <w:rFonts w:ascii="Arial" w:cs="Arial" w:eastAsia="Arial" w:hAnsi="Arial"/>
          <w:sz w:val="16"/>
          <w:szCs w:val="16"/>
          <w:color w:val="auto"/>
        </w:rPr>
        <w:t>we consummate a merger, consolidation or share exchange with any other entity (or the issuance of voting securities in connection with a merger, consolidation or share exchange) which our shareholders have approved and in which our shareholders control less than 50% of combined voting power after the merger, consolidation or share exchange; or</w:t>
      </w:r>
    </w:p>
    <w:p>
      <w:pPr>
        <w:spacing w:after="0" w:line="9" w:lineRule="exact"/>
        <w:rPr>
          <w:rFonts w:ascii="Arial" w:cs="Arial" w:eastAsia="Arial" w:hAnsi="Arial"/>
          <w:sz w:val="13"/>
          <w:szCs w:val="13"/>
          <w:color w:val="64A70B"/>
        </w:rPr>
      </w:pPr>
    </w:p>
    <w:p>
      <w:pPr>
        <w:ind w:left="200" w:right="240" w:hanging="192"/>
        <w:spacing w:after="0" w:line="321" w:lineRule="auto"/>
        <w:tabs>
          <w:tab w:leader="none" w:pos="157" w:val="left"/>
        </w:tabs>
        <w:numPr>
          <w:ilvl w:val="0"/>
          <w:numId w:val="123"/>
        </w:numPr>
        <w:rPr>
          <w:rFonts w:ascii="Arial" w:cs="Arial" w:eastAsia="Arial" w:hAnsi="Arial"/>
          <w:sz w:val="13"/>
          <w:szCs w:val="13"/>
          <w:color w:val="64A70B"/>
        </w:rPr>
      </w:pPr>
      <w:r>
        <w:rPr>
          <w:rFonts w:ascii="Arial" w:cs="Arial" w:eastAsia="Arial" w:hAnsi="Arial"/>
          <w:sz w:val="16"/>
          <w:szCs w:val="16"/>
          <w:color w:val="auto"/>
        </w:rPr>
        <w:t>we consummate a plan of complete liquidation or dissolution or an agreement for the sale or disposition of all or substantially all of our assets which our shareholders have approved.</w:t>
      </w:r>
    </w:p>
    <w:p>
      <w:pPr>
        <w:spacing w:after="0" w:line="200" w:lineRule="exact"/>
        <w:rPr>
          <w:sz w:val="20"/>
          <w:szCs w:val="20"/>
          <w:color w:val="auto"/>
        </w:rPr>
      </w:pP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10780" w:type="dxa"/>
            <w:vAlign w:val="bottom"/>
          </w:tcPr>
          <w:p>
            <w:pPr>
              <w:ind w:left="8260"/>
              <w:spacing w:after="0"/>
              <w:rPr>
                <w:sz w:val="20"/>
                <w:szCs w:val="20"/>
                <w:color w:val="auto"/>
              </w:rPr>
            </w:pPr>
            <w:r>
              <w:rPr>
                <w:rFonts w:ascii="Arial" w:cs="Arial" w:eastAsia="Arial" w:hAnsi="Arial"/>
                <w:sz w:val="16"/>
                <w:szCs w:val="16"/>
                <w:b w:val="1"/>
                <w:bCs w:val="1"/>
                <w:color w:val="auto"/>
              </w:rPr>
              <w:t xml:space="preserve">2026 Proxy Statement </w:t>
            </w:r>
            <w:r>
              <w:rPr>
                <w:rFonts w:ascii="Arial" w:cs="Arial" w:eastAsia="Arial" w:hAnsi="Arial"/>
                <w:sz w:val="16"/>
                <w:szCs w:val="16"/>
                <w:b w:val="1"/>
                <w:bCs w:val="1"/>
                <w:color w:val="0C3471"/>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Pentair</w:t>
            </w:r>
          </w:p>
        </w:tc>
        <w:tc>
          <w:tcPr>
            <w:tcW w:w="460" w:type="dxa"/>
            <w:vAlign w:val="bottom"/>
          </w:tcPr>
          <w:p>
            <w:pPr>
              <w:jc w:val="right"/>
              <w:spacing w:after="0"/>
              <w:rPr>
                <w:sz w:val="20"/>
                <w:szCs w:val="20"/>
                <w:color w:val="auto"/>
              </w:rPr>
            </w:pPr>
            <w:r>
              <w:rPr>
                <w:rFonts w:ascii="Arial" w:cs="Arial" w:eastAsia="Arial" w:hAnsi="Arial"/>
                <w:sz w:val="16"/>
                <w:szCs w:val="16"/>
                <w:b w:val="1"/>
                <w:bCs w:val="1"/>
                <w:color w:val="auto"/>
              </w:rPr>
              <w:t>65</w:t>
            </w:r>
          </w:p>
        </w:tc>
      </w:tr>
      <w:tr>
        <w:trPr>
          <w:trHeight w:val="325"/>
        </w:trPr>
        <w:tc>
          <w:tcPr>
            <w:tcW w:w="107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67" w:name="page68"/>
    <w:bookmarkEnd w:id="67"/>
    <w:p>
      <w:pPr>
        <w:ind w:left="36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216535</wp:posOffset>
            </wp:positionH>
            <wp:positionV relativeFrom="page">
              <wp:posOffset>106045</wp:posOffset>
            </wp:positionV>
            <wp:extent cx="102870" cy="11176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clrChange>
                        <a:clrFrom>
                          <a:srgbClr val="FFFFFF"/>
                        </a:clrFrom>
                        <a:clrTo>
                          <a:srgbClr val="FFFFFF">
                            <a:alpha val="0"/>
                          </a:srgbClr>
                        </a:clrTo>
                      </a:clrChange>
                      <a:extLst>
                        <a:ext uri="{28A0092B-C50C-407E-A947-70E740481C1C}"/>
                      </a:extLst>
                    </a:blip>
                    <a:srcRect/>
                    <a:stretch>
                      <a:fillRect/>
                    </a:stretch>
                  </pic:blipFill>
                  <pic:spPr bwMode="auto">
                    <a:xfrm>
                      <a:off x="0" y="0"/>
                      <a:ext cx="102870" cy="111760"/>
                    </a:xfrm>
                    <a:prstGeom prst="rect">
                      <a:avLst/>
                    </a:prstGeom>
                    <a:noFill/>
                  </pic:spPr>
                </pic:pic>
              </a:graphicData>
            </a:graphic>
          </wp:anchor>
        </w:drawing>
        <w:t>Executive Compensation Tables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right="220"/>
        <w:spacing w:after="0" w:line="321" w:lineRule="auto"/>
        <w:rPr>
          <w:sz w:val="20"/>
          <w:szCs w:val="20"/>
          <w:color w:val="auto"/>
        </w:rPr>
      </w:pPr>
      <w:r>
        <w:rPr>
          <w:rFonts w:ascii="Arial" w:cs="Arial" w:eastAsia="Arial" w:hAnsi="Arial"/>
          <w:sz w:val="16"/>
          <w:szCs w:val="16"/>
          <w:color w:val="auto"/>
        </w:rPr>
        <w:t>The change of control agreements include benefits that could be triggered if the executive’s employment is terminated by us for reasons other than death, disability or cause, or by the executive for good reason, within two years following a change in control. These benefits include:</w:t>
      </w:r>
    </w:p>
    <w:p>
      <w:pPr>
        <w:spacing w:after="0" w:line="34" w:lineRule="exact"/>
        <w:rPr>
          <w:sz w:val="20"/>
          <w:szCs w:val="20"/>
          <w:color w:val="auto"/>
        </w:rPr>
      </w:pPr>
    </w:p>
    <w:p>
      <w:pPr>
        <w:ind w:left="200" w:right="140" w:hanging="192"/>
        <w:spacing w:after="0" w:line="292" w:lineRule="auto"/>
        <w:tabs>
          <w:tab w:leader="none" w:pos="157" w:val="left"/>
        </w:tabs>
        <w:numPr>
          <w:ilvl w:val="0"/>
          <w:numId w:val="124"/>
        </w:numPr>
        <w:rPr>
          <w:rFonts w:ascii="Arial" w:cs="Arial" w:eastAsia="Arial" w:hAnsi="Arial"/>
          <w:sz w:val="13"/>
          <w:szCs w:val="13"/>
          <w:color w:val="64A70B"/>
        </w:rPr>
      </w:pPr>
      <w:r>
        <w:rPr>
          <w:rFonts w:ascii="Arial" w:cs="Arial" w:eastAsia="Arial" w:hAnsi="Arial"/>
          <w:sz w:val="16"/>
          <w:szCs w:val="16"/>
          <w:color w:val="auto"/>
        </w:rPr>
        <w:t>severance payable in a lump sum upon termination in an amount equal to 250% (for Mr. Stauch) or 200% (for all other Named Executive Officers) of annual base salary plus the greatest of the executive’s target bonus for the year of termination, the actual bonus paid during the year prior to the change in control, or the actual bonus paid with respect to the year prior to the change in control;</w:t>
      </w:r>
    </w:p>
    <w:p>
      <w:pPr>
        <w:spacing w:after="0" w:line="30" w:lineRule="exact"/>
        <w:rPr>
          <w:rFonts w:ascii="Arial" w:cs="Arial" w:eastAsia="Arial" w:hAnsi="Arial"/>
          <w:sz w:val="13"/>
          <w:szCs w:val="13"/>
          <w:color w:val="64A70B"/>
        </w:rPr>
      </w:pPr>
    </w:p>
    <w:p>
      <w:pPr>
        <w:ind w:left="160" w:hanging="152"/>
        <w:spacing w:after="0"/>
        <w:tabs>
          <w:tab w:leader="none" w:pos="160" w:val="left"/>
        </w:tabs>
        <w:numPr>
          <w:ilvl w:val="0"/>
          <w:numId w:val="124"/>
        </w:numPr>
        <w:rPr>
          <w:rFonts w:ascii="Arial" w:cs="Arial" w:eastAsia="Arial" w:hAnsi="Arial"/>
          <w:sz w:val="13"/>
          <w:szCs w:val="13"/>
          <w:color w:val="64A70B"/>
        </w:rPr>
      </w:pPr>
      <w:r>
        <w:rPr>
          <w:rFonts w:ascii="Arial" w:cs="Arial" w:eastAsia="Arial" w:hAnsi="Arial"/>
          <w:sz w:val="16"/>
          <w:szCs w:val="16"/>
          <w:color w:val="auto"/>
        </w:rPr>
        <w:t>cash payment to use towards medical, dental and life insurance policies for up to two years;</w:t>
      </w:r>
    </w:p>
    <w:p>
      <w:pPr>
        <w:spacing w:after="0" w:line="99" w:lineRule="exact"/>
        <w:rPr>
          <w:rFonts w:ascii="Arial" w:cs="Arial" w:eastAsia="Arial" w:hAnsi="Arial"/>
          <w:sz w:val="13"/>
          <w:szCs w:val="13"/>
          <w:color w:val="64A70B"/>
        </w:rPr>
      </w:pPr>
    </w:p>
    <w:p>
      <w:pPr>
        <w:ind w:left="160" w:hanging="152"/>
        <w:spacing w:after="0"/>
        <w:tabs>
          <w:tab w:leader="none" w:pos="160" w:val="left"/>
        </w:tabs>
        <w:numPr>
          <w:ilvl w:val="0"/>
          <w:numId w:val="124"/>
        </w:numPr>
        <w:rPr>
          <w:rFonts w:ascii="Arial" w:cs="Arial" w:eastAsia="Arial" w:hAnsi="Arial"/>
          <w:sz w:val="13"/>
          <w:szCs w:val="13"/>
          <w:color w:val="64A70B"/>
        </w:rPr>
      </w:pPr>
      <w:r>
        <w:rPr>
          <w:rFonts w:ascii="Arial" w:cs="Arial" w:eastAsia="Arial" w:hAnsi="Arial"/>
          <w:sz w:val="16"/>
          <w:szCs w:val="16"/>
          <w:color w:val="auto"/>
        </w:rPr>
        <w:t>the cost of an executive search agency not to exceed 10% of the executive’s annual base salary;</w:t>
      </w:r>
    </w:p>
    <w:p>
      <w:pPr>
        <w:spacing w:after="0" w:line="99" w:lineRule="exact"/>
        <w:rPr>
          <w:rFonts w:ascii="Arial" w:cs="Arial" w:eastAsia="Arial" w:hAnsi="Arial"/>
          <w:sz w:val="13"/>
          <w:szCs w:val="13"/>
          <w:color w:val="64A70B"/>
        </w:rPr>
      </w:pPr>
    </w:p>
    <w:p>
      <w:pPr>
        <w:ind w:left="200" w:right="140" w:hanging="192"/>
        <w:spacing w:after="0" w:line="292" w:lineRule="auto"/>
        <w:tabs>
          <w:tab w:leader="none" w:pos="157" w:val="left"/>
        </w:tabs>
        <w:numPr>
          <w:ilvl w:val="0"/>
          <w:numId w:val="124"/>
        </w:numPr>
        <w:rPr>
          <w:rFonts w:ascii="Arial" w:cs="Arial" w:eastAsia="Arial" w:hAnsi="Arial"/>
          <w:sz w:val="13"/>
          <w:szCs w:val="13"/>
          <w:color w:val="64A70B"/>
        </w:rPr>
      </w:pPr>
      <w:r>
        <w:rPr>
          <w:rFonts w:ascii="Arial" w:cs="Arial" w:eastAsia="Arial" w:hAnsi="Arial"/>
          <w:sz w:val="16"/>
          <w:szCs w:val="16"/>
          <w:color w:val="auto"/>
        </w:rPr>
        <w:t>the accelerated accrual and vesting of benefits under the SERP (for Mr. Stauch, who has been made a participant in that plan) and under any non-qualified defined contribution retirement plans; and for those executives who participate in the SERP and have fewer than seven years of participation in the SERP, up to three additional years of service can be credited, up to a maximum of seven years of service;</w:t>
      </w:r>
    </w:p>
    <w:p>
      <w:pPr>
        <w:spacing w:after="0" w:line="30" w:lineRule="exact"/>
        <w:rPr>
          <w:rFonts w:ascii="Arial" w:cs="Arial" w:eastAsia="Arial" w:hAnsi="Arial"/>
          <w:sz w:val="13"/>
          <w:szCs w:val="13"/>
          <w:color w:val="64A70B"/>
        </w:rPr>
      </w:pPr>
    </w:p>
    <w:p>
      <w:pPr>
        <w:ind w:left="160" w:hanging="152"/>
        <w:spacing w:after="0"/>
        <w:tabs>
          <w:tab w:leader="none" w:pos="160" w:val="left"/>
        </w:tabs>
        <w:numPr>
          <w:ilvl w:val="0"/>
          <w:numId w:val="124"/>
        </w:numPr>
        <w:rPr>
          <w:rFonts w:ascii="Arial" w:cs="Arial" w:eastAsia="Arial" w:hAnsi="Arial"/>
          <w:sz w:val="13"/>
          <w:szCs w:val="13"/>
          <w:color w:val="64A70B"/>
        </w:rPr>
      </w:pPr>
      <w:r>
        <w:rPr>
          <w:rFonts w:ascii="Arial" w:cs="Arial" w:eastAsia="Arial" w:hAnsi="Arial"/>
          <w:sz w:val="16"/>
          <w:szCs w:val="16"/>
          <w:color w:val="auto"/>
        </w:rPr>
        <w:t>up to $15,000 in fees and expenses of consultants and legal or accounting advisors; and</w:t>
      </w:r>
    </w:p>
    <w:p>
      <w:pPr>
        <w:spacing w:after="0" w:line="99" w:lineRule="exact"/>
        <w:rPr>
          <w:rFonts w:ascii="Arial" w:cs="Arial" w:eastAsia="Arial" w:hAnsi="Arial"/>
          <w:sz w:val="13"/>
          <w:szCs w:val="13"/>
          <w:color w:val="64A70B"/>
        </w:rPr>
      </w:pPr>
    </w:p>
    <w:p>
      <w:pPr>
        <w:ind w:left="200" w:right="40" w:hanging="192"/>
        <w:spacing w:after="0" w:line="292" w:lineRule="auto"/>
        <w:tabs>
          <w:tab w:leader="none" w:pos="157" w:val="left"/>
        </w:tabs>
        <w:numPr>
          <w:ilvl w:val="0"/>
          <w:numId w:val="124"/>
        </w:numPr>
        <w:rPr>
          <w:rFonts w:ascii="Arial" w:cs="Arial" w:eastAsia="Arial" w:hAnsi="Arial"/>
          <w:sz w:val="13"/>
          <w:szCs w:val="13"/>
          <w:color w:val="64A70B"/>
        </w:rPr>
      </w:pPr>
      <w:r>
        <w:rPr>
          <w:rFonts w:ascii="Arial" w:cs="Arial" w:eastAsia="Arial" w:hAnsi="Arial"/>
          <w:sz w:val="16"/>
          <w:szCs w:val="16"/>
          <w:color w:val="auto"/>
        </w:rPr>
        <w:t>all equity-based and cash incentive awards granted prior to the change in control will be subject to the terms of the incentive plan under which they were granted (including accelerated vesting, if provided for in the applicable incentive plan), and all equity-based and cash incentive awards granted on or after the change in control will vest or be earned in full upon such termination.</w:t>
      </w:r>
    </w:p>
    <w:p>
      <w:pPr>
        <w:spacing w:after="0" w:line="71" w:lineRule="exact"/>
        <w:rPr>
          <w:sz w:val="20"/>
          <w:szCs w:val="20"/>
          <w:color w:val="auto"/>
        </w:rPr>
      </w:pPr>
    </w:p>
    <w:p>
      <w:pPr>
        <w:ind w:right="20"/>
        <w:spacing w:after="0" w:line="292" w:lineRule="auto"/>
        <w:rPr>
          <w:sz w:val="20"/>
          <w:szCs w:val="20"/>
          <w:color w:val="auto"/>
        </w:rPr>
      </w:pPr>
      <w:r>
        <w:rPr>
          <w:rFonts w:ascii="Arial" w:cs="Arial" w:eastAsia="Arial" w:hAnsi="Arial"/>
          <w:sz w:val="16"/>
          <w:szCs w:val="16"/>
          <w:color w:val="auto"/>
        </w:rPr>
        <w:t>In the case of each Named Executive Officer, the agreement also requires the executive to devote his or her best efforts to us or our successor during a two-year period, to maintain the confidentiality of our information during and following employment and to refrain from competitive activities for a period of one year following termination of employment with us or our successor, subject to state law requirements associated with non-compete agreements.</w:t>
      </w:r>
    </w:p>
    <w:p>
      <w:pPr>
        <w:spacing w:after="0" w:line="71" w:lineRule="exact"/>
        <w:rPr>
          <w:sz w:val="20"/>
          <w:szCs w:val="20"/>
          <w:color w:val="auto"/>
        </w:rPr>
      </w:pPr>
    </w:p>
    <w:p>
      <w:pPr>
        <w:ind w:right="200"/>
        <w:spacing w:after="0" w:line="292" w:lineRule="auto"/>
        <w:rPr>
          <w:sz w:val="20"/>
          <w:szCs w:val="20"/>
          <w:color w:val="auto"/>
        </w:rPr>
      </w:pPr>
      <w:r>
        <w:rPr>
          <w:rFonts w:ascii="Arial" w:cs="Arial" w:eastAsia="Arial" w:hAnsi="Arial"/>
          <w:sz w:val="16"/>
          <w:szCs w:val="16"/>
          <w:i w:val="1"/>
          <w:iCs w:val="1"/>
          <w:color w:val="auto"/>
        </w:rPr>
        <w:t xml:space="preserve">Executive Severance Plan. </w:t>
      </w:r>
      <w:r>
        <w:rPr>
          <w:rFonts w:ascii="Arial" w:cs="Arial" w:eastAsia="Arial" w:hAnsi="Arial"/>
          <w:sz w:val="16"/>
          <w:szCs w:val="16"/>
          <w:color w:val="auto"/>
        </w:rPr>
        <w:t>Under the Executive Severance Plan, all executive officers that are not party to a KEESA are entitled to receive certain</w:t>
      </w:r>
      <w:r>
        <w:rPr>
          <w:rFonts w:ascii="Arial" w:cs="Arial" w:eastAsia="Arial" w:hAnsi="Arial"/>
          <w:sz w:val="16"/>
          <w:szCs w:val="16"/>
          <w:i w:val="1"/>
          <w:iCs w:val="1"/>
          <w:color w:val="auto"/>
        </w:rPr>
        <w:t xml:space="preserve"> </w:t>
      </w:r>
      <w:r>
        <w:rPr>
          <w:rFonts w:ascii="Arial" w:cs="Arial" w:eastAsia="Arial" w:hAnsi="Arial"/>
          <w:sz w:val="16"/>
          <w:szCs w:val="16"/>
          <w:color w:val="auto"/>
        </w:rPr>
        <w:t>severance payments if, following a change in control, the executive officer is involuntarily terminated, other than for death, disability or for cause, or if such executive officer terminates his or her employment for conditions that constitute good reason.</w:t>
      </w:r>
    </w:p>
    <w:p>
      <w:pPr>
        <w:spacing w:after="0" w:line="282" w:lineRule="exact"/>
        <w:rPr>
          <w:sz w:val="20"/>
          <w:szCs w:val="20"/>
          <w:color w:val="auto"/>
        </w:rPr>
      </w:pPr>
    </w:p>
    <w:p>
      <w:pPr>
        <w:ind w:left="20"/>
        <w:spacing w:after="0"/>
        <w:rPr>
          <w:sz w:val="20"/>
          <w:szCs w:val="20"/>
          <w:color w:val="auto"/>
        </w:rPr>
      </w:pPr>
      <w:r>
        <w:rPr>
          <w:rFonts w:ascii="Arial" w:cs="Arial" w:eastAsia="Arial" w:hAnsi="Arial"/>
          <w:sz w:val="29"/>
          <w:szCs w:val="29"/>
          <w:color w:val="64A70B"/>
        </w:rPr>
        <w:t>Change in Control and Termination Provisions of Incentive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4" w:lineRule="exact"/>
        <w:rPr>
          <w:sz w:val="20"/>
          <w:szCs w:val="20"/>
          <w:color w:val="auto"/>
        </w:rPr>
      </w:pPr>
    </w:p>
    <w:p>
      <w:pPr>
        <w:spacing w:after="0"/>
        <w:rPr>
          <w:sz w:val="20"/>
          <w:szCs w:val="20"/>
          <w:color w:val="auto"/>
        </w:rPr>
      </w:pPr>
      <w:r>
        <w:rPr>
          <w:rFonts w:ascii="Arial" w:cs="Arial" w:eastAsia="Arial" w:hAnsi="Arial"/>
          <w:sz w:val="16"/>
          <w:szCs w:val="16"/>
          <w:b w:val="1"/>
          <w:bCs w:val="1"/>
          <w:color w:val="0C3471"/>
        </w:rPr>
        <w:t>Change in Control Provisions</w:t>
      </w:r>
    </w:p>
    <w:p>
      <w:pPr>
        <w:spacing w:after="0" w:line="127" w:lineRule="exact"/>
        <w:rPr>
          <w:sz w:val="20"/>
          <w:szCs w:val="20"/>
          <w:color w:val="auto"/>
        </w:rPr>
      </w:pPr>
    </w:p>
    <w:p>
      <w:pPr>
        <w:ind w:right="180"/>
        <w:spacing w:after="0" w:line="304" w:lineRule="auto"/>
        <w:rPr>
          <w:sz w:val="20"/>
          <w:szCs w:val="20"/>
          <w:color w:val="auto"/>
        </w:rPr>
      </w:pPr>
      <w:r>
        <w:rPr>
          <w:rFonts w:ascii="Arial" w:cs="Arial" w:eastAsia="Arial" w:hAnsi="Arial"/>
          <w:sz w:val="16"/>
          <w:szCs w:val="16"/>
          <w:color w:val="auto"/>
        </w:rPr>
        <w:t>The 2020 Plan and the most recent predecessor plan provide that, upon a change in control, unless an agreement between us and the executive provides for a more favorable result to the executive:</w:t>
      </w:r>
    </w:p>
    <w:p>
      <w:pPr>
        <w:spacing w:after="0" w:line="60" w:lineRule="exact"/>
        <w:rPr>
          <w:sz w:val="20"/>
          <w:szCs w:val="20"/>
          <w:color w:val="auto"/>
        </w:rPr>
      </w:pPr>
    </w:p>
    <w:p>
      <w:pPr>
        <w:ind w:left="160" w:hanging="152"/>
        <w:spacing w:after="0"/>
        <w:tabs>
          <w:tab w:leader="none" w:pos="160" w:val="left"/>
        </w:tabs>
        <w:numPr>
          <w:ilvl w:val="0"/>
          <w:numId w:val="125"/>
        </w:numPr>
        <w:rPr>
          <w:rFonts w:ascii="Arial" w:cs="Arial" w:eastAsia="Arial" w:hAnsi="Arial"/>
          <w:sz w:val="13"/>
          <w:szCs w:val="13"/>
          <w:color w:val="64A70B"/>
        </w:rPr>
      </w:pPr>
      <w:r>
        <w:rPr>
          <w:rFonts w:ascii="Arial" w:cs="Arial" w:eastAsia="Arial" w:hAnsi="Arial"/>
          <w:sz w:val="16"/>
          <w:szCs w:val="16"/>
          <w:color w:val="auto"/>
        </w:rPr>
        <w:t>all outstanding options, restricted stock and restricted stock units that are not performance awards are immediately vested;</w:t>
      </w:r>
    </w:p>
    <w:p>
      <w:pPr>
        <w:spacing w:after="0" w:line="99" w:lineRule="exact"/>
        <w:rPr>
          <w:rFonts w:ascii="Arial" w:cs="Arial" w:eastAsia="Arial" w:hAnsi="Arial"/>
          <w:sz w:val="13"/>
          <w:szCs w:val="13"/>
          <w:color w:val="64A70B"/>
        </w:rPr>
      </w:pPr>
    </w:p>
    <w:p>
      <w:pPr>
        <w:ind w:left="200" w:right="260" w:hanging="192"/>
        <w:spacing w:after="0" w:line="304" w:lineRule="auto"/>
        <w:tabs>
          <w:tab w:leader="none" w:pos="157" w:val="left"/>
        </w:tabs>
        <w:numPr>
          <w:ilvl w:val="0"/>
          <w:numId w:val="125"/>
        </w:numPr>
        <w:rPr>
          <w:rFonts w:ascii="Arial" w:cs="Arial" w:eastAsia="Arial" w:hAnsi="Arial"/>
          <w:sz w:val="13"/>
          <w:szCs w:val="13"/>
          <w:color w:val="64A70B"/>
        </w:rPr>
      </w:pPr>
      <w:r>
        <w:rPr>
          <w:rFonts w:ascii="Arial" w:cs="Arial" w:eastAsia="Arial" w:hAnsi="Arial"/>
          <w:sz w:val="16"/>
          <w:szCs w:val="16"/>
          <w:color w:val="auto"/>
        </w:rPr>
        <w:t>all outstanding performance awards (other than annual incentive awards) vest and are paid in full based on performance at the better of target or trend; and</w:t>
      </w:r>
    </w:p>
    <w:p>
      <w:pPr>
        <w:spacing w:after="0" w:line="19" w:lineRule="exact"/>
        <w:rPr>
          <w:rFonts w:ascii="Arial" w:cs="Arial" w:eastAsia="Arial" w:hAnsi="Arial"/>
          <w:sz w:val="13"/>
          <w:szCs w:val="13"/>
          <w:color w:val="64A70B"/>
        </w:rPr>
      </w:pPr>
    </w:p>
    <w:p>
      <w:pPr>
        <w:ind w:left="160" w:hanging="152"/>
        <w:spacing w:after="0"/>
        <w:tabs>
          <w:tab w:leader="none" w:pos="160" w:val="left"/>
        </w:tabs>
        <w:numPr>
          <w:ilvl w:val="0"/>
          <w:numId w:val="125"/>
        </w:numPr>
        <w:rPr>
          <w:rFonts w:ascii="Arial" w:cs="Arial" w:eastAsia="Arial" w:hAnsi="Arial"/>
          <w:sz w:val="13"/>
          <w:szCs w:val="13"/>
          <w:color w:val="64A70B"/>
        </w:rPr>
      </w:pPr>
      <w:r>
        <w:rPr>
          <w:rFonts w:ascii="Arial" w:cs="Arial" w:eastAsia="Arial" w:hAnsi="Arial"/>
          <w:sz w:val="16"/>
          <w:szCs w:val="16"/>
          <w:color w:val="auto"/>
        </w:rPr>
        <w:t>all outstanding annual incentive awards are paid based on deemed full satisfaction of the performance goals.</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0C3471"/>
        </w:rPr>
        <w:t>Termination Provisions</w:t>
      </w:r>
    </w:p>
    <w:p>
      <w:pPr>
        <w:spacing w:after="0" w:line="127" w:lineRule="exact"/>
        <w:rPr>
          <w:sz w:val="20"/>
          <w:szCs w:val="20"/>
          <w:color w:val="auto"/>
        </w:rPr>
      </w:pPr>
    </w:p>
    <w:p>
      <w:pPr>
        <w:ind w:left="160" w:hanging="152"/>
        <w:spacing w:after="0"/>
        <w:tabs>
          <w:tab w:leader="none" w:pos="160" w:val="left"/>
        </w:tabs>
        <w:numPr>
          <w:ilvl w:val="0"/>
          <w:numId w:val="126"/>
        </w:numPr>
        <w:rPr>
          <w:rFonts w:ascii="Arial" w:cs="Arial" w:eastAsia="Arial" w:hAnsi="Arial"/>
          <w:sz w:val="13"/>
          <w:szCs w:val="13"/>
          <w:color w:val="64A70B"/>
        </w:rPr>
      </w:pPr>
      <w:r>
        <w:rPr>
          <w:rFonts w:ascii="Arial" w:cs="Arial" w:eastAsia="Arial" w:hAnsi="Arial"/>
          <w:sz w:val="16"/>
          <w:szCs w:val="16"/>
          <w:b w:val="1"/>
          <w:bCs w:val="1"/>
          <w:i w:val="1"/>
          <w:iCs w:val="1"/>
          <w:color w:val="auto"/>
        </w:rPr>
        <w:t xml:space="preserve">Retirement. </w:t>
      </w:r>
      <w:r>
        <w:rPr>
          <w:rFonts w:ascii="Arial" w:cs="Arial" w:eastAsia="Arial" w:hAnsi="Arial"/>
          <w:sz w:val="16"/>
          <w:szCs w:val="16"/>
          <w:color w:val="auto"/>
        </w:rPr>
        <w:t>If any of the Named Executive Officers terminates employment in a retirement with at least 10 years of service:</w:t>
      </w:r>
    </w:p>
    <w:p>
      <w:pPr>
        <w:spacing w:after="0" w:line="127" w:lineRule="exact"/>
        <w:rPr>
          <w:sz w:val="20"/>
          <w:szCs w:val="20"/>
          <w:color w:val="auto"/>
        </w:rPr>
      </w:pPr>
    </w:p>
    <w:p>
      <w:pPr>
        <w:ind w:left="400" w:hanging="198"/>
        <w:spacing w:after="0" w:line="321" w:lineRule="auto"/>
        <w:tabs>
          <w:tab w:leader="none" w:pos="394" w:val="left"/>
        </w:tabs>
        <w:numPr>
          <w:ilvl w:val="0"/>
          <w:numId w:val="127"/>
        </w:numPr>
        <w:rPr>
          <w:rFonts w:ascii="Wingdings" w:cs="Wingdings" w:eastAsia="Wingdings" w:hAnsi="Wingdings"/>
          <w:sz w:val="16"/>
          <w:szCs w:val="16"/>
          <w:b w:val="1"/>
          <w:bCs w:val="1"/>
          <w:color w:val="BCBEC0"/>
        </w:rPr>
      </w:pPr>
      <w:r>
        <w:rPr>
          <w:rFonts w:ascii="Arial" w:cs="Arial" w:eastAsia="Arial" w:hAnsi="Arial"/>
          <w:sz w:val="16"/>
          <w:szCs w:val="16"/>
          <w:color w:val="auto"/>
        </w:rPr>
        <w:t>If the retirement is prior to age 60: unvested options are forfeited; restricted stock and restricted stock units (that are not performance awards or for which any performance goals have been satisfied) vest pro rata; and performance awards are paid on a pro rata basis based on actual performance; or</w:t>
      </w:r>
    </w:p>
    <w:p>
      <w:pPr>
        <w:spacing w:after="0" w:line="200" w:lineRule="exact"/>
        <w:rPr>
          <w:sz w:val="20"/>
          <w:szCs w:val="20"/>
          <w:color w:val="auto"/>
        </w:rPr>
      </w:pPr>
    </w:p>
    <w:p>
      <w:pPr>
        <w:spacing w:after="0" w:line="361" w:lineRule="exact"/>
        <w:rPr>
          <w:sz w:val="20"/>
          <w:szCs w:val="20"/>
          <w:color w:val="auto"/>
        </w:rPr>
      </w:pPr>
    </w:p>
    <w:p>
      <w:pPr>
        <w:ind w:left="600" w:hanging="574"/>
        <w:spacing w:after="0"/>
        <w:tabs>
          <w:tab w:leader="none" w:pos="600" w:val="left"/>
        </w:tabs>
        <w:numPr>
          <w:ilvl w:val="0"/>
          <w:numId w:val="128"/>
        </w:numPr>
        <w:rPr>
          <w:rFonts w:ascii="Arial" w:cs="Arial" w:eastAsia="Arial" w:hAnsi="Arial"/>
          <w:sz w:val="16"/>
          <w:szCs w:val="16"/>
          <w:b w:val="1"/>
          <w:bCs w:val="1"/>
          <w:color w:val="auto"/>
        </w:rPr>
      </w:pPr>
      <w:r>
        <w:rPr>
          <w:rFonts w:ascii="Arial" w:cs="Arial" w:eastAsia="Arial" w:hAnsi="Arial"/>
          <w:sz w:val="16"/>
          <w:szCs w:val="16"/>
          <w:color w:val="auto"/>
        </w:rPr>
        <w:t xml:space="preserve">Pentair </w:t>
      </w:r>
      <w:r>
        <w:rPr>
          <w:rFonts w:ascii="Arial" w:cs="Arial" w:eastAsia="Arial" w:hAnsi="Arial"/>
          <w:sz w:val="16"/>
          <w:szCs w:val="16"/>
          <w:b w:val="1"/>
          <w:bCs w:val="1"/>
          <w:color w:val="0C3471"/>
        </w:rPr>
        <w:t>|</w:t>
      </w:r>
      <w:r>
        <w:rPr>
          <w:rFonts w:ascii="Arial" w:cs="Arial" w:eastAsia="Arial" w:hAnsi="Arial"/>
          <w:sz w:val="16"/>
          <w:szCs w:val="16"/>
          <w:color w:val="auto"/>
        </w:rPr>
        <w:t xml:space="preserve"> </w:t>
      </w:r>
      <w:r>
        <w:rPr>
          <w:rFonts w:ascii="Arial" w:cs="Arial" w:eastAsia="Arial" w:hAnsi="Arial"/>
          <w:sz w:val="16"/>
          <w:szCs w:val="16"/>
          <w:b w:val="1"/>
          <w:bCs w:val="1"/>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213995</wp:posOffset>
            </wp:positionV>
            <wp:extent cx="7157720" cy="425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9" w:right="359" w:bottom="1440" w:gutter="0" w:footer="0" w:header="0"/>
        </w:sectPr>
      </w:pPr>
    </w:p>
    <w:bookmarkStart w:id="68" w:name="page69"/>
    <w:bookmarkEnd w:id="68"/>
    <w:p>
      <w:pPr>
        <w:ind w:left="874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5274310</wp:posOffset>
            </wp:positionH>
            <wp:positionV relativeFrom="page">
              <wp:posOffset>106045</wp:posOffset>
            </wp:positionV>
            <wp:extent cx="102870" cy="11176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clrChange>
                        <a:clrFrom>
                          <a:srgbClr val="FFFFFF"/>
                        </a:clrFrom>
                        <a:clrTo>
                          <a:srgbClr val="FFFFFF">
                            <a:alpha val="0"/>
                          </a:srgbClr>
                        </a:clrTo>
                      </a:clrChange>
                      <a:extLst>
                        <a:ext uri="{28A0092B-C50C-407E-A947-70E740481C1C}"/>
                      </a:extLst>
                    </a:blip>
                    <a:srcRect/>
                    <a:stretch>
                      <a:fillRect/>
                    </a:stretch>
                  </pic:blipFill>
                  <pic:spPr bwMode="auto">
                    <a:xfrm>
                      <a:off x="0" y="0"/>
                      <a:ext cx="102870" cy="111760"/>
                    </a:xfrm>
                    <a:prstGeom prst="rect">
                      <a:avLst/>
                    </a:prstGeom>
                    <a:noFill/>
                  </pic:spPr>
                </pic:pic>
              </a:graphicData>
            </a:graphic>
          </wp:anchor>
        </w:drawing>
        <w:t>Executive Compensation Tables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400" w:hanging="198"/>
        <w:spacing w:after="0" w:line="289" w:lineRule="auto"/>
        <w:tabs>
          <w:tab w:leader="none" w:pos="394" w:val="left"/>
        </w:tabs>
        <w:numPr>
          <w:ilvl w:val="0"/>
          <w:numId w:val="129"/>
        </w:numPr>
        <w:rPr>
          <w:rFonts w:ascii="Wingdings" w:cs="Wingdings" w:eastAsia="Wingdings" w:hAnsi="Wingdings"/>
          <w:sz w:val="16"/>
          <w:szCs w:val="16"/>
          <w:b w:val="1"/>
          <w:bCs w:val="1"/>
          <w:color w:val="BCBEC0"/>
        </w:rPr>
      </w:pPr>
      <w:r>
        <w:rPr>
          <w:rFonts w:ascii="Arial" w:cs="Arial" w:eastAsia="Arial" w:hAnsi="Arial"/>
          <w:sz w:val="16"/>
          <w:szCs w:val="16"/>
          <w:color w:val="auto"/>
        </w:rPr>
        <w:t>If the retirement is after age 60: options continue to vest for five years; restricted stock and restricted stock units (that are not performance awards or for which any performance goals have been satisfied) vest in full; and performance awards are paid in full based on actual performance (or on a pro-rated basis for performance awards granted to persons hired or promoted to executive officer after January 1, 2021), in each case as described in more detail below for treatment of awards in the event of a Covered Termination.</w:t>
      </w:r>
    </w:p>
    <w:p>
      <w:pPr>
        <w:spacing w:after="0" w:line="59" w:lineRule="exact"/>
        <w:rPr>
          <w:sz w:val="20"/>
          <w:szCs w:val="20"/>
          <w:color w:val="auto"/>
        </w:rPr>
      </w:pPr>
    </w:p>
    <w:p>
      <w:pPr>
        <w:ind w:left="200" w:right="720" w:hanging="192"/>
        <w:spacing w:after="0" w:line="321" w:lineRule="auto"/>
        <w:tabs>
          <w:tab w:leader="none" w:pos="157" w:val="left"/>
        </w:tabs>
        <w:numPr>
          <w:ilvl w:val="0"/>
          <w:numId w:val="130"/>
        </w:numPr>
        <w:rPr>
          <w:rFonts w:ascii="Arial" w:cs="Arial" w:eastAsia="Arial" w:hAnsi="Arial"/>
          <w:sz w:val="13"/>
          <w:szCs w:val="13"/>
          <w:color w:val="64A70B"/>
        </w:rPr>
      </w:pPr>
      <w:r>
        <w:rPr>
          <w:rFonts w:ascii="Arial" w:cs="Arial" w:eastAsia="Arial" w:hAnsi="Arial"/>
          <w:sz w:val="16"/>
          <w:szCs w:val="16"/>
          <w:b w:val="1"/>
          <w:bCs w:val="1"/>
          <w:i w:val="1"/>
          <w:iCs w:val="1"/>
          <w:color w:val="auto"/>
        </w:rPr>
        <w:t xml:space="preserve">Death or Disability. </w:t>
      </w:r>
      <w:r>
        <w:rPr>
          <w:rFonts w:ascii="Arial" w:cs="Arial" w:eastAsia="Arial" w:hAnsi="Arial"/>
          <w:sz w:val="16"/>
          <w:szCs w:val="16"/>
          <w:color w:val="auto"/>
        </w:rPr>
        <w:t>If any of the Named Executive Officers terminates employment as a result of death or disability, options, restricted stock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restricted stock units are immediately vested; and performance awards are paid in full based on actual performance.</w:t>
      </w:r>
    </w:p>
    <w:p>
      <w:pPr>
        <w:spacing w:after="0" w:line="7" w:lineRule="exact"/>
        <w:rPr>
          <w:rFonts w:ascii="Arial" w:cs="Arial" w:eastAsia="Arial" w:hAnsi="Arial"/>
          <w:sz w:val="13"/>
          <w:szCs w:val="13"/>
          <w:color w:val="64A70B"/>
        </w:rPr>
      </w:pPr>
    </w:p>
    <w:p>
      <w:pPr>
        <w:ind w:left="200" w:right="80" w:hanging="192"/>
        <w:spacing w:after="0" w:line="282" w:lineRule="auto"/>
        <w:tabs>
          <w:tab w:leader="none" w:pos="157" w:val="left"/>
        </w:tabs>
        <w:numPr>
          <w:ilvl w:val="0"/>
          <w:numId w:val="130"/>
        </w:numPr>
        <w:rPr>
          <w:rFonts w:ascii="Arial" w:cs="Arial" w:eastAsia="Arial" w:hAnsi="Arial"/>
          <w:sz w:val="13"/>
          <w:szCs w:val="13"/>
          <w:color w:val="64A70B"/>
        </w:rPr>
      </w:pPr>
      <w:r>
        <w:rPr>
          <w:rFonts w:ascii="Arial" w:cs="Arial" w:eastAsia="Arial" w:hAnsi="Arial"/>
          <w:sz w:val="16"/>
          <w:szCs w:val="16"/>
          <w:b w:val="1"/>
          <w:bCs w:val="1"/>
          <w:i w:val="1"/>
          <w:iCs w:val="1"/>
          <w:color w:val="auto"/>
        </w:rPr>
        <w:t xml:space="preserve">Termination Without Cause or for Good Reason. </w:t>
      </w:r>
      <w:r>
        <w:rPr>
          <w:rFonts w:ascii="Arial" w:cs="Arial" w:eastAsia="Arial" w:hAnsi="Arial"/>
          <w:sz w:val="16"/>
          <w:szCs w:val="16"/>
          <w:color w:val="auto"/>
        </w:rPr>
        <w:t>If any of the Named Executive Officers terminates employment in an involuntary termination for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reason other than cause, death or disability (a “Covered Termination”), or in a voluntary termination for good reason, then the employee’s outstanding awards will be eligible for continued or accelerated vesting, as described below. For a Named Executive Officer’s termination to be considered a Covered Termination, the officer must execute a general release in a form and manner determined by us. Upon a Covered Termination, awards held by a Board-appointed corporate officer, including such a Named Executive Officer, will be treated as follows:</w:t>
      </w:r>
    </w:p>
    <w:p>
      <w:pPr>
        <w:spacing w:after="0" w:line="40" w:lineRule="exact"/>
        <w:rPr>
          <w:sz w:val="20"/>
          <w:szCs w:val="20"/>
          <w:color w:val="auto"/>
        </w:rPr>
      </w:pPr>
    </w:p>
    <w:p>
      <w:pPr>
        <w:ind w:left="400" w:right="280" w:hanging="198"/>
        <w:spacing w:after="0" w:line="321" w:lineRule="auto"/>
        <w:tabs>
          <w:tab w:leader="none" w:pos="394" w:val="left"/>
        </w:tabs>
        <w:numPr>
          <w:ilvl w:val="0"/>
          <w:numId w:val="131"/>
        </w:numPr>
        <w:rPr>
          <w:rFonts w:ascii="Wingdings" w:cs="Wingdings" w:eastAsia="Wingdings" w:hAnsi="Wingdings"/>
          <w:sz w:val="16"/>
          <w:szCs w:val="16"/>
          <w:b w:val="1"/>
          <w:bCs w:val="1"/>
          <w:color w:val="BCBEC0"/>
        </w:rPr>
      </w:pPr>
      <w:r>
        <w:rPr>
          <w:rFonts w:ascii="Arial" w:cs="Arial" w:eastAsia="Arial" w:hAnsi="Arial"/>
          <w:sz w:val="16"/>
          <w:szCs w:val="16"/>
          <w:color w:val="auto"/>
        </w:rPr>
        <w:t>Stock options will remain outstanding, and will continue to vest in accordance with their terms as if the officer had remained in employment, until the earlier of the expiration date of the stock option or the fifth anniversary of the Covered Termination.</w:t>
      </w:r>
    </w:p>
    <w:p>
      <w:pPr>
        <w:spacing w:after="0" w:line="7" w:lineRule="exact"/>
        <w:rPr>
          <w:rFonts w:ascii="Wingdings" w:cs="Wingdings" w:eastAsia="Wingdings" w:hAnsi="Wingdings"/>
          <w:sz w:val="16"/>
          <w:szCs w:val="16"/>
          <w:b w:val="1"/>
          <w:bCs w:val="1"/>
          <w:color w:val="BCBEC0"/>
        </w:rPr>
      </w:pPr>
    </w:p>
    <w:p>
      <w:pPr>
        <w:ind w:left="400" w:hanging="198"/>
        <w:spacing w:after="0"/>
        <w:tabs>
          <w:tab w:leader="none" w:pos="400" w:val="left"/>
        </w:tabs>
        <w:numPr>
          <w:ilvl w:val="0"/>
          <w:numId w:val="131"/>
        </w:numPr>
        <w:rPr>
          <w:rFonts w:ascii="Wingdings" w:cs="Wingdings" w:eastAsia="Wingdings" w:hAnsi="Wingdings"/>
          <w:sz w:val="16"/>
          <w:szCs w:val="16"/>
          <w:b w:val="1"/>
          <w:bCs w:val="1"/>
          <w:color w:val="BCBEC0"/>
        </w:rPr>
      </w:pPr>
      <w:r>
        <w:rPr>
          <w:rFonts w:ascii="Arial" w:cs="Arial" w:eastAsia="Arial" w:hAnsi="Arial"/>
          <w:sz w:val="16"/>
          <w:szCs w:val="16"/>
          <w:color w:val="auto"/>
        </w:rPr>
        <w:t>Restricted stock and restricted stock units (that are not performance awards or for which any performance goals have been satisfied) will vest in full.</w:t>
      </w:r>
    </w:p>
    <w:p>
      <w:pPr>
        <w:spacing w:after="0" w:line="99" w:lineRule="exact"/>
        <w:rPr>
          <w:rFonts w:ascii="Wingdings" w:cs="Wingdings" w:eastAsia="Wingdings" w:hAnsi="Wingdings"/>
          <w:sz w:val="16"/>
          <w:szCs w:val="16"/>
          <w:b w:val="1"/>
          <w:bCs w:val="1"/>
          <w:color w:val="BCBEC0"/>
        </w:rPr>
      </w:pPr>
    </w:p>
    <w:p>
      <w:pPr>
        <w:ind w:left="400" w:right="160" w:hanging="198"/>
        <w:spacing w:after="0" w:line="282" w:lineRule="auto"/>
        <w:tabs>
          <w:tab w:leader="none" w:pos="394" w:val="left"/>
        </w:tabs>
        <w:numPr>
          <w:ilvl w:val="0"/>
          <w:numId w:val="131"/>
        </w:numPr>
        <w:rPr>
          <w:rFonts w:ascii="Wingdings" w:cs="Wingdings" w:eastAsia="Wingdings" w:hAnsi="Wingdings"/>
          <w:sz w:val="16"/>
          <w:szCs w:val="16"/>
          <w:b w:val="1"/>
          <w:bCs w:val="1"/>
          <w:color w:val="BCBEC0"/>
        </w:rPr>
      </w:pPr>
      <w:r>
        <w:rPr>
          <w:rFonts w:ascii="Arial" w:cs="Arial" w:eastAsia="Arial" w:hAnsi="Arial"/>
          <w:sz w:val="16"/>
          <w:szCs w:val="16"/>
          <w:color w:val="auto"/>
        </w:rPr>
        <w:t>Performance awards, including restricted stock and restricted stock units that have performance-based vesting, will vest following the end of the performance period based on achievement of the performance goals established for the awards as if the employee had not experienced a Covered Termination. In December 2020, we revised the treatment of performance awards for persons who are hired as or promoted to an executive officer on or after January 1, 2021 to provide that the award will continue to vest based on actual achievement; however, the payout will be prorated for the portion of the performance period when the executive officer was employed.</w:t>
      </w:r>
    </w:p>
    <w:p>
      <w:pPr>
        <w:spacing w:after="0" w:line="80" w:lineRule="exact"/>
        <w:rPr>
          <w:sz w:val="20"/>
          <w:szCs w:val="20"/>
          <w:color w:val="auto"/>
        </w:rPr>
      </w:pPr>
    </w:p>
    <w:p>
      <w:pPr>
        <w:ind w:right="40"/>
        <w:spacing w:after="0" w:line="304" w:lineRule="auto"/>
        <w:rPr>
          <w:sz w:val="20"/>
          <w:szCs w:val="20"/>
          <w:color w:val="auto"/>
        </w:rPr>
      </w:pPr>
      <w:r>
        <w:rPr>
          <w:rFonts w:ascii="Arial" w:cs="Arial" w:eastAsia="Arial" w:hAnsi="Arial"/>
          <w:sz w:val="16"/>
          <w:szCs w:val="16"/>
          <w:color w:val="auto"/>
        </w:rPr>
        <w:t>Under the 2020 Plan, the term “cause” means an act or omission by the officer as is determined by the plan administrator to constitute cause for termination, including but not limited to any of the following:</w:t>
      </w:r>
    </w:p>
    <w:p>
      <w:pPr>
        <w:spacing w:after="0" w:line="60" w:lineRule="exact"/>
        <w:rPr>
          <w:sz w:val="20"/>
          <w:szCs w:val="20"/>
          <w:color w:val="auto"/>
        </w:rPr>
      </w:pPr>
    </w:p>
    <w:p>
      <w:pPr>
        <w:ind w:left="160" w:hanging="152"/>
        <w:spacing w:after="0"/>
        <w:tabs>
          <w:tab w:leader="none" w:pos="160" w:val="left"/>
        </w:tabs>
        <w:numPr>
          <w:ilvl w:val="0"/>
          <w:numId w:val="132"/>
        </w:numPr>
        <w:rPr>
          <w:rFonts w:ascii="Arial" w:cs="Arial" w:eastAsia="Arial" w:hAnsi="Arial"/>
          <w:sz w:val="13"/>
          <w:szCs w:val="13"/>
          <w:color w:val="64A70B"/>
        </w:rPr>
      </w:pPr>
      <w:r>
        <w:rPr>
          <w:rFonts w:ascii="Arial" w:cs="Arial" w:eastAsia="Arial" w:hAnsi="Arial"/>
          <w:sz w:val="16"/>
          <w:szCs w:val="16"/>
          <w:color w:val="auto"/>
        </w:rPr>
        <w:t>a material violation of any company policy;</w:t>
      </w:r>
    </w:p>
    <w:p>
      <w:pPr>
        <w:spacing w:after="0" w:line="99" w:lineRule="exact"/>
        <w:rPr>
          <w:rFonts w:ascii="Arial" w:cs="Arial" w:eastAsia="Arial" w:hAnsi="Arial"/>
          <w:sz w:val="13"/>
          <w:szCs w:val="13"/>
          <w:color w:val="64A70B"/>
        </w:rPr>
      </w:pPr>
    </w:p>
    <w:p>
      <w:pPr>
        <w:ind w:left="160" w:hanging="152"/>
        <w:spacing w:after="0"/>
        <w:tabs>
          <w:tab w:leader="none" w:pos="160" w:val="left"/>
        </w:tabs>
        <w:numPr>
          <w:ilvl w:val="0"/>
          <w:numId w:val="132"/>
        </w:numPr>
        <w:rPr>
          <w:rFonts w:ascii="Arial" w:cs="Arial" w:eastAsia="Arial" w:hAnsi="Arial"/>
          <w:sz w:val="13"/>
          <w:szCs w:val="13"/>
          <w:color w:val="64A70B"/>
        </w:rPr>
      </w:pPr>
      <w:r>
        <w:rPr>
          <w:rFonts w:ascii="Arial" w:cs="Arial" w:eastAsia="Arial" w:hAnsi="Arial"/>
          <w:sz w:val="16"/>
          <w:szCs w:val="16"/>
          <w:color w:val="auto"/>
        </w:rPr>
        <w:t>embezzlement from, or theft of property belonging to, us or any of our affiliates;</w:t>
      </w:r>
    </w:p>
    <w:p>
      <w:pPr>
        <w:spacing w:after="0" w:line="99" w:lineRule="exact"/>
        <w:rPr>
          <w:rFonts w:ascii="Arial" w:cs="Arial" w:eastAsia="Arial" w:hAnsi="Arial"/>
          <w:sz w:val="13"/>
          <w:szCs w:val="13"/>
          <w:color w:val="64A70B"/>
        </w:rPr>
      </w:pPr>
    </w:p>
    <w:p>
      <w:pPr>
        <w:ind w:left="160" w:hanging="152"/>
        <w:spacing w:after="0"/>
        <w:tabs>
          <w:tab w:leader="none" w:pos="160" w:val="left"/>
        </w:tabs>
        <w:numPr>
          <w:ilvl w:val="0"/>
          <w:numId w:val="132"/>
        </w:numPr>
        <w:rPr>
          <w:rFonts w:ascii="Arial" w:cs="Arial" w:eastAsia="Arial" w:hAnsi="Arial"/>
          <w:sz w:val="13"/>
          <w:szCs w:val="13"/>
          <w:color w:val="64A70B"/>
        </w:rPr>
      </w:pPr>
      <w:r>
        <w:rPr>
          <w:rFonts w:ascii="Arial" w:cs="Arial" w:eastAsia="Arial" w:hAnsi="Arial"/>
          <w:sz w:val="16"/>
          <w:szCs w:val="16"/>
          <w:color w:val="auto"/>
        </w:rPr>
        <w:t>conviction of, or plead no contest to, a felony or other crime involving moral turpitude;</w:t>
      </w:r>
    </w:p>
    <w:p>
      <w:pPr>
        <w:spacing w:after="0" w:line="99" w:lineRule="exact"/>
        <w:rPr>
          <w:rFonts w:ascii="Arial" w:cs="Arial" w:eastAsia="Arial" w:hAnsi="Arial"/>
          <w:sz w:val="13"/>
          <w:szCs w:val="13"/>
          <w:color w:val="64A70B"/>
        </w:rPr>
      </w:pPr>
    </w:p>
    <w:p>
      <w:pPr>
        <w:ind w:left="160" w:hanging="152"/>
        <w:spacing w:after="0"/>
        <w:tabs>
          <w:tab w:leader="none" w:pos="160" w:val="left"/>
        </w:tabs>
        <w:numPr>
          <w:ilvl w:val="0"/>
          <w:numId w:val="132"/>
        </w:numPr>
        <w:rPr>
          <w:rFonts w:ascii="Arial" w:cs="Arial" w:eastAsia="Arial" w:hAnsi="Arial"/>
          <w:sz w:val="13"/>
          <w:szCs w:val="13"/>
          <w:color w:val="64A70B"/>
        </w:rPr>
      </w:pPr>
      <w:r>
        <w:rPr>
          <w:rFonts w:ascii="Arial" w:cs="Arial" w:eastAsia="Arial" w:hAnsi="Arial"/>
          <w:sz w:val="16"/>
          <w:szCs w:val="16"/>
          <w:color w:val="auto"/>
        </w:rPr>
        <w:t>willful failure to perform, or gross negligence in the performance of, or failure to perform, assigned duties; or</w:t>
      </w:r>
    </w:p>
    <w:p>
      <w:pPr>
        <w:spacing w:after="0" w:line="86" w:lineRule="exact"/>
        <w:rPr>
          <w:rFonts w:ascii="Arial" w:cs="Arial" w:eastAsia="Arial" w:hAnsi="Arial"/>
          <w:sz w:val="13"/>
          <w:szCs w:val="13"/>
          <w:color w:val="64A70B"/>
        </w:rPr>
      </w:pPr>
    </w:p>
    <w:p>
      <w:pPr>
        <w:ind w:left="200" w:right="600" w:hanging="192"/>
        <w:spacing w:after="0" w:line="321" w:lineRule="auto"/>
        <w:tabs>
          <w:tab w:leader="none" w:pos="157" w:val="left"/>
        </w:tabs>
        <w:numPr>
          <w:ilvl w:val="0"/>
          <w:numId w:val="132"/>
        </w:numPr>
        <w:rPr>
          <w:rFonts w:ascii="Arial" w:cs="Arial" w:eastAsia="Arial" w:hAnsi="Arial"/>
          <w:sz w:val="13"/>
          <w:szCs w:val="13"/>
          <w:color w:val="64A70B"/>
        </w:rPr>
      </w:pPr>
      <w:r>
        <w:rPr>
          <w:rFonts w:ascii="Arial" w:cs="Arial" w:eastAsia="Arial" w:hAnsi="Arial"/>
          <w:sz w:val="16"/>
          <w:szCs w:val="16"/>
          <w:color w:val="auto"/>
        </w:rPr>
        <w:t>other intentional misconduct, whether related to employment or otherwise, which has, or has the potential to have, a material adverse effect on our business.</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Under the 2020 Plan, the term “good reason” means:</w:t>
      </w:r>
    </w:p>
    <w:p>
      <w:pPr>
        <w:spacing w:after="0" w:line="127" w:lineRule="exact"/>
        <w:rPr>
          <w:sz w:val="20"/>
          <w:szCs w:val="20"/>
          <w:color w:val="auto"/>
        </w:rPr>
      </w:pPr>
    </w:p>
    <w:p>
      <w:pPr>
        <w:ind w:left="160" w:hanging="152"/>
        <w:spacing w:after="0"/>
        <w:tabs>
          <w:tab w:leader="none" w:pos="160" w:val="left"/>
        </w:tabs>
        <w:numPr>
          <w:ilvl w:val="0"/>
          <w:numId w:val="133"/>
        </w:numPr>
        <w:rPr>
          <w:rFonts w:ascii="Arial" w:cs="Arial" w:eastAsia="Arial" w:hAnsi="Arial"/>
          <w:sz w:val="13"/>
          <w:szCs w:val="13"/>
          <w:color w:val="64A70B"/>
        </w:rPr>
      </w:pPr>
      <w:r>
        <w:rPr>
          <w:rFonts w:ascii="Arial" w:cs="Arial" w:eastAsia="Arial" w:hAnsi="Arial"/>
          <w:sz w:val="16"/>
          <w:szCs w:val="16"/>
          <w:color w:val="auto"/>
        </w:rPr>
        <w:t>any material breach by us of the terms of any employment agreement;</w:t>
      </w:r>
    </w:p>
    <w:p>
      <w:pPr>
        <w:spacing w:after="0" w:line="99" w:lineRule="exact"/>
        <w:rPr>
          <w:rFonts w:ascii="Arial" w:cs="Arial" w:eastAsia="Arial" w:hAnsi="Arial"/>
          <w:sz w:val="13"/>
          <w:szCs w:val="13"/>
          <w:color w:val="64A70B"/>
        </w:rPr>
      </w:pPr>
    </w:p>
    <w:p>
      <w:pPr>
        <w:ind w:left="160" w:hanging="152"/>
        <w:spacing w:after="0"/>
        <w:tabs>
          <w:tab w:leader="none" w:pos="160" w:val="left"/>
        </w:tabs>
        <w:numPr>
          <w:ilvl w:val="0"/>
          <w:numId w:val="133"/>
        </w:numPr>
        <w:rPr>
          <w:rFonts w:ascii="Arial" w:cs="Arial" w:eastAsia="Arial" w:hAnsi="Arial"/>
          <w:sz w:val="13"/>
          <w:szCs w:val="13"/>
          <w:color w:val="64A70B"/>
        </w:rPr>
      </w:pPr>
      <w:r>
        <w:rPr>
          <w:rFonts w:ascii="Arial" w:cs="Arial" w:eastAsia="Arial" w:hAnsi="Arial"/>
          <w:sz w:val="16"/>
          <w:szCs w:val="16"/>
          <w:color w:val="auto"/>
        </w:rPr>
        <w:t>any reduction in base salary or percentage of base salary available as incentive compensation or bonus opportunity;</w:t>
      </w:r>
    </w:p>
    <w:p>
      <w:pPr>
        <w:spacing w:after="0" w:line="99" w:lineRule="exact"/>
        <w:rPr>
          <w:rFonts w:ascii="Arial" w:cs="Arial" w:eastAsia="Arial" w:hAnsi="Arial"/>
          <w:sz w:val="13"/>
          <w:szCs w:val="13"/>
          <w:color w:val="64A70B"/>
        </w:rPr>
      </w:pPr>
    </w:p>
    <w:p>
      <w:pPr>
        <w:ind w:left="160" w:hanging="152"/>
        <w:spacing w:after="0"/>
        <w:tabs>
          <w:tab w:leader="none" w:pos="160" w:val="left"/>
        </w:tabs>
        <w:numPr>
          <w:ilvl w:val="0"/>
          <w:numId w:val="133"/>
        </w:numPr>
        <w:rPr>
          <w:rFonts w:ascii="Arial" w:cs="Arial" w:eastAsia="Arial" w:hAnsi="Arial"/>
          <w:sz w:val="13"/>
          <w:szCs w:val="13"/>
          <w:color w:val="64A70B"/>
        </w:rPr>
      </w:pPr>
      <w:r>
        <w:rPr>
          <w:rFonts w:ascii="Arial" w:cs="Arial" w:eastAsia="Arial" w:hAnsi="Arial"/>
          <w:sz w:val="16"/>
          <w:szCs w:val="16"/>
          <w:color w:val="auto"/>
        </w:rPr>
        <w:t>a good faith determination by the officer that there has been a material adverse change in the officer’s working conditions or status;</w:t>
      </w:r>
    </w:p>
    <w:p>
      <w:pPr>
        <w:spacing w:after="0" w:line="99" w:lineRule="exact"/>
        <w:rPr>
          <w:rFonts w:ascii="Arial" w:cs="Arial" w:eastAsia="Arial" w:hAnsi="Arial"/>
          <w:sz w:val="13"/>
          <w:szCs w:val="13"/>
          <w:color w:val="64A70B"/>
        </w:rPr>
      </w:pPr>
    </w:p>
    <w:p>
      <w:pPr>
        <w:ind w:left="160" w:hanging="152"/>
        <w:spacing w:after="0"/>
        <w:tabs>
          <w:tab w:leader="none" w:pos="160" w:val="left"/>
        </w:tabs>
        <w:numPr>
          <w:ilvl w:val="0"/>
          <w:numId w:val="133"/>
        </w:numPr>
        <w:rPr>
          <w:rFonts w:ascii="Arial" w:cs="Arial" w:eastAsia="Arial" w:hAnsi="Arial"/>
          <w:sz w:val="13"/>
          <w:szCs w:val="13"/>
          <w:color w:val="64A70B"/>
        </w:rPr>
      </w:pPr>
      <w:r>
        <w:rPr>
          <w:rFonts w:ascii="Arial" w:cs="Arial" w:eastAsia="Arial" w:hAnsi="Arial"/>
          <w:sz w:val="16"/>
          <w:szCs w:val="16"/>
          <w:color w:val="auto"/>
        </w:rPr>
        <w:t>a relocation of the principal place of employment to a location more than 50 miles; or</w:t>
      </w:r>
    </w:p>
    <w:p>
      <w:pPr>
        <w:spacing w:after="0" w:line="99" w:lineRule="exact"/>
        <w:rPr>
          <w:rFonts w:ascii="Arial" w:cs="Arial" w:eastAsia="Arial" w:hAnsi="Arial"/>
          <w:sz w:val="13"/>
          <w:szCs w:val="13"/>
          <w:color w:val="64A70B"/>
        </w:rPr>
      </w:pPr>
    </w:p>
    <w:p>
      <w:pPr>
        <w:ind w:left="160" w:hanging="152"/>
        <w:spacing w:after="0"/>
        <w:tabs>
          <w:tab w:leader="none" w:pos="160" w:val="left"/>
        </w:tabs>
        <w:numPr>
          <w:ilvl w:val="0"/>
          <w:numId w:val="133"/>
        </w:numPr>
        <w:rPr>
          <w:rFonts w:ascii="Arial" w:cs="Arial" w:eastAsia="Arial" w:hAnsi="Arial"/>
          <w:sz w:val="13"/>
          <w:szCs w:val="13"/>
          <w:color w:val="64A70B"/>
        </w:rPr>
      </w:pPr>
      <w:r>
        <w:rPr>
          <w:rFonts w:ascii="Arial" w:cs="Arial" w:eastAsia="Arial" w:hAnsi="Arial"/>
          <w:sz w:val="16"/>
          <w:szCs w:val="16"/>
          <w:color w:val="auto"/>
        </w:rPr>
        <w:t>an increase of 20% or more in travel requirements.</w:t>
      </w:r>
    </w:p>
    <w:p>
      <w:pPr>
        <w:spacing w:after="0" w:line="140" w:lineRule="exact"/>
        <w:rPr>
          <w:sz w:val="20"/>
          <w:szCs w:val="20"/>
          <w:color w:val="auto"/>
        </w:rPr>
      </w:pPr>
    </w:p>
    <w:p>
      <w:pPr>
        <w:ind w:right="340"/>
        <w:spacing w:after="0" w:line="304" w:lineRule="auto"/>
        <w:rPr>
          <w:sz w:val="20"/>
          <w:szCs w:val="20"/>
          <w:color w:val="auto"/>
        </w:rPr>
      </w:pPr>
      <w:r>
        <w:rPr>
          <w:rFonts w:ascii="Arial" w:cs="Arial" w:eastAsia="Arial" w:hAnsi="Arial"/>
          <w:sz w:val="16"/>
          <w:szCs w:val="16"/>
          <w:color w:val="auto"/>
        </w:rPr>
        <w:t>For an event to constitute good reason, we must receive written notice and an opportunity to cure. The definitions under our predecessor equity plan are substantially similar to those above.</w:t>
      </w:r>
    </w:p>
    <w:p>
      <w:pPr>
        <w:spacing w:after="0" w:line="60" w:lineRule="exact"/>
        <w:rPr>
          <w:sz w:val="20"/>
          <w:szCs w:val="20"/>
          <w:color w:val="auto"/>
        </w:rPr>
      </w:pPr>
    </w:p>
    <w:p>
      <w:pPr>
        <w:ind w:right="80"/>
        <w:spacing w:after="0" w:line="304" w:lineRule="auto"/>
        <w:rPr>
          <w:sz w:val="20"/>
          <w:szCs w:val="20"/>
          <w:color w:val="auto"/>
        </w:rPr>
      </w:pPr>
      <w:r>
        <w:rPr>
          <w:rFonts w:ascii="Arial" w:cs="Arial" w:eastAsia="Arial" w:hAnsi="Arial"/>
          <w:sz w:val="16"/>
          <w:szCs w:val="16"/>
          <w:color w:val="auto"/>
        </w:rPr>
        <w:t>Benefits pursuant to these incentive plans are generally applicable to all other participants who meet the requisite criteria as well as to the Named Executive Officers.</w:t>
      </w:r>
    </w:p>
    <w:p>
      <w:pPr>
        <w:spacing w:after="0" w:line="200" w:lineRule="exact"/>
        <w:rPr>
          <w:sz w:val="20"/>
          <w:szCs w:val="20"/>
          <w:color w:val="auto"/>
        </w:rPr>
      </w:pP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10780" w:type="dxa"/>
            <w:vAlign w:val="bottom"/>
          </w:tcPr>
          <w:p>
            <w:pPr>
              <w:ind w:left="8260"/>
              <w:spacing w:after="0"/>
              <w:rPr>
                <w:sz w:val="20"/>
                <w:szCs w:val="20"/>
                <w:color w:val="auto"/>
              </w:rPr>
            </w:pPr>
            <w:r>
              <w:rPr>
                <w:rFonts w:ascii="Arial" w:cs="Arial" w:eastAsia="Arial" w:hAnsi="Arial"/>
                <w:sz w:val="16"/>
                <w:szCs w:val="16"/>
                <w:b w:val="1"/>
                <w:bCs w:val="1"/>
                <w:color w:val="auto"/>
              </w:rPr>
              <w:t xml:space="preserve">2026 Proxy Statement </w:t>
            </w:r>
            <w:r>
              <w:rPr>
                <w:rFonts w:ascii="Arial" w:cs="Arial" w:eastAsia="Arial" w:hAnsi="Arial"/>
                <w:sz w:val="16"/>
                <w:szCs w:val="16"/>
                <w:b w:val="1"/>
                <w:bCs w:val="1"/>
                <w:color w:val="0C3471"/>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Pentair</w:t>
            </w:r>
          </w:p>
        </w:tc>
        <w:tc>
          <w:tcPr>
            <w:tcW w:w="460" w:type="dxa"/>
            <w:vAlign w:val="bottom"/>
          </w:tcPr>
          <w:p>
            <w:pPr>
              <w:jc w:val="right"/>
              <w:spacing w:after="0"/>
              <w:rPr>
                <w:sz w:val="20"/>
                <w:szCs w:val="20"/>
                <w:color w:val="auto"/>
              </w:rPr>
            </w:pPr>
            <w:r>
              <w:rPr>
                <w:rFonts w:ascii="Arial" w:cs="Arial" w:eastAsia="Arial" w:hAnsi="Arial"/>
                <w:sz w:val="16"/>
                <w:szCs w:val="16"/>
                <w:b w:val="1"/>
                <w:bCs w:val="1"/>
                <w:color w:val="auto"/>
              </w:rPr>
              <w:t>67</w:t>
            </w:r>
          </w:p>
        </w:tc>
      </w:tr>
      <w:tr>
        <w:trPr>
          <w:trHeight w:val="325"/>
        </w:trPr>
        <w:tc>
          <w:tcPr>
            <w:tcW w:w="107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69" w:name="page70"/>
    <w:bookmarkEnd w:id="69"/>
    <w:p>
      <w:pPr>
        <w:ind w:left="36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216535</wp:posOffset>
            </wp:positionH>
            <wp:positionV relativeFrom="page">
              <wp:posOffset>106045</wp:posOffset>
            </wp:positionV>
            <wp:extent cx="102870" cy="11176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clrChange>
                        <a:clrFrom>
                          <a:srgbClr val="FFFFFF"/>
                        </a:clrFrom>
                        <a:clrTo>
                          <a:srgbClr val="FFFFFF">
                            <a:alpha val="0"/>
                          </a:srgbClr>
                        </a:clrTo>
                      </a:clrChange>
                      <a:extLst>
                        <a:ext uri="{28A0092B-C50C-407E-A947-70E740481C1C}"/>
                      </a:extLst>
                    </a:blip>
                    <a:srcRect/>
                    <a:stretch>
                      <a:fillRect/>
                    </a:stretch>
                  </pic:blipFill>
                  <pic:spPr bwMode="auto">
                    <a:xfrm>
                      <a:off x="0" y="0"/>
                      <a:ext cx="102870" cy="111760"/>
                    </a:xfrm>
                    <a:prstGeom prst="rect">
                      <a:avLst/>
                    </a:prstGeom>
                    <a:noFill/>
                  </pic:spPr>
                </pic:pic>
              </a:graphicData>
            </a:graphic>
          </wp:anchor>
        </w:drawing>
        <w:t>Executive Compensation Tables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20" w:right="1300"/>
        <w:spacing w:after="0" w:line="286" w:lineRule="auto"/>
        <w:rPr>
          <w:sz w:val="20"/>
          <w:szCs w:val="20"/>
          <w:color w:val="auto"/>
        </w:rPr>
      </w:pPr>
      <w:r>
        <w:rPr>
          <w:rFonts w:ascii="Arial" w:cs="Arial" w:eastAsia="Arial" w:hAnsi="Arial"/>
          <w:sz w:val="29"/>
          <w:szCs w:val="29"/>
          <w:color w:val="64A70B"/>
        </w:rPr>
        <w:t>Estimated Payments and Benefits upon a Change in Control or Termination of Employment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89" w:lineRule="exact"/>
        <w:rPr>
          <w:sz w:val="20"/>
          <w:szCs w:val="20"/>
          <w:color w:val="auto"/>
        </w:rPr>
      </w:pPr>
    </w:p>
    <w:p>
      <w:pPr>
        <w:jc w:val="both"/>
        <w:ind w:right="120"/>
        <w:spacing w:after="0" w:line="292" w:lineRule="auto"/>
        <w:rPr>
          <w:sz w:val="20"/>
          <w:szCs w:val="20"/>
          <w:color w:val="auto"/>
        </w:rPr>
      </w:pPr>
      <w:r>
        <w:rPr>
          <w:rFonts w:ascii="Arial" w:cs="Arial" w:eastAsia="Arial" w:hAnsi="Arial"/>
          <w:sz w:val="16"/>
          <w:szCs w:val="16"/>
          <w:color w:val="auto"/>
        </w:rPr>
        <w:t>As required by the SEC rules, the amounts shown below assume that the applicable termination or other event was effective as of December 31, 2025, and thus are estimates of the amounts that would actually be received. The actual amounts to be received can only be determined in connection with the actual termination or other event.</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b w:val="1"/>
          <w:bCs w:val="1"/>
          <w:color w:val="0C3471"/>
        </w:rPr>
        <w:t>Retirement</w:t>
      </w:r>
    </w:p>
    <w:p>
      <w:pPr>
        <w:spacing w:after="0" w:line="113" w:lineRule="exact"/>
        <w:rPr>
          <w:sz w:val="20"/>
          <w:szCs w:val="20"/>
          <w:color w:val="auto"/>
        </w:rPr>
      </w:pPr>
    </w:p>
    <w:p>
      <w:pPr>
        <w:jc w:val="both"/>
        <w:ind w:right="20"/>
        <w:spacing w:after="0" w:line="301" w:lineRule="auto"/>
        <w:rPr>
          <w:sz w:val="20"/>
          <w:szCs w:val="20"/>
          <w:color w:val="auto"/>
        </w:rPr>
      </w:pPr>
      <w:r>
        <w:rPr>
          <w:rFonts w:ascii="Arial" w:cs="Arial" w:eastAsia="Arial" w:hAnsi="Arial"/>
          <w:sz w:val="16"/>
          <w:szCs w:val="16"/>
          <w:color w:val="auto"/>
        </w:rPr>
        <w:t>The table below shows the amount of compensation payable to our Named Executive Officers upon a retirement. As of December 31, 2025, Messrs. Stauch and Pedretti were the only Named Executive Officers eligible for a qualifying retirement, on the basis of 10 years of service and age 60 for Mr. Stauch and on the basis of 10 years of service and age 55 for Mr. Pedretti.</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460" w:type="dxa"/>
            <w:vAlign w:val="bottom"/>
          </w:tcPr>
          <w:p>
            <w:pPr>
              <w:spacing w:after="0"/>
              <w:rPr>
                <w:sz w:val="15"/>
                <w:szCs w:val="15"/>
                <w:color w:val="auto"/>
              </w:rPr>
            </w:pPr>
          </w:p>
        </w:tc>
        <w:tc>
          <w:tcPr>
            <w:tcW w:w="3200" w:type="dxa"/>
            <w:vAlign w:val="bottom"/>
          </w:tcPr>
          <w:p>
            <w:pPr>
              <w:jc w:val="right"/>
              <w:ind w:right="230"/>
              <w:spacing w:after="0"/>
              <w:rPr>
                <w:sz w:val="20"/>
                <w:szCs w:val="20"/>
                <w:color w:val="auto"/>
              </w:rPr>
            </w:pPr>
            <w:r>
              <w:rPr>
                <w:rFonts w:ascii="Arial" w:cs="Arial" w:eastAsia="Arial" w:hAnsi="Arial"/>
                <w:sz w:val="14"/>
                <w:szCs w:val="14"/>
                <w:b w:val="1"/>
                <w:bCs w:val="1"/>
                <w:color w:val="auto"/>
              </w:rPr>
              <w:t>Stock Option</w:t>
            </w:r>
          </w:p>
        </w:tc>
        <w:tc>
          <w:tcPr>
            <w:tcW w:w="1700" w:type="dxa"/>
            <w:vAlign w:val="bottom"/>
          </w:tcPr>
          <w:p>
            <w:pPr>
              <w:jc w:val="right"/>
              <w:ind w:right="210"/>
              <w:spacing w:after="0"/>
              <w:rPr>
                <w:sz w:val="20"/>
                <w:szCs w:val="20"/>
                <w:color w:val="auto"/>
              </w:rPr>
            </w:pPr>
            <w:r>
              <w:rPr>
                <w:rFonts w:ascii="Arial" w:cs="Arial" w:eastAsia="Arial" w:hAnsi="Arial"/>
                <w:sz w:val="14"/>
                <w:szCs w:val="14"/>
                <w:b w:val="1"/>
                <w:bCs w:val="1"/>
                <w:color w:val="auto"/>
              </w:rPr>
              <w:t>Restricted Stock</w:t>
            </w:r>
          </w:p>
        </w:tc>
        <w:tc>
          <w:tcPr>
            <w:tcW w:w="1800" w:type="dxa"/>
            <w:vAlign w:val="bottom"/>
          </w:tcPr>
          <w:p>
            <w:pPr>
              <w:jc w:val="right"/>
              <w:ind w:right="130"/>
              <w:spacing w:after="0"/>
              <w:rPr>
                <w:sz w:val="20"/>
                <w:szCs w:val="20"/>
                <w:color w:val="auto"/>
              </w:rPr>
            </w:pPr>
            <w:r>
              <w:rPr>
                <w:rFonts w:ascii="Arial" w:cs="Arial" w:eastAsia="Arial" w:hAnsi="Arial"/>
                <w:sz w:val="14"/>
                <w:szCs w:val="14"/>
                <w:b w:val="1"/>
                <w:bCs w:val="1"/>
                <w:color w:val="auto"/>
              </w:rPr>
              <w:t>Performance Share</w:t>
            </w:r>
          </w:p>
        </w:tc>
        <w:tc>
          <w:tcPr>
            <w:tcW w:w="10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2"/>
        </w:trPr>
        <w:tc>
          <w:tcPr>
            <w:tcW w:w="3460" w:type="dxa"/>
            <w:vAlign w:val="bottom"/>
          </w:tcPr>
          <w:p>
            <w:pPr>
              <w:spacing w:after="0"/>
              <w:rPr>
                <w:sz w:val="14"/>
                <w:szCs w:val="14"/>
                <w:color w:val="auto"/>
              </w:rPr>
            </w:pPr>
          </w:p>
        </w:tc>
        <w:tc>
          <w:tcPr>
            <w:tcW w:w="3200" w:type="dxa"/>
            <w:vAlign w:val="bottom"/>
          </w:tcPr>
          <w:p>
            <w:pPr>
              <w:jc w:val="right"/>
              <w:ind w:right="230"/>
              <w:spacing w:after="0"/>
              <w:rPr>
                <w:sz w:val="20"/>
                <w:szCs w:val="20"/>
                <w:color w:val="auto"/>
              </w:rPr>
            </w:pPr>
            <w:r>
              <w:rPr>
                <w:rFonts w:ascii="Arial" w:cs="Arial" w:eastAsia="Arial" w:hAnsi="Arial"/>
                <w:sz w:val="14"/>
                <w:szCs w:val="14"/>
                <w:b w:val="1"/>
                <w:bCs w:val="1"/>
                <w:color w:val="auto"/>
              </w:rPr>
              <w:t>Vesting</w:t>
            </w:r>
          </w:p>
        </w:tc>
        <w:tc>
          <w:tcPr>
            <w:tcW w:w="1700" w:type="dxa"/>
            <w:vAlign w:val="bottom"/>
          </w:tcPr>
          <w:p>
            <w:pPr>
              <w:jc w:val="right"/>
              <w:ind w:right="210"/>
              <w:spacing w:after="0"/>
              <w:rPr>
                <w:sz w:val="20"/>
                <w:szCs w:val="20"/>
                <w:color w:val="auto"/>
              </w:rPr>
            </w:pPr>
            <w:r>
              <w:rPr>
                <w:rFonts w:ascii="Arial" w:cs="Arial" w:eastAsia="Arial" w:hAnsi="Arial"/>
                <w:sz w:val="14"/>
                <w:szCs w:val="14"/>
                <w:b w:val="1"/>
                <w:bCs w:val="1"/>
                <w:color w:val="auto"/>
              </w:rPr>
              <w:t>Unit Vesting</w:t>
            </w:r>
          </w:p>
        </w:tc>
        <w:tc>
          <w:tcPr>
            <w:tcW w:w="1800" w:type="dxa"/>
            <w:vAlign w:val="bottom"/>
          </w:tcPr>
          <w:p>
            <w:pPr>
              <w:jc w:val="right"/>
              <w:ind w:right="130"/>
              <w:spacing w:after="0"/>
              <w:rPr>
                <w:sz w:val="20"/>
                <w:szCs w:val="20"/>
                <w:color w:val="auto"/>
              </w:rPr>
            </w:pPr>
            <w:r>
              <w:rPr>
                <w:rFonts w:ascii="Arial" w:cs="Arial" w:eastAsia="Arial" w:hAnsi="Arial"/>
                <w:sz w:val="14"/>
                <w:szCs w:val="14"/>
                <w:b w:val="1"/>
                <w:bCs w:val="1"/>
                <w:color w:val="auto"/>
              </w:rPr>
              <w:t>Unit Vesting</w:t>
            </w:r>
          </w:p>
        </w:tc>
        <w:tc>
          <w:tcPr>
            <w:tcW w:w="10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3460" w:type="dxa"/>
            <w:vAlign w:val="bottom"/>
            <w:tcBorders>
              <w:bottom w:val="single" w:sz="8" w:color="0C3471"/>
            </w:tcBorders>
          </w:tcPr>
          <w:p>
            <w:pPr>
              <w:ind w:left="20"/>
              <w:spacing w:after="0"/>
              <w:rPr>
                <w:sz w:val="20"/>
                <w:szCs w:val="20"/>
                <w:color w:val="auto"/>
              </w:rPr>
            </w:pPr>
            <w:r>
              <w:rPr>
                <w:rFonts w:ascii="Arial" w:cs="Arial" w:eastAsia="Arial" w:hAnsi="Arial"/>
                <w:sz w:val="14"/>
                <w:szCs w:val="14"/>
                <w:b w:val="1"/>
                <w:bCs w:val="1"/>
                <w:color w:val="auto"/>
              </w:rPr>
              <w:t>Executive</w:t>
            </w:r>
          </w:p>
        </w:tc>
        <w:tc>
          <w:tcPr>
            <w:tcW w:w="3200" w:type="dxa"/>
            <w:vAlign w:val="bottom"/>
            <w:tcBorders>
              <w:bottom w:val="single" w:sz="8" w:color="0C3471"/>
            </w:tcBorders>
          </w:tcPr>
          <w:p>
            <w:pPr>
              <w:jc w:val="right"/>
              <w:ind w:right="230"/>
              <w:spacing w:after="0" w:line="212" w:lineRule="exact"/>
              <w:rPr>
                <w:sz w:val="20"/>
                <w:szCs w:val="20"/>
                <w:color w:val="auto"/>
              </w:rPr>
            </w:pPr>
            <w:r>
              <w:rPr>
                <w:rFonts w:ascii="Arial" w:cs="Arial" w:eastAsia="Arial" w:hAnsi="Arial"/>
                <w:sz w:val="24"/>
                <w:szCs w:val="24"/>
                <w:b w:val="1"/>
                <w:bCs w:val="1"/>
                <w:color w:val="auto"/>
                <w:vertAlign w:val="subscript"/>
              </w:rPr>
              <w:t>($)</w:t>
            </w:r>
            <w:r>
              <w:rPr>
                <w:rFonts w:ascii="Arial" w:cs="Arial" w:eastAsia="Arial" w:hAnsi="Arial"/>
                <w:sz w:val="9"/>
                <w:szCs w:val="9"/>
                <w:b w:val="1"/>
                <w:bCs w:val="1"/>
                <w:color w:val="auto"/>
              </w:rPr>
              <w:t>(1)</w:t>
            </w:r>
          </w:p>
        </w:tc>
        <w:tc>
          <w:tcPr>
            <w:tcW w:w="1700" w:type="dxa"/>
            <w:vAlign w:val="bottom"/>
            <w:tcBorders>
              <w:bottom w:val="single" w:sz="8" w:color="0C3471"/>
            </w:tcBorders>
          </w:tcPr>
          <w:p>
            <w:pPr>
              <w:jc w:val="right"/>
              <w:ind w:right="210"/>
              <w:spacing w:after="0" w:line="212" w:lineRule="exact"/>
              <w:rPr>
                <w:sz w:val="20"/>
                <w:szCs w:val="20"/>
                <w:color w:val="auto"/>
              </w:rPr>
            </w:pPr>
            <w:r>
              <w:rPr>
                <w:rFonts w:ascii="Arial" w:cs="Arial" w:eastAsia="Arial" w:hAnsi="Arial"/>
                <w:sz w:val="24"/>
                <w:szCs w:val="24"/>
                <w:b w:val="1"/>
                <w:bCs w:val="1"/>
                <w:color w:val="auto"/>
                <w:vertAlign w:val="subscript"/>
              </w:rPr>
              <w:t>($)</w:t>
            </w:r>
            <w:r>
              <w:rPr>
                <w:rFonts w:ascii="Arial" w:cs="Arial" w:eastAsia="Arial" w:hAnsi="Arial"/>
                <w:sz w:val="9"/>
                <w:szCs w:val="9"/>
                <w:b w:val="1"/>
                <w:bCs w:val="1"/>
                <w:color w:val="auto"/>
              </w:rPr>
              <w:t>(1)</w:t>
            </w:r>
          </w:p>
        </w:tc>
        <w:tc>
          <w:tcPr>
            <w:tcW w:w="1800" w:type="dxa"/>
            <w:vAlign w:val="bottom"/>
            <w:tcBorders>
              <w:bottom w:val="single" w:sz="8" w:color="0C3471"/>
            </w:tcBorders>
          </w:tcPr>
          <w:p>
            <w:pPr>
              <w:jc w:val="right"/>
              <w:ind w:right="130"/>
              <w:spacing w:after="0" w:line="212" w:lineRule="exact"/>
              <w:rPr>
                <w:sz w:val="20"/>
                <w:szCs w:val="20"/>
                <w:color w:val="auto"/>
              </w:rPr>
            </w:pPr>
            <w:r>
              <w:rPr>
                <w:rFonts w:ascii="Arial" w:cs="Arial" w:eastAsia="Arial" w:hAnsi="Arial"/>
                <w:sz w:val="24"/>
                <w:szCs w:val="24"/>
                <w:b w:val="1"/>
                <w:bCs w:val="1"/>
                <w:color w:val="auto"/>
                <w:vertAlign w:val="subscript"/>
              </w:rPr>
              <w:t>($)</w:t>
            </w:r>
            <w:r>
              <w:rPr>
                <w:rFonts w:ascii="Arial" w:cs="Arial" w:eastAsia="Arial" w:hAnsi="Arial"/>
                <w:sz w:val="9"/>
                <w:szCs w:val="9"/>
                <w:b w:val="1"/>
                <w:bCs w:val="1"/>
                <w:color w:val="auto"/>
              </w:rPr>
              <w:t>(1)(2)</w:t>
            </w:r>
          </w:p>
        </w:tc>
        <w:tc>
          <w:tcPr>
            <w:tcW w:w="1080" w:type="dxa"/>
            <w:vAlign w:val="bottom"/>
            <w:tcBorders>
              <w:bottom w:val="single" w:sz="8" w:color="0C3471"/>
            </w:tcBorders>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33"/>
        </w:trPr>
        <w:tc>
          <w:tcPr>
            <w:tcW w:w="3460" w:type="dxa"/>
            <w:vAlign w:val="bottom"/>
            <w:tcBorders>
              <w:bottom w:val="single" w:sz="8" w:color="BCBEC0"/>
            </w:tcBorders>
          </w:tcPr>
          <w:p>
            <w:pPr>
              <w:ind w:left="20"/>
              <w:spacing w:after="0"/>
              <w:rPr>
                <w:sz w:val="20"/>
                <w:szCs w:val="20"/>
                <w:color w:val="auto"/>
              </w:rPr>
            </w:pPr>
            <w:r>
              <w:rPr>
                <w:rFonts w:ascii="Arial" w:cs="Arial" w:eastAsia="Arial" w:hAnsi="Arial"/>
                <w:sz w:val="16"/>
                <w:szCs w:val="16"/>
                <w:b w:val="1"/>
                <w:bCs w:val="1"/>
                <w:color w:val="0C3471"/>
              </w:rPr>
              <w:t>John L. Stauch</w:t>
            </w:r>
          </w:p>
        </w:tc>
        <w:tc>
          <w:tcPr>
            <w:tcW w:w="3200" w:type="dxa"/>
            <w:vAlign w:val="bottom"/>
            <w:tcBorders>
              <w:bottom w:val="single" w:sz="8" w:color="BCBEC0"/>
            </w:tcBorders>
          </w:tcPr>
          <w:p>
            <w:pPr>
              <w:jc w:val="right"/>
              <w:ind w:right="290"/>
              <w:spacing w:after="0"/>
              <w:rPr>
                <w:sz w:val="20"/>
                <w:szCs w:val="20"/>
                <w:color w:val="auto"/>
              </w:rPr>
            </w:pPr>
            <w:r>
              <w:rPr>
                <w:rFonts w:ascii="Arial" w:cs="Arial" w:eastAsia="Arial" w:hAnsi="Arial"/>
                <w:sz w:val="16"/>
                <w:szCs w:val="16"/>
                <w:color w:val="auto"/>
              </w:rPr>
              <w:t>3,934,322</w:t>
            </w:r>
          </w:p>
        </w:tc>
        <w:tc>
          <w:tcPr>
            <w:tcW w:w="1700" w:type="dxa"/>
            <w:vAlign w:val="bottom"/>
            <w:tcBorders>
              <w:bottom w:val="single" w:sz="8" w:color="BCBEC0"/>
            </w:tcBorders>
          </w:tcPr>
          <w:p>
            <w:pPr>
              <w:jc w:val="right"/>
              <w:ind w:right="270"/>
              <w:spacing w:after="0"/>
              <w:rPr>
                <w:sz w:val="20"/>
                <w:szCs w:val="20"/>
                <w:color w:val="auto"/>
              </w:rPr>
            </w:pPr>
            <w:r>
              <w:rPr>
                <w:rFonts w:ascii="Arial" w:cs="Arial" w:eastAsia="Arial" w:hAnsi="Arial"/>
                <w:sz w:val="16"/>
                <w:szCs w:val="16"/>
                <w:color w:val="auto"/>
              </w:rPr>
              <w:t>2,858,226</w:t>
            </w:r>
          </w:p>
        </w:tc>
        <w:tc>
          <w:tcPr>
            <w:tcW w:w="1800" w:type="dxa"/>
            <w:vAlign w:val="bottom"/>
            <w:tcBorders>
              <w:bottom w:val="single" w:sz="8" w:color="BCBEC0"/>
            </w:tcBorders>
          </w:tcPr>
          <w:p>
            <w:pPr>
              <w:jc w:val="right"/>
              <w:ind w:right="170"/>
              <w:spacing w:after="0"/>
              <w:rPr>
                <w:sz w:val="20"/>
                <w:szCs w:val="20"/>
                <w:color w:val="auto"/>
              </w:rPr>
            </w:pPr>
            <w:r>
              <w:rPr>
                <w:rFonts w:ascii="Arial" w:cs="Arial" w:eastAsia="Arial" w:hAnsi="Arial"/>
                <w:sz w:val="16"/>
                <w:szCs w:val="16"/>
                <w:color w:val="auto"/>
              </w:rPr>
              <w:t>10,217,592</w:t>
            </w:r>
          </w:p>
        </w:tc>
        <w:tc>
          <w:tcPr>
            <w:tcW w:w="1080" w:type="dxa"/>
            <w:vAlign w:val="bottom"/>
            <w:tcBorders>
              <w:bottom w:val="single" w:sz="8" w:color="BCBEC0"/>
            </w:tcBorders>
          </w:tcPr>
          <w:p>
            <w:pPr>
              <w:jc w:val="right"/>
              <w:ind w:right="4"/>
              <w:spacing w:after="0"/>
              <w:rPr>
                <w:sz w:val="20"/>
                <w:szCs w:val="20"/>
                <w:color w:val="auto"/>
              </w:rPr>
            </w:pPr>
            <w:r>
              <w:rPr>
                <w:rFonts w:ascii="Arial" w:cs="Arial" w:eastAsia="Arial" w:hAnsi="Arial"/>
                <w:sz w:val="16"/>
                <w:szCs w:val="16"/>
                <w:color w:val="auto"/>
              </w:rPr>
              <w:t>17,010,140</w:t>
            </w:r>
          </w:p>
        </w:tc>
        <w:tc>
          <w:tcPr>
            <w:tcW w:w="0" w:type="dxa"/>
            <w:vAlign w:val="bottom"/>
          </w:tcPr>
          <w:p>
            <w:pPr>
              <w:spacing w:after="0"/>
              <w:rPr>
                <w:sz w:val="1"/>
                <w:szCs w:val="1"/>
                <w:color w:val="auto"/>
              </w:rPr>
            </w:pPr>
          </w:p>
        </w:tc>
      </w:tr>
      <w:tr>
        <w:trPr>
          <w:trHeight w:val="237"/>
        </w:trPr>
        <w:tc>
          <w:tcPr>
            <w:tcW w:w="3460" w:type="dxa"/>
            <w:vAlign w:val="bottom"/>
            <w:tcBorders>
              <w:bottom w:val="single" w:sz="8" w:color="0C3471"/>
            </w:tcBorders>
          </w:tcPr>
          <w:p>
            <w:pPr>
              <w:ind w:left="20"/>
              <w:spacing w:after="0"/>
              <w:rPr>
                <w:sz w:val="20"/>
                <w:szCs w:val="20"/>
                <w:color w:val="auto"/>
              </w:rPr>
            </w:pPr>
            <w:r>
              <w:rPr>
                <w:rFonts w:ascii="Arial" w:cs="Arial" w:eastAsia="Arial" w:hAnsi="Arial"/>
                <w:sz w:val="16"/>
                <w:szCs w:val="16"/>
                <w:b w:val="1"/>
                <w:bCs w:val="1"/>
                <w:color w:val="0C3471"/>
              </w:rPr>
              <w:t>Jerome O. Pedretti</w:t>
            </w:r>
          </w:p>
        </w:tc>
        <w:tc>
          <w:tcPr>
            <w:tcW w:w="3200" w:type="dxa"/>
            <w:vAlign w:val="bottom"/>
            <w:tcBorders>
              <w:bottom w:val="single" w:sz="8" w:color="0C3471"/>
            </w:tcBorders>
          </w:tcPr>
          <w:p>
            <w:pPr>
              <w:jc w:val="right"/>
              <w:ind w:right="290"/>
              <w:spacing w:after="0"/>
              <w:rPr>
                <w:sz w:val="20"/>
                <w:szCs w:val="20"/>
                <w:color w:val="auto"/>
              </w:rPr>
            </w:pPr>
            <w:r>
              <w:rPr>
                <w:rFonts w:ascii="Arial" w:cs="Arial" w:eastAsia="Arial" w:hAnsi="Arial"/>
                <w:sz w:val="16"/>
                <w:szCs w:val="16"/>
                <w:color w:val="auto"/>
              </w:rPr>
              <w:t>—</w:t>
            </w:r>
          </w:p>
        </w:tc>
        <w:tc>
          <w:tcPr>
            <w:tcW w:w="1700" w:type="dxa"/>
            <w:vAlign w:val="bottom"/>
            <w:tcBorders>
              <w:bottom w:val="single" w:sz="8" w:color="0C3471"/>
            </w:tcBorders>
          </w:tcPr>
          <w:p>
            <w:pPr>
              <w:jc w:val="right"/>
              <w:ind w:right="270"/>
              <w:spacing w:after="0"/>
              <w:rPr>
                <w:sz w:val="20"/>
                <w:szCs w:val="20"/>
                <w:color w:val="auto"/>
              </w:rPr>
            </w:pPr>
            <w:r>
              <w:rPr>
                <w:rFonts w:ascii="Arial" w:cs="Arial" w:eastAsia="Arial" w:hAnsi="Arial"/>
                <w:sz w:val="16"/>
                <w:szCs w:val="16"/>
                <w:color w:val="auto"/>
              </w:rPr>
              <w:t>818,243</w:t>
            </w:r>
          </w:p>
        </w:tc>
        <w:tc>
          <w:tcPr>
            <w:tcW w:w="1800" w:type="dxa"/>
            <w:vAlign w:val="bottom"/>
            <w:tcBorders>
              <w:bottom w:val="single" w:sz="8" w:color="0C3471"/>
            </w:tcBorders>
          </w:tcPr>
          <w:p>
            <w:pPr>
              <w:jc w:val="right"/>
              <w:ind w:right="170"/>
              <w:spacing w:after="0"/>
              <w:rPr>
                <w:sz w:val="20"/>
                <w:szCs w:val="20"/>
                <w:color w:val="auto"/>
              </w:rPr>
            </w:pPr>
            <w:r>
              <w:rPr>
                <w:rFonts w:ascii="Arial" w:cs="Arial" w:eastAsia="Arial" w:hAnsi="Arial"/>
                <w:sz w:val="16"/>
                <w:szCs w:val="16"/>
                <w:color w:val="auto"/>
              </w:rPr>
              <w:t>986,900</w:t>
            </w:r>
          </w:p>
        </w:tc>
        <w:tc>
          <w:tcPr>
            <w:tcW w:w="1080" w:type="dxa"/>
            <w:vAlign w:val="bottom"/>
            <w:tcBorders>
              <w:bottom w:val="single" w:sz="8" w:color="0C3471"/>
            </w:tcBorders>
          </w:tcPr>
          <w:p>
            <w:pPr>
              <w:jc w:val="right"/>
              <w:ind w:right="4"/>
              <w:spacing w:after="0"/>
              <w:rPr>
                <w:sz w:val="20"/>
                <w:szCs w:val="20"/>
                <w:color w:val="auto"/>
              </w:rPr>
            </w:pPr>
            <w:r>
              <w:rPr>
                <w:rFonts w:ascii="Arial" w:cs="Arial" w:eastAsia="Arial" w:hAnsi="Arial"/>
                <w:sz w:val="16"/>
                <w:szCs w:val="16"/>
                <w:color w:val="auto"/>
              </w:rPr>
              <w:t>1,805,143</w:t>
            </w: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200" w:right="140" w:hanging="192"/>
        <w:spacing w:after="0" w:line="264" w:lineRule="auto"/>
        <w:tabs>
          <w:tab w:leader="none" w:pos="228" w:val="left"/>
        </w:tabs>
        <w:numPr>
          <w:ilvl w:val="0"/>
          <w:numId w:val="134"/>
        </w:numPr>
        <w:rPr>
          <w:rFonts w:ascii="Arial" w:cs="Arial" w:eastAsia="Arial" w:hAnsi="Arial"/>
          <w:sz w:val="19"/>
          <w:szCs w:val="19"/>
          <w:color w:val="auto"/>
          <w:vertAlign w:val="superscript"/>
        </w:rPr>
      </w:pPr>
      <w:r>
        <w:rPr>
          <w:rFonts w:ascii="Arial" w:cs="Arial" w:eastAsia="Arial" w:hAnsi="Arial"/>
          <w:sz w:val="14"/>
          <w:szCs w:val="14"/>
          <w:color w:val="auto"/>
        </w:rPr>
        <w:t>For Mr. Stauch, stock options continue vesting and are exercisable for the earlier of five years or the expiration date, restricted stock units vest in full upon separation, and performance share units vest following conclusion of the performance period based on actual performance. For Mr. Pedretti, unvested stock options are forfeited, vested stock options may be exercised for up to ninety (90) days following separation, restricted stock units (that are not performance awards or for which any performance goals have been satisfied) vest pro rata upon separation, and performance share units vest pro rata following conclusion of the performance period based on actual performance. The amounts listed above assume our ordinary shares were valued at $104.14, the closing market price for our ordinary shares on the last trading day of 2025.</w:t>
      </w:r>
    </w:p>
    <w:p>
      <w:pPr>
        <w:spacing w:after="0" w:line="35" w:lineRule="exact"/>
        <w:rPr>
          <w:rFonts w:ascii="Arial" w:cs="Arial" w:eastAsia="Arial" w:hAnsi="Arial"/>
          <w:sz w:val="19"/>
          <w:szCs w:val="19"/>
          <w:color w:val="auto"/>
          <w:vertAlign w:val="superscript"/>
        </w:rPr>
      </w:pPr>
    </w:p>
    <w:p>
      <w:pPr>
        <w:ind w:left="220" w:hanging="212"/>
        <w:spacing w:after="0"/>
        <w:tabs>
          <w:tab w:leader="none" w:pos="220" w:val="left"/>
        </w:tabs>
        <w:numPr>
          <w:ilvl w:val="0"/>
          <w:numId w:val="134"/>
        </w:numPr>
        <w:rPr>
          <w:rFonts w:ascii="Arial" w:cs="Arial" w:eastAsia="Arial" w:hAnsi="Arial"/>
          <w:sz w:val="19"/>
          <w:szCs w:val="19"/>
          <w:color w:val="auto"/>
          <w:vertAlign w:val="superscript"/>
        </w:rPr>
      </w:pPr>
      <w:r>
        <w:rPr>
          <w:rFonts w:ascii="Arial" w:cs="Arial" w:eastAsia="Arial" w:hAnsi="Arial"/>
          <w:sz w:val="14"/>
          <w:szCs w:val="14"/>
          <w:color w:val="auto"/>
        </w:rPr>
        <w:t>The amount shown assumes target performance. The actual amount is determined on the basis of actual performance through the end of the applicable performance period.</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0C3471"/>
        </w:rPr>
        <w:t>Termination without Cause or for Good Reason — Absent a Change in Control</w:t>
      </w:r>
    </w:p>
    <w:p>
      <w:pPr>
        <w:spacing w:after="0" w:line="113" w:lineRule="exact"/>
        <w:rPr>
          <w:sz w:val="20"/>
          <w:szCs w:val="20"/>
          <w:color w:val="auto"/>
        </w:rPr>
      </w:pPr>
    </w:p>
    <w:p>
      <w:pPr>
        <w:ind w:right="60"/>
        <w:spacing w:after="0" w:line="321" w:lineRule="auto"/>
        <w:rPr>
          <w:sz w:val="20"/>
          <w:szCs w:val="20"/>
          <w:color w:val="auto"/>
        </w:rPr>
      </w:pPr>
      <w:r>
        <w:rPr>
          <w:rFonts w:ascii="Arial" w:cs="Arial" w:eastAsia="Arial" w:hAnsi="Arial"/>
          <w:sz w:val="16"/>
          <w:szCs w:val="16"/>
          <w:color w:val="auto"/>
        </w:rPr>
        <w:t>The table below shows the amount of compensation payable to each Named Executive Officer upon a termination of employment by us other than for cause or termination by the executive for good reason in the absence of a change in control.</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1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0" w:type="dxa"/>
            <w:vAlign w:val="bottom"/>
          </w:tcPr>
          <w:p>
            <w:pPr>
              <w:jc w:val="right"/>
              <w:ind w:right="103"/>
              <w:spacing w:after="0"/>
              <w:rPr>
                <w:sz w:val="20"/>
                <w:szCs w:val="20"/>
                <w:color w:val="auto"/>
              </w:rPr>
            </w:pPr>
            <w:r>
              <w:rPr>
                <w:rFonts w:ascii="Arial" w:cs="Arial" w:eastAsia="Arial" w:hAnsi="Arial"/>
                <w:sz w:val="14"/>
                <w:szCs w:val="14"/>
                <w:b w:val="1"/>
                <w:bCs w:val="1"/>
                <w:color w:val="auto"/>
              </w:rPr>
              <w:t>Restricted</w:t>
            </w:r>
          </w:p>
        </w:tc>
        <w:tc>
          <w:tcPr>
            <w:tcW w:w="1280" w:type="dxa"/>
            <w:vAlign w:val="bottom"/>
          </w:tcPr>
          <w:p>
            <w:pPr>
              <w:jc w:val="right"/>
              <w:ind w:right="143"/>
              <w:spacing w:after="0"/>
              <w:rPr>
                <w:sz w:val="20"/>
                <w:szCs w:val="20"/>
                <w:color w:val="auto"/>
              </w:rPr>
            </w:pPr>
            <w:r>
              <w:rPr>
                <w:rFonts w:ascii="Arial" w:cs="Arial" w:eastAsia="Arial" w:hAnsi="Arial"/>
                <w:sz w:val="14"/>
                <w:szCs w:val="14"/>
                <w:b w:val="1"/>
                <w:bCs w:val="1"/>
                <w:color w:val="auto"/>
              </w:rPr>
              <w:t>Performance</w:t>
            </w:r>
          </w:p>
        </w:tc>
        <w:tc>
          <w:tcPr>
            <w:tcW w:w="15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5"/>
        </w:trPr>
        <w:tc>
          <w:tcPr>
            <w:tcW w:w="2160" w:type="dxa"/>
            <w:vAlign w:val="bottom"/>
          </w:tcPr>
          <w:p>
            <w:pPr>
              <w:spacing w:after="0"/>
              <w:rPr>
                <w:sz w:val="15"/>
                <w:szCs w:val="15"/>
                <w:color w:val="auto"/>
              </w:rPr>
            </w:pPr>
          </w:p>
        </w:tc>
        <w:tc>
          <w:tcPr>
            <w:tcW w:w="1560" w:type="dxa"/>
            <w:vAlign w:val="bottom"/>
          </w:tcPr>
          <w:p>
            <w:pPr>
              <w:jc w:val="right"/>
              <w:ind w:right="106"/>
              <w:spacing w:after="0"/>
              <w:rPr>
                <w:sz w:val="20"/>
                <w:szCs w:val="20"/>
                <w:color w:val="auto"/>
              </w:rPr>
            </w:pPr>
            <w:r>
              <w:rPr>
                <w:rFonts w:ascii="Arial" w:cs="Arial" w:eastAsia="Arial" w:hAnsi="Arial"/>
                <w:sz w:val="14"/>
                <w:szCs w:val="14"/>
                <w:b w:val="1"/>
                <w:bCs w:val="1"/>
                <w:color w:val="auto"/>
              </w:rPr>
              <w:t>Cash</w:t>
            </w:r>
          </w:p>
        </w:tc>
        <w:tc>
          <w:tcPr>
            <w:tcW w:w="1320" w:type="dxa"/>
            <w:vAlign w:val="bottom"/>
          </w:tcPr>
          <w:p>
            <w:pPr>
              <w:jc w:val="right"/>
              <w:ind w:right="166"/>
              <w:spacing w:after="0"/>
              <w:rPr>
                <w:sz w:val="20"/>
                <w:szCs w:val="20"/>
                <w:color w:val="auto"/>
              </w:rPr>
            </w:pPr>
            <w:r>
              <w:rPr>
                <w:rFonts w:ascii="Arial" w:cs="Arial" w:eastAsia="Arial" w:hAnsi="Arial"/>
                <w:sz w:val="14"/>
                <w:szCs w:val="14"/>
                <w:b w:val="1"/>
                <w:bCs w:val="1"/>
                <w:color w:val="auto"/>
              </w:rPr>
              <w:t>Stock Option</w:t>
            </w:r>
          </w:p>
        </w:tc>
        <w:tc>
          <w:tcPr>
            <w:tcW w:w="1200" w:type="dxa"/>
            <w:vAlign w:val="bottom"/>
          </w:tcPr>
          <w:p>
            <w:pPr>
              <w:jc w:val="right"/>
              <w:ind w:right="103"/>
              <w:spacing w:after="0"/>
              <w:rPr>
                <w:sz w:val="20"/>
                <w:szCs w:val="20"/>
                <w:color w:val="auto"/>
              </w:rPr>
            </w:pPr>
            <w:r>
              <w:rPr>
                <w:rFonts w:ascii="Arial" w:cs="Arial" w:eastAsia="Arial" w:hAnsi="Arial"/>
                <w:sz w:val="14"/>
                <w:szCs w:val="14"/>
                <w:b w:val="1"/>
                <w:bCs w:val="1"/>
                <w:color w:val="auto"/>
              </w:rPr>
              <w:t>Stock Unit</w:t>
            </w:r>
          </w:p>
        </w:tc>
        <w:tc>
          <w:tcPr>
            <w:tcW w:w="1280" w:type="dxa"/>
            <w:vAlign w:val="bottom"/>
          </w:tcPr>
          <w:p>
            <w:pPr>
              <w:jc w:val="right"/>
              <w:ind w:right="143"/>
              <w:spacing w:after="0"/>
              <w:rPr>
                <w:sz w:val="20"/>
                <w:szCs w:val="20"/>
                <w:color w:val="auto"/>
              </w:rPr>
            </w:pPr>
            <w:r>
              <w:rPr>
                <w:rFonts w:ascii="Arial" w:cs="Arial" w:eastAsia="Arial" w:hAnsi="Arial"/>
                <w:sz w:val="14"/>
                <w:szCs w:val="14"/>
                <w:b w:val="1"/>
                <w:bCs w:val="1"/>
                <w:color w:val="auto"/>
              </w:rPr>
              <w:t>Share Unit</w:t>
            </w:r>
          </w:p>
        </w:tc>
        <w:tc>
          <w:tcPr>
            <w:tcW w:w="1500" w:type="dxa"/>
            <w:vAlign w:val="bottom"/>
          </w:tcPr>
          <w:p>
            <w:pPr>
              <w:spacing w:after="0"/>
              <w:rPr>
                <w:sz w:val="15"/>
                <w:szCs w:val="15"/>
                <w:color w:val="auto"/>
              </w:rPr>
            </w:pPr>
          </w:p>
        </w:tc>
        <w:tc>
          <w:tcPr>
            <w:tcW w:w="1100" w:type="dxa"/>
            <w:vAlign w:val="bottom"/>
          </w:tcPr>
          <w:p>
            <w:pPr>
              <w:ind w:left="320"/>
              <w:spacing w:after="0"/>
              <w:rPr>
                <w:sz w:val="20"/>
                <w:szCs w:val="20"/>
                <w:color w:val="auto"/>
              </w:rPr>
            </w:pPr>
            <w:r>
              <w:rPr>
                <w:rFonts w:ascii="Arial" w:cs="Arial" w:eastAsia="Arial" w:hAnsi="Arial"/>
                <w:sz w:val="14"/>
                <w:szCs w:val="14"/>
                <w:b w:val="1"/>
                <w:bCs w:val="1"/>
                <w:color w:val="auto"/>
              </w:rPr>
              <w:t>Medical,</w:t>
            </w:r>
          </w:p>
        </w:tc>
        <w:tc>
          <w:tcPr>
            <w:tcW w:w="1120" w:type="dxa"/>
            <w:vAlign w:val="bottom"/>
          </w:tcPr>
          <w:p>
            <w:pPr>
              <w:spacing w:after="0"/>
              <w:rPr>
                <w:sz w:val="15"/>
                <w:szCs w:val="15"/>
                <w:color w:val="auto"/>
              </w:rPr>
            </w:pPr>
          </w:p>
        </w:tc>
      </w:tr>
      <w:tr>
        <w:trPr>
          <w:trHeight w:val="162"/>
        </w:trPr>
        <w:tc>
          <w:tcPr>
            <w:tcW w:w="2160" w:type="dxa"/>
            <w:vAlign w:val="bottom"/>
          </w:tcPr>
          <w:p>
            <w:pPr>
              <w:spacing w:after="0"/>
              <w:rPr>
                <w:sz w:val="14"/>
                <w:szCs w:val="14"/>
                <w:color w:val="auto"/>
              </w:rPr>
            </w:pPr>
          </w:p>
        </w:tc>
        <w:tc>
          <w:tcPr>
            <w:tcW w:w="1560" w:type="dxa"/>
            <w:vAlign w:val="bottom"/>
          </w:tcPr>
          <w:p>
            <w:pPr>
              <w:jc w:val="right"/>
              <w:ind w:right="106"/>
              <w:spacing w:after="0"/>
              <w:rPr>
                <w:sz w:val="20"/>
                <w:szCs w:val="20"/>
                <w:color w:val="auto"/>
              </w:rPr>
            </w:pPr>
            <w:r>
              <w:rPr>
                <w:rFonts w:ascii="Arial" w:cs="Arial" w:eastAsia="Arial" w:hAnsi="Arial"/>
                <w:sz w:val="14"/>
                <w:szCs w:val="14"/>
                <w:b w:val="1"/>
                <w:bCs w:val="1"/>
                <w:color w:val="auto"/>
              </w:rPr>
              <w:t>Payment</w:t>
            </w:r>
          </w:p>
        </w:tc>
        <w:tc>
          <w:tcPr>
            <w:tcW w:w="1320" w:type="dxa"/>
            <w:vAlign w:val="bottom"/>
          </w:tcPr>
          <w:p>
            <w:pPr>
              <w:jc w:val="right"/>
              <w:ind w:right="166"/>
              <w:spacing w:after="0"/>
              <w:rPr>
                <w:sz w:val="20"/>
                <w:szCs w:val="20"/>
                <w:color w:val="auto"/>
              </w:rPr>
            </w:pPr>
            <w:r>
              <w:rPr>
                <w:rFonts w:ascii="Arial" w:cs="Arial" w:eastAsia="Arial" w:hAnsi="Arial"/>
                <w:sz w:val="14"/>
                <w:szCs w:val="14"/>
                <w:b w:val="1"/>
                <w:bCs w:val="1"/>
                <w:color w:val="auto"/>
              </w:rPr>
              <w:t>Vesting</w:t>
            </w:r>
          </w:p>
        </w:tc>
        <w:tc>
          <w:tcPr>
            <w:tcW w:w="1200" w:type="dxa"/>
            <w:vAlign w:val="bottom"/>
          </w:tcPr>
          <w:p>
            <w:pPr>
              <w:jc w:val="right"/>
              <w:ind w:right="103"/>
              <w:spacing w:after="0"/>
              <w:rPr>
                <w:sz w:val="20"/>
                <w:szCs w:val="20"/>
                <w:color w:val="auto"/>
              </w:rPr>
            </w:pPr>
            <w:r>
              <w:rPr>
                <w:rFonts w:ascii="Arial" w:cs="Arial" w:eastAsia="Arial" w:hAnsi="Arial"/>
                <w:sz w:val="14"/>
                <w:szCs w:val="14"/>
                <w:b w:val="1"/>
                <w:bCs w:val="1"/>
                <w:color w:val="auto"/>
              </w:rPr>
              <w:t>Vesting</w:t>
            </w:r>
          </w:p>
        </w:tc>
        <w:tc>
          <w:tcPr>
            <w:tcW w:w="1280" w:type="dxa"/>
            <w:vAlign w:val="bottom"/>
          </w:tcPr>
          <w:p>
            <w:pPr>
              <w:jc w:val="right"/>
              <w:ind w:right="143"/>
              <w:spacing w:after="0"/>
              <w:rPr>
                <w:sz w:val="20"/>
                <w:szCs w:val="20"/>
                <w:color w:val="auto"/>
              </w:rPr>
            </w:pPr>
            <w:r>
              <w:rPr>
                <w:rFonts w:ascii="Arial" w:cs="Arial" w:eastAsia="Arial" w:hAnsi="Arial"/>
                <w:sz w:val="14"/>
                <w:szCs w:val="14"/>
                <w:b w:val="1"/>
                <w:bCs w:val="1"/>
                <w:color w:val="auto"/>
              </w:rPr>
              <w:t>Vesting</w:t>
            </w:r>
          </w:p>
        </w:tc>
        <w:tc>
          <w:tcPr>
            <w:tcW w:w="1500" w:type="dxa"/>
            <w:vAlign w:val="bottom"/>
          </w:tcPr>
          <w:p>
            <w:pPr>
              <w:jc w:val="right"/>
              <w:ind w:right="222"/>
              <w:spacing w:after="0"/>
              <w:rPr>
                <w:sz w:val="20"/>
                <w:szCs w:val="20"/>
                <w:color w:val="auto"/>
              </w:rPr>
            </w:pPr>
            <w:r>
              <w:rPr>
                <w:rFonts w:ascii="Arial" w:cs="Arial" w:eastAsia="Arial" w:hAnsi="Arial"/>
                <w:sz w:val="14"/>
                <w:szCs w:val="14"/>
                <w:b w:val="1"/>
                <w:bCs w:val="1"/>
                <w:color w:val="auto"/>
              </w:rPr>
              <w:t>Outplacement</w:t>
            </w:r>
          </w:p>
        </w:tc>
        <w:tc>
          <w:tcPr>
            <w:tcW w:w="1100" w:type="dxa"/>
            <w:vAlign w:val="bottom"/>
          </w:tcPr>
          <w:p>
            <w:pPr>
              <w:jc w:val="right"/>
              <w:ind w:right="146"/>
              <w:spacing w:after="0"/>
              <w:rPr>
                <w:sz w:val="20"/>
                <w:szCs w:val="20"/>
                <w:color w:val="auto"/>
              </w:rPr>
            </w:pPr>
            <w:r>
              <w:rPr>
                <w:rFonts w:ascii="Arial" w:cs="Arial" w:eastAsia="Arial" w:hAnsi="Arial"/>
                <w:sz w:val="14"/>
                <w:szCs w:val="14"/>
                <w:b w:val="1"/>
                <w:bCs w:val="1"/>
                <w:color w:val="auto"/>
              </w:rPr>
              <w:t>Dental</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Total</w:t>
            </w:r>
          </w:p>
        </w:tc>
      </w:tr>
      <w:tr>
        <w:trPr>
          <w:trHeight w:val="225"/>
        </w:trPr>
        <w:tc>
          <w:tcPr>
            <w:tcW w:w="2160" w:type="dxa"/>
            <w:vAlign w:val="bottom"/>
            <w:tcBorders>
              <w:bottom w:val="single" w:sz="8" w:color="0C3471"/>
            </w:tcBorders>
          </w:tcPr>
          <w:p>
            <w:pPr>
              <w:ind w:left="20"/>
              <w:spacing w:after="0"/>
              <w:rPr>
                <w:sz w:val="20"/>
                <w:szCs w:val="20"/>
                <w:color w:val="auto"/>
              </w:rPr>
            </w:pPr>
            <w:r>
              <w:rPr>
                <w:rFonts w:ascii="Arial" w:cs="Arial" w:eastAsia="Arial" w:hAnsi="Arial"/>
                <w:sz w:val="14"/>
                <w:szCs w:val="14"/>
                <w:b w:val="1"/>
                <w:bCs w:val="1"/>
                <w:color w:val="auto"/>
              </w:rPr>
              <w:t>Executive</w:t>
            </w:r>
          </w:p>
        </w:tc>
        <w:tc>
          <w:tcPr>
            <w:tcW w:w="1560" w:type="dxa"/>
            <w:vAlign w:val="bottom"/>
            <w:tcBorders>
              <w:bottom w:val="single" w:sz="8" w:color="0C3471"/>
            </w:tcBorders>
          </w:tcPr>
          <w:p>
            <w:pPr>
              <w:jc w:val="right"/>
              <w:ind w:right="106"/>
              <w:spacing w:after="0" w:line="225" w:lineRule="exact"/>
              <w:rPr>
                <w:sz w:val="20"/>
                <w:szCs w:val="20"/>
                <w:color w:val="auto"/>
              </w:rPr>
            </w:pPr>
            <w:r>
              <w:rPr>
                <w:rFonts w:ascii="Arial" w:cs="Arial" w:eastAsia="Arial" w:hAnsi="Arial"/>
                <w:sz w:val="26"/>
                <w:szCs w:val="26"/>
                <w:b w:val="1"/>
                <w:bCs w:val="1"/>
                <w:color w:val="auto"/>
                <w:vertAlign w:val="subscript"/>
              </w:rPr>
              <w:t>($)</w:t>
            </w:r>
            <w:r>
              <w:rPr>
                <w:rFonts w:ascii="Arial" w:cs="Arial" w:eastAsia="Arial" w:hAnsi="Arial"/>
                <w:sz w:val="9"/>
                <w:szCs w:val="9"/>
                <w:b w:val="1"/>
                <w:bCs w:val="1"/>
                <w:color w:val="auto"/>
              </w:rPr>
              <w:t>(1)</w:t>
            </w:r>
          </w:p>
        </w:tc>
        <w:tc>
          <w:tcPr>
            <w:tcW w:w="1320" w:type="dxa"/>
            <w:vAlign w:val="bottom"/>
            <w:tcBorders>
              <w:bottom w:val="single" w:sz="8" w:color="0C3471"/>
            </w:tcBorders>
          </w:tcPr>
          <w:p>
            <w:pPr>
              <w:jc w:val="right"/>
              <w:ind w:right="166"/>
              <w:spacing w:after="0" w:line="225" w:lineRule="exact"/>
              <w:rPr>
                <w:sz w:val="20"/>
                <w:szCs w:val="20"/>
                <w:color w:val="auto"/>
              </w:rPr>
            </w:pPr>
            <w:r>
              <w:rPr>
                <w:rFonts w:ascii="Arial" w:cs="Arial" w:eastAsia="Arial" w:hAnsi="Arial"/>
                <w:sz w:val="26"/>
                <w:szCs w:val="26"/>
                <w:b w:val="1"/>
                <w:bCs w:val="1"/>
                <w:color w:val="auto"/>
                <w:vertAlign w:val="subscript"/>
              </w:rPr>
              <w:t>($)</w:t>
            </w:r>
            <w:r>
              <w:rPr>
                <w:rFonts w:ascii="Arial" w:cs="Arial" w:eastAsia="Arial" w:hAnsi="Arial"/>
                <w:sz w:val="9"/>
                <w:szCs w:val="9"/>
                <w:b w:val="1"/>
                <w:bCs w:val="1"/>
                <w:color w:val="auto"/>
              </w:rPr>
              <w:t>(2)</w:t>
            </w:r>
          </w:p>
        </w:tc>
        <w:tc>
          <w:tcPr>
            <w:tcW w:w="1200" w:type="dxa"/>
            <w:vAlign w:val="bottom"/>
            <w:tcBorders>
              <w:bottom w:val="single" w:sz="8" w:color="0C3471"/>
            </w:tcBorders>
          </w:tcPr>
          <w:p>
            <w:pPr>
              <w:jc w:val="right"/>
              <w:ind w:right="103"/>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8"/>
                <w:szCs w:val="18"/>
                <w:b w:val="1"/>
                <w:bCs w:val="1"/>
                <w:color w:val="auto"/>
                <w:vertAlign w:val="superscript"/>
              </w:rPr>
              <w:t>(2)</w:t>
            </w:r>
          </w:p>
        </w:tc>
        <w:tc>
          <w:tcPr>
            <w:tcW w:w="1280" w:type="dxa"/>
            <w:vAlign w:val="bottom"/>
            <w:tcBorders>
              <w:bottom w:val="single" w:sz="8" w:color="0C3471"/>
            </w:tcBorders>
          </w:tcPr>
          <w:p>
            <w:pPr>
              <w:jc w:val="right"/>
              <w:ind w:right="143"/>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8"/>
                <w:szCs w:val="18"/>
                <w:b w:val="1"/>
                <w:bCs w:val="1"/>
                <w:color w:val="auto"/>
                <w:vertAlign w:val="superscript"/>
              </w:rPr>
              <w:t>(2)</w:t>
            </w:r>
          </w:p>
        </w:tc>
        <w:tc>
          <w:tcPr>
            <w:tcW w:w="1500" w:type="dxa"/>
            <w:vAlign w:val="bottom"/>
            <w:tcBorders>
              <w:bottom w:val="single" w:sz="8" w:color="0C3471"/>
            </w:tcBorders>
          </w:tcPr>
          <w:p>
            <w:pPr>
              <w:jc w:val="right"/>
              <w:ind w:right="222"/>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9"/>
                <w:szCs w:val="9"/>
                <w:b w:val="1"/>
                <w:bCs w:val="1"/>
                <w:color w:val="auto"/>
              </w:rPr>
              <w:t>(1)</w:t>
            </w:r>
          </w:p>
        </w:tc>
        <w:tc>
          <w:tcPr>
            <w:tcW w:w="1100" w:type="dxa"/>
            <w:vAlign w:val="bottom"/>
            <w:tcBorders>
              <w:bottom w:val="single" w:sz="8" w:color="0C3471"/>
            </w:tcBorders>
          </w:tcPr>
          <w:p>
            <w:pPr>
              <w:jc w:val="right"/>
              <w:ind w:right="146"/>
              <w:spacing w:after="0" w:line="225" w:lineRule="exact"/>
              <w:rPr>
                <w:sz w:val="20"/>
                <w:szCs w:val="20"/>
                <w:color w:val="auto"/>
              </w:rPr>
            </w:pPr>
            <w:r>
              <w:rPr>
                <w:rFonts w:ascii="Arial" w:cs="Arial" w:eastAsia="Arial" w:hAnsi="Arial"/>
                <w:sz w:val="26"/>
                <w:szCs w:val="26"/>
                <w:b w:val="1"/>
                <w:bCs w:val="1"/>
                <w:color w:val="auto"/>
                <w:vertAlign w:val="subscript"/>
              </w:rPr>
              <w:t>($)</w:t>
            </w:r>
            <w:r>
              <w:rPr>
                <w:rFonts w:ascii="Arial" w:cs="Arial" w:eastAsia="Arial" w:hAnsi="Arial"/>
                <w:sz w:val="9"/>
                <w:szCs w:val="9"/>
                <w:b w:val="1"/>
                <w:bCs w:val="1"/>
                <w:color w:val="auto"/>
              </w:rPr>
              <w:t>(1)</w:t>
            </w:r>
          </w:p>
        </w:tc>
        <w:tc>
          <w:tcPr>
            <w:tcW w:w="1120" w:type="dxa"/>
            <w:vAlign w:val="bottom"/>
            <w:tcBorders>
              <w:bottom w:val="single" w:sz="8" w:color="0C3471"/>
            </w:tcBorders>
          </w:tcPr>
          <w:p>
            <w:pPr>
              <w:jc w:val="right"/>
              <w:spacing w:after="0"/>
              <w:rPr>
                <w:sz w:val="20"/>
                <w:szCs w:val="20"/>
                <w:color w:val="auto"/>
              </w:rPr>
            </w:pPr>
            <w:r>
              <w:rPr>
                <w:rFonts w:ascii="Arial" w:cs="Arial" w:eastAsia="Arial" w:hAnsi="Arial"/>
                <w:sz w:val="14"/>
                <w:szCs w:val="14"/>
                <w:b w:val="1"/>
                <w:bCs w:val="1"/>
                <w:color w:val="auto"/>
              </w:rPr>
              <w:t>($)</w:t>
            </w:r>
          </w:p>
        </w:tc>
      </w:tr>
      <w:tr>
        <w:trPr>
          <w:trHeight w:val="260"/>
        </w:trPr>
        <w:tc>
          <w:tcPr>
            <w:tcW w:w="2160" w:type="dxa"/>
            <w:vAlign w:val="bottom"/>
            <w:tcBorders>
              <w:bottom w:val="single" w:sz="8" w:color="BCBEC0"/>
            </w:tcBorders>
          </w:tcPr>
          <w:p>
            <w:pPr>
              <w:ind w:left="20"/>
              <w:spacing w:after="0"/>
              <w:rPr>
                <w:sz w:val="20"/>
                <w:szCs w:val="20"/>
                <w:color w:val="auto"/>
              </w:rPr>
            </w:pPr>
            <w:r>
              <w:rPr>
                <w:rFonts w:ascii="Arial" w:cs="Arial" w:eastAsia="Arial" w:hAnsi="Arial"/>
                <w:sz w:val="16"/>
                <w:szCs w:val="16"/>
                <w:b w:val="1"/>
                <w:bCs w:val="1"/>
                <w:color w:val="0C3471"/>
              </w:rPr>
              <w:t>John L. Stauch</w:t>
            </w:r>
          </w:p>
        </w:tc>
        <w:tc>
          <w:tcPr>
            <w:tcW w:w="1560" w:type="dxa"/>
            <w:vAlign w:val="bottom"/>
            <w:tcBorders>
              <w:bottom w:val="single" w:sz="8" w:color="BCBEC0"/>
            </w:tcBorders>
          </w:tcPr>
          <w:p>
            <w:pPr>
              <w:jc w:val="right"/>
              <w:ind w:right="166"/>
              <w:spacing w:after="0"/>
              <w:rPr>
                <w:sz w:val="20"/>
                <w:szCs w:val="20"/>
                <w:color w:val="auto"/>
              </w:rPr>
            </w:pPr>
            <w:r>
              <w:rPr>
                <w:rFonts w:ascii="Arial" w:cs="Arial" w:eastAsia="Arial" w:hAnsi="Arial"/>
                <w:sz w:val="16"/>
                <w:szCs w:val="16"/>
                <w:color w:val="auto"/>
              </w:rPr>
              <w:t>5,452,000</w:t>
            </w:r>
          </w:p>
        </w:tc>
        <w:tc>
          <w:tcPr>
            <w:tcW w:w="1320" w:type="dxa"/>
            <w:vAlign w:val="bottom"/>
            <w:tcBorders>
              <w:bottom w:val="single" w:sz="8" w:color="BCBEC0"/>
            </w:tcBorders>
          </w:tcPr>
          <w:p>
            <w:pPr>
              <w:jc w:val="right"/>
              <w:ind w:right="206"/>
              <w:spacing w:after="0"/>
              <w:rPr>
                <w:sz w:val="20"/>
                <w:szCs w:val="20"/>
                <w:color w:val="auto"/>
              </w:rPr>
            </w:pPr>
            <w:r>
              <w:rPr>
                <w:rFonts w:ascii="Arial" w:cs="Arial" w:eastAsia="Arial" w:hAnsi="Arial"/>
                <w:sz w:val="16"/>
                <w:szCs w:val="16"/>
                <w:color w:val="auto"/>
              </w:rPr>
              <w:t>3,934,322</w:t>
            </w:r>
          </w:p>
        </w:tc>
        <w:tc>
          <w:tcPr>
            <w:tcW w:w="1200" w:type="dxa"/>
            <w:vAlign w:val="bottom"/>
            <w:tcBorders>
              <w:bottom w:val="single" w:sz="8" w:color="BCBEC0"/>
            </w:tcBorders>
          </w:tcPr>
          <w:p>
            <w:pPr>
              <w:jc w:val="right"/>
              <w:ind w:right="163"/>
              <w:spacing w:after="0"/>
              <w:rPr>
                <w:sz w:val="20"/>
                <w:szCs w:val="20"/>
                <w:color w:val="auto"/>
              </w:rPr>
            </w:pPr>
            <w:r>
              <w:rPr>
                <w:rFonts w:ascii="Arial" w:cs="Arial" w:eastAsia="Arial" w:hAnsi="Arial"/>
                <w:sz w:val="16"/>
                <w:szCs w:val="16"/>
                <w:color w:val="auto"/>
              </w:rPr>
              <w:t>2,858,226</w:t>
            </w:r>
          </w:p>
        </w:tc>
        <w:tc>
          <w:tcPr>
            <w:tcW w:w="1280" w:type="dxa"/>
            <w:vAlign w:val="bottom"/>
            <w:tcBorders>
              <w:bottom w:val="single" w:sz="8" w:color="BCBEC0"/>
            </w:tcBorders>
          </w:tcPr>
          <w:p>
            <w:pPr>
              <w:jc w:val="right"/>
              <w:ind w:right="183"/>
              <w:spacing w:after="0"/>
              <w:rPr>
                <w:sz w:val="20"/>
                <w:szCs w:val="20"/>
                <w:color w:val="auto"/>
              </w:rPr>
            </w:pPr>
            <w:r>
              <w:rPr>
                <w:rFonts w:ascii="Arial" w:cs="Arial" w:eastAsia="Arial" w:hAnsi="Arial"/>
                <w:sz w:val="16"/>
                <w:szCs w:val="16"/>
                <w:color w:val="auto"/>
              </w:rPr>
              <w:t>10,217,592</w:t>
            </w:r>
          </w:p>
        </w:tc>
        <w:tc>
          <w:tcPr>
            <w:tcW w:w="1500" w:type="dxa"/>
            <w:vAlign w:val="bottom"/>
            <w:tcBorders>
              <w:bottom w:val="single" w:sz="8" w:color="BCBEC0"/>
            </w:tcBorders>
          </w:tcPr>
          <w:p>
            <w:pPr>
              <w:jc w:val="right"/>
              <w:ind w:right="282"/>
              <w:spacing w:after="0"/>
              <w:rPr>
                <w:sz w:val="20"/>
                <w:szCs w:val="20"/>
                <w:color w:val="auto"/>
              </w:rPr>
            </w:pPr>
            <w:r>
              <w:rPr>
                <w:rFonts w:ascii="Arial" w:cs="Arial" w:eastAsia="Arial" w:hAnsi="Arial"/>
                <w:sz w:val="16"/>
                <w:szCs w:val="16"/>
                <w:color w:val="auto"/>
              </w:rPr>
              <w:t>20,000</w:t>
            </w:r>
          </w:p>
        </w:tc>
        <w:tc>
          <w:tcPr>
            <w:tcW w:w="1100" w:type="dxa"/>
            <w:vAlign w:val="bottom"/>
            <w:tcBorders>
              <w:bottom w:val="single" w:sz="8" w:color="BCBEC0"/>
            </w:tcBorders>
          </w:tcPr>
          <w:p>
            <w:pPr>
              <w:ind w:left="320"/>
              <w:spacing w:after="0"/>
              <w:rPr>
                <w:sz w:val="20"/>
                <w:szCs w:val="20"/>
                <w:color w:val="auto"/>
              </w:rPr>
            </w:pPr>
            <w:r>
              <w:rPr>
                <w:rFonts w:ascii="Arial" w:cs="Arial" w:eastAsia="Arial" w:hAnsi="Arial"/>
                <w:sz w:val="16"/>
                <w:szCs w:val="16"/>
                <w:color w:val="auto"/>
              </w:rPr>
              <w:t>34,915</w:t>
            </w:r>
          </w:p>
        </w:tc>
        <w:tc>
          <w:tcPr>
            <w:tcW w:w="1120" w:type="dxa"/>
            <w:vAlign w:val="bottom"/>
            <w:tcBorders>
              <w:bottom w:val="single" w:sz="8" w:color="BCBEC0"/>
            </w:tcBorders>
          </w:tcPr>
          <w:p>
            <w:pPr>
              <w:jc w:val="right"/>
              <w:ind w:right="2"/>
              <w:spacing w:after="0"/>
              <w:rPr>
                <w:sz w:val="20"/>
                <w:szCs w:val="20"/>
                <w:color w:val="auto"/>
              </w:rPr>
            </w:pPr>
            <w:r>
              <w:rPr>
                <w:rFonts w:ascii="Arial" w:cs="Arial" w:eastAsia="Arial" w:hAnsi="Arial"/>
                <w:sz w:val="16"/>
                <w:szCs w:val="16"/>
                <w:color w:val="auto"/>
              </w:rPr>
              <w:t>22,517,055</w:t>
            </w:r>
          </w:p>
        </w:tc>
      </w:tr>
      <w:tr>
        <w:trPr>
          <w:trHeight w:val="267"/>
        </w:trPr>
        <w:tc>
          <w:tcPr>
            <w:tcW w:w="2160" w:type="dxa"/>
            <w:vAlign w:val="bottom"/>
            <w:tcBorders>
              <w:bottom w:val="single" w:sz="8" w:color="BCBEC0"/>
            </w:tcBorders>
          </w:tcPr>
          <w:p>
            <w:pPr>
              <w:ind w:left="20"/>
              <w:spacing w:after="0"/>
              <w:rPr>
                <w:sz w:val="20"/>
                <w:szCs w:val="20"/>
                <w:color w:val="auto"/>
              </w:rPr>
            </w:pPr>
            <w:r>
              <w:rPr>
                <w:rFonts w:ascii="Arial" w:cs="Arial" w:eastAsia="Arial" w:hAnsi="Arial"/>
                <w:sz w:val="16"/>
                <w:szCs w:val="16"/>
                <w:b w:val="1"/>
                <w:bCs w:val="1"/>
                <w:color w:val="0C3471"/>
              </w:rPr>
              <w:t>Robert P. Fishman</w:t>
            </w:r>
            <w:r>
              <w:rPr>
                <w:rFonts w:ascii="Arial" w:cs="Arial" w:eastAsia="Arial" w:hAnsi="Arial"/>
                <w:sz w:val="21"/>
                <w:szCs w:val="21"/>
                <w:b w:val="1"/>
                <w:bCs w:val="1"/>
                <w:color w:val="0C3471"/>
                <w:vertAlign w:val="superscript"/>
              </w:rPr>
              <w:t>(3)</w:t>
            </w:r>
          </w:p>
        </w:tc>
        <w:tc>
          <w:tcPr>
            <w:tcW w:w="1560" w:type="dxa"/>
            <w:vAlign w:val="bottom"/>
            <w:tcBorders>
              <w:bottom w:val="single" w:sz="8" w:color="BCBEC0"/>
            </w:tcBorders>
          </w:tcPr>
          <w:p>
            <w:pPr>
              <w:jc w:val="right"/>
              <w:ind w:right="166"/>
              <w:spacing w:after="0"/>
              <w:rPr>
                <w:sz w:val="20"/>
                <w:szCs w:val="20"/>
                <w:color w:val="auto"/>
              </w:rPr>
            </w:pPr>
            <w:r>
              <w:rPr>
                <w:rFonts w:ascii="Arial" w:cs="Arial" w:eastAsia="Arial" w:hAnsi="Arial"/>
                <w:sz w:val="16"/>
                <w:szCs w:val="16"/>
                <w:color w:val="auto"/>
              </w:rPr>
              <w:t>2,980,000</w:t>
            </w:r>
          </w:p>
        </w:tc>
        <w:tc>
          <w:tcPr>
            <w:tcW w:w="1320" w:type="dxa"/>
            <w:vAlign w:val="bottom"/>
            <w:tcBorders>
              <w:bottom w:val="single" w:sz="8" w:color="BCBEC0"/>
            </w:tcBorders>
          </w:tcPr>
          <w:p>
            <w:pPr>
              <w:jc w:val="right"/>
              <w:ind w:right="206"/>
              <w:spacing w:after="0"/>
              <w:rPr>
                <w:sz w:val="20"/>
                <w:szCs w:val="20"/>
                <w:color w:val="auto"/>
              </w:rPr>
            </w:pPr>
            <w:r>
              <w:rPr>
                <w:rFonts w:ascii="Arial" w:cs="Arial" w:eastAsia="Arial" w:hAnsi="Arial"/>
                <w:sz w:val="16"/>
                <w:szCs w:val="16"/>
                <w:color w:val="auto"/>
              </w:rPr>
              <w:t>1,100,809</w:t>
            </w:r>
          </w:p>
        </w:tc>
        <w:tc>
          <w:tcPr>
            <w:tcW w:w="1200" w:type="dxa"/>
            <w:vAlign w:val="bottom"/>
            <w:tcBorders>
              <w:bottom w:val="single" w:sz="8" w:color="BCBEC0"/>
            </w:tcBorders>
          </w:tcPr>
          <w:p>
            <w:pPr>
              <w:jc w:val="right"/>
              <w:ind w:right="163"/>
              <w:spacing w:after="0"/>
              <w:rPr>
                <w:sz w:val="20"/>
                <w:szCs w:val="20"/>
                <w:color w:val="auto"/>
              </w:rPr>
            </w:pPr>
            <w:r>
              <w:rPr>
                <w:rFonts w:ascii="Arial" w:cs="Arial" w:eastAsia="Arial" w:hAnsi="Arial"/>
                <w:sz w:val="16"/>
                <w:szCs w:val="16"/>
                <w:color w:val="auto"/>
              </w:rPr>
              <w:t>1,282,901</w:t>
            </w:r>
          </w:p>
        </w:tc>
        <w:tc>
          <w:tcPr>
            <w:tcW w:w="1280" w:type="dxa"/>
            <w:vAlign w:val="bottom"/>
            <w:tcBorders>
              <w:bottom w:val="single" w:sz="8" w:color="BCBEC0"/>
            </w:tcBorders>
          </w:tcPr>
          <w:p>
            <w:pPr>
              <w:jc w:val="right"/>
              <w:ind w:right="183"/>
              <w:spacing w:after="0"/>
              <w:rPr>
                <w:sz w:val="20"/>
                <w:szCs w:val="20"/>
                <w:color w:val="auto"/>
              </w:rPr>
            </w:pPr>
            <w:r>
              <w:rPr>
                <w:rFonts w:ascii="Arial" w:cs="Arial" w:eastAsia="Arial" w:hAnsi="Arial"/>
                <w:sz w:val="16"/>
                <w:szCs w:val="16"/>
                <w:color w:val="auto"/>
              </w:rPr>
              <w:t>2,318,885</w:t>
            </w:r>
          </w:p>
        </w:tc>
        <w:tc>
          <w:tcPr>
            <w:tcW w:w="1500" w:type="dxa"/>
            <w:vAlign w:val="bottom"/>
            <w:tcBorders>
              <w:bottom w:val="single" w:sz="8" w:color="BCBEC0"/>
            </w:tcBorders>
          </w:tcPr>
          <w:p>
            <w:pPr>
              <w:jc w:val="right"/>
              <w:ind w:right="282"/>
              <w:spacing w:after="0"/>
              <w:rPr>
                <w:sz w:val="20"/>
                <w:szCs w:val="20"/>
                <w:color w:val="auto"/>
              </w:rPr>
            </w:pPr>
            <w:r>
              <w:rPr>
                <w:rFonts w:ascii="Arial" w:cs="Arial" w:eastAsia="Arial" w:hAnsi="Arial"/>
                <w:sz w:val="16"/>
                <w:szCs w:val="16"/>
                <w:color w:val="auto"/>
              </w:rPr>
              <w:t>15,000</w:t>
            </w:r>
          </w:p>
        </w:tc>
        <w:tc>
          <w:tcPr>
            <w:tcW w:w="1100" w:type="dxa"/>
            <w:vAlign w:val="bottom"/>
            <w:tcBorders>
              <w:bottom w:val="single" w:sz="8" w:color="BCBEC0"/>
            </w:tcBorders>
          </w:tcPr>
          <w:p>
            <w:pPr>
              <w:ind w:left="320"/>
              <w:spacing w:after="0"/>
              <w:rPr>
                <w:sz w:val="20"/>
                <w:szCs w:val="20"/>
                <w:color w:val="auto"/>
              </w:rPr>
            </w:pPr>
            <w:r>
              <w:rPr>
                <w:rFonts w:ascii="Arial" w:cs="Arial" w:eastAsia="Arial" w:hAnsi="Arial"/>
                <w:sz w:val="16"/>
                <w:szCs w:val="16"/>
                <w:color w:val="auto"/>
              </w:rPr>
              <w:t>49,780</w:t>
            </w:r>
          </w:p>
        </w:tc>
        <w:tc>
          <w:tcPr>
            <w:tcW w:w="1120" w:type="dxa"/>
            <w:vAlign w:val="bottom"/>
            <w:tcBorders>
              <w:bottom w:val="single" w:sz="8" w:color="BCBEC0"/>
            </w:tcBorders>
          </w:tcPr>
          <w:p>
            <w:pPr>
              <w:jc w:val="right"/>
              <w:ind w:right="2"/>
              <w:spacing w:after="0"/>
              <w:rPr>
                <w:sz w:val="20"/>
                <w:szCs w:val="20"/>
                <w:color w:val="auto"/>
              </w:rPr>
            </w:pPr>
            <w:r>
              <w:rPr>
                <w:rFonts w:ascii="Arial" w:cs="Arial" w:eastAsia="Arial" w:hAnsi="Arial"/>
                <w:sz w:val="16"/>
                <w:szCs w:val="16"/>
                <w:color w:val="auto"/>
              </w:rPr>
              <w:t>7,747,375</w:t>
            </w:r>
          </w:p>
        </w:tc>
      </w:tr>
      <w:tr>
        <w:trPr>
          <w:trHeight w:val="260"/>
        </w:trPr>
        <w:tc>
          <w:tcPr>
            <w:tcW w:w="2160" w:type="dxa"/>
            <w:vAlign w:val="bottom"/>
            <w:tcBorders>
              <w:bottom w:val="single" w:sz="8" w:color="BCBEC0"/>
            </w:tcBorders>
          </w:tcPr>
          <w:p>
            <w:pPr>
              <w:ind w:left="20"/>
              <w:spacing w:after="0"/>
              <w:rPr>
                <w:sz w:val="20"/>
                <w:szCs w:val="20"/>
                <w:color w:val="auto"/>
              </w:rPr>
            </w:pPr>
            <w:r>
              <w:rPr>
                <w:rFonts w:ascii="Arial" w:cs="Arial" w:eastAsia="Arial" w:hAnsi="Arial"/>
                <w:sz w:val="16"/>
                <w:szCs w:val="16"/>
                <w:b w:val="1"/>
                <w:bCs w:val="1"/>
                <w:color w:val="0C3471"/>
              </w:rPr>
              <w:t>Jerome O. Pedretti</w:t>
            </w:r>
          </w:p>
        </w:tc>
        <w:tc>
          <w:tcPr>
            <w:tcW w:w="1560" w:type="dxa"/>
            <w:vAlign w:val="bottom"/>
            <w:tcBorders>
              <w:bottom w:val="single" w:sz="8" w:color="BCBEC0"/>
            </w:tcBorders>
          </w:tcPr>
          <w:p>
            <w:pPr>
              <w:jc w:val="right"/>
              <w:ind w:right="166"/>
              <w:spacing w:after="0"/>
              <w:rPr>
                <w:sz w:val="20"/>
                <w:szCs w:val="20"/>
                <w:color w:val="auto"/>
              </w:rPr>
            </w:pPr>
            <w:r>
              <w:rPr>
                <w:rFonts w:ascii="Arial" w:cs="Arial" w:eastAsia="Arial" w:hAnsi="Arial"/>
                <w:sz w:val="16"/>
                <w:szCs w:val="16"/>
                <w:color w:val="auto"/>
              </w:rPr>
              <w:t>2,430,000</w:t>
            </w:r>
          </w:p>
        </w:tc>
        <w:tc>
          <w:tcPr>
            <w:tcW w:w="1320" w:type="dxa"/>
            <w:vAlign w:val="bottom"/>
            <w:tcBorders>
              <w:bottom w:val="single" w:sz="8" w:color="BCBEC0"/>
            </w:tcBorders>
          </w:tcPr>
          <w:p>
            <w:pPr>
              <w:jc w:val="right"/>
              <w:ind w:right="206"/>
              <w:spacing w:after="0"/>
              <w:rPr>
                <w:sz w:val="20"/>
                <w:szCs w:val="20"/>
                <w:color w:val="auto"/>
              </w:rPr>
            </w:pPr>
            <w:r>
              <w:rPr>
                <w:rFonts w:ascii="Arial" w:cs="Arial" w:eastAsia="Arial" w:hAnsi="Arial"/>
                <w:sz w:val="16"/>
                <w:szCs w:val="16"/>
                <w:color w:val="auto"/>
              </w:rPr>
              <w:t>883,468</w:t>
            </w:r>
          </w:p>
        </w:tc>
        <w:tc>
          <w:tcPr>
            <w:tcW w:w="1200" w:type="dxa"/>
            <w:vAlign w:val="bottom"/>
            <w:tcBorders>
              <w:bottom w:val="single" w:sz="8" w:color="BCBEC0"/>
            </w:tcBorders>
          </w:tcPr>
          <w:p>
            <w:pPr>
              <w:jc w:val="right"/>
              <w:ind w:right="163"/>
              <w:spacing w:after="0"/>
              <w:rPr>
                <w:sz w:val="20"/>
                <w:szCs w:val="20"/>
                <w:color w:val="auto"/>
              </w:rPr>
            </w:pPr>
            <w:r>
              <w:rPr>
                <w:rFonts w:ascii="Arial" w:cs="Arial" w:eastAsia="Arial" w:hAnsi="Arial"/>
                <w:sz w:val="16"/>
                <w:szCs w:val="16"/>
                <w:color w:val="auto"/>
              </w:rPr>
              <w:t>1,034,110</w:t>
            </w:r>
          </w:p>
        </w:tc>
        <w:tc>
          <w:tcPr>
            <w:tcW w:w="1280" w:type="dxa"/>
            <w:vAlign w:val="bottom"/>
            <w:tcBorders>
              <w:bottom w:val="single" w:sz="8" w:color="BCBEC0"/>
            </w:tcBorders>
          </w:tcPr>
          <w:p>
            <w:pPr>
              <w:jc w:val="right"/>
              <w:ind w:right="183"/>
              <w:spacing w:after="0"/>
              <w:rPr>
                <w:sz w:val="20"/>
                <w:szCs w:val="20"/>
                <w:color w:val="auto"/>
              </w:rPr>
            </w:pPr>
            <w:r>
              <w:rPr>
                <w:rFonts w:ascii="Arial" w:cs="Arial" w:eastAsia="Arial" w:hAnsi="Arial"/>
                <w:sz w:val="16"/>
                <w:szCs w:val="16"/>
                <w:color w:val="auto"/>
              </w:rPr>
              <w:t>1,873,270</w:t>
            </w:r>
          </w:p>
        </w:tc>
        <w:tc>
          <w:tcPr>
            <w:tcW w:w="1500" w:type="dxa"/>
            <w:vAlign w:val="bottom"/>
            <w:tcBorders>
              <w:bottom w:val="single" w:sz="8" w:color="BCBEC0"/>
            </w:tcBorders>
          </w:tcPr>
          <w:p>
            <w:pPr>
              <w:jc w:val="right"/>
              <w:ind w:right="282"/>
              <w:spacing w:after="0"/>
              <w:rPr>
                <w:sz w:val="20"/>
                <w:szCs w:val="20"/>
                <w:color w:val="auto"/>
              </w:rPr>
            </w:pPr>
            <w:r>
              <w:rPr>
                <w:rFonts w:ascii="Arial" w:cs="Arial" w:eastAsia="Arial" w:hAnsi="Arial"/>
                <w:sz w:val="16"/>
                <w:szCs w:val="16"/>
                <w:color w:val="auto"/>
              </w:rPr>
              <w:t>15,000</w:t>
            </w:r>
          </w:p>
        </w:tc>
        <w:tc>
          <w:tcPr>
            <w:tcW w:w="1100" w:type="dxa"/>
            <w:vAlign w:val="bottom"/>
            <w:tcBorders>
              <w:bottom w:val="single" w:sz="8" w:color="BCBEC0"/>
            </w:tcBorders>
          </w:tcPr>
          <w:p>
            <w:pPr>
              <w:ind w:left="320"/>
              <w:spacing w:after="0"/>
              <w:rPr>
                <w:sz w:val="20"/>
                <w:szCs w:val="20"/>
                <w:color w:val="auto"/>
              </w:rPr>
            </w:pPr>
            <w:r>
              <w:rPr>
                <w:rFonts w:ascii="Arial" w:cs="Arial" w:eastAsia="Arial" w:hAnsi="Arial"/>
                <w:sz w:val="16"/>
                <w:szCs w:val="16"/>
                <w:color w:val="auto"/>
              </w:rPr>
              <w:t>42,316</w:t>
            </w:r>
          </w:p>
        </w:tc>
        <w:tc>
          <w:tcPr>
            <w:tcW w:w="1120" w:type="dxa"/>
            <w:vAlign w:val="bottom"/>
            <w:tcBorders>
              <w:bottom w:val="single" w:sz="8" w:color="BCBEC0"/>
            </w:tcBorders>
          </w:tcPr>
          <w:p>
            <w:pPr>
              <w:jc w:val="right"/>
              <w:ind w:right="2"/>
              <w:spacing w:after="0"/>
              <w:rPr>
                <w:sz w:val="20"/>
                <w:szCs w:val="20"/>
                <w:color w:val="auto"/>
              </w:rPr>
            </w:pPr>
            <w:r>
              <w:rPr>
                <w:rFonts w:ascii="Arial" w:cs="Arial" w:eastAsia="Arial" w:hAnsi="Arial"/>
                <w:sz w:val="16"/>
                <w:szCs w:val="16"/>
                <w:color w:val="auto"/>
              </w:rPr>
              <w:t>6,278,164</w:t>
            </w:r>
          </w:p>
        </w:tc>
      </w:tr>
      <w:tr>
        <w:trPr>
          <w:trHeight w:val="263"/>
        </w:trPr>
        <w:tc>
          <w:tcPr>
            <w:tcW w:w="2160" w:type="dxa"/>
            <w:vAlign w:val="bottom"/>
            <w:tcBorders>
              <w:bottom w:val="single" w:sz="8" w:color="BCBEC0"/>
            </w:tcBorders>
          </w:tcPr>
          <w:p>
            <w:pPr>
              <w:ind w:left="20"/>
              <w:spacing w:after="0"/>
              <w:rPr>
                <w:sz w:val="20"/>
                <w:szCs w:val="20"/>
                <w:color w:val="auto"/>
              </w:rPr>
            </w:pPr>
            <w:r>
              <w:rPr>
                <w:rFonts w:ascii="Arial" w:cs="Arial" w:eastAsia="Arial" w:hAnsi="Arial"/>
                <w:sz w:val="16"/>
                <w:szCs w:val="16"/>
                <w:b w:val="1"/>
                <w:bCs w:val="1"/>
                <w:color w:val="0C3471"/>
              </w:rPr>
              <w:t>De'Mon L. Wiggins</w:t>
            </w:r>
          </w:p>
        </w:tc>
        <w:tc>
          <w:tcPr>
            <w:tcW w:w="1560" w:type="dxa"/>
            <w:vAlign w:val="bottom"/>
            <w:tcBorders>
              <w:bottom w:val="single" w:sz="8" w:color="BCBEC0"/>
            </w:tcBorders>
          </w:tcPr>
          <w:p>
            <w:pPr>
              <w:jc w:val="right"/>
              <w:ind w:right="166"/>
              <w:spacing w:after="0"/>
              <w:rPr>
                <w:sz w:val="20"/>
                <w:szCs w:val="20"/>
                <w:color w:val="auto"/>
              </w:rPr>
            </w:pPr>
            <w:r>
              <w:rPr>
                <w:rFonts w:ascii="Arial" w:cs="Arial" w:eastAsia="Arial" w:hAnsi="Arial"/>
                <w:sz w:val="16"/>
                <w:szCs w:val="16"/>
                <w:color w:val="auto"/>
              </w:rPr>
              <w:t>1,620,000</w:t>
            </w:r>
          </w:p>
        </w:tc>
        <w:tc>
          <w:tcPr>
            <w:tcW w:w="1320" w:type="dxa"/>
            <w:vAlign w:val="bottom"/>
            <w:tcBorders>
              <w:bottom w:val="single" w:sz="8" w:color="BCBEC0"/>
            </w:tcBorders>
          </w:tcPr>
          <w:p>
            <w:pPr>
              <w:jc w:val="right"/>
              <w:ind w:right="206"/>
              <w:spacing w:after="0"/>
              <w:rPr>
                <w:sz w:val="20"/>
                <w:szCs w:val="20"/>
                <w:color w:val="auto"/>
              </w:rPr>
            </w:pPr>
            <w:r>
              <w:rPr>
                <w:rFonts w:ascii="Arial" w:cs="Arial" w:eastAsia="Arial" w:hAnsi="Arial"/>
                <w:sz w:val="16"/>
                <w:szCs w:val="16"/>
                <w:color w:val="auto"/>
              </w:rPr>
              <w:t>675,743</w:t>
            </w:r>
          </w:p>
        </w:tc>
        <w:tc>
          <w:tcPr>
            <w:tcW w:w="1200" w:type="dxa"/>
            <w:vAlign w:val="bottom"/>
            <w:tcBorders>
              <w:bottom w:val="single" w:sz="8" w:color="BCBEC0"/>
            </w:tcBorders>
          </w:tcPr>
          <w:p>
            <w:pPr>
              <w:jc w:val="right"/>
              <w:ind w:right="163"/>
              <w:spacing w:after="0"/>
              <w:rPr>
                <w:sz w:val="20"/>
                <w:szCs w:val="20"/>
                <w:color w:val="auto"/>
              </w:rPr>
            </w:pPr>
            <w:r>
              <w:rPr>
                <w:rFonts w:ascii="Arial" w:cs="Arial" w:eastAsia="Arial" w:hAnsi="Arial"/>
                <w:sz w:val="16"/>
                <w:szCs w:val="16"/>
                <w:color w:val="auto"/>
              </w:rPr>
              <w:t>852,802</w:t>
            </w:r>
          </w:p>
        </w:tc>
        <w:tc>
          <w:tcPr>
            <w:tcW w:w="1280" w:type="dxa"/>
            <w:vAlign w:val="bottom"/>
            <w:tcBorders>
              <w:bottom w:val="single" w:sz="8" w:color="BCBEC0"/>
            </w:tcBorders>
          </w:tcPr>
          <w:p>
            <w:pPr>
              <w:jc w:val="right"/>
              <w:ind w:right="183"/>
              <w:spacing w:after="0"/>
              <w:rPr>
                <w:sz w:val="20"/>
                <w:szCs w:val="20"/>
                <w:color w:val="auto"/>
              </w:rPr>
            </w:pPr>
            <w:r>
              <w:rPr>
                <w:rFonts w:ascii="Arial" w:cs="Arial" w:eastAsia="Arial" w:hAnsi="Arial"/>
                <w:sz w:val="16"/>
                <w:szCs w:val="16"/>
                <w:color w:val="auto"/>
              </w:rPr>
              <w:t>835,654</w:t>
            </w:r>
          </w:p>
        </w:tc>
        <w:tc>
          <w:tcPr>
            <w:tcW w:w="1500" w:type="dxa"/>
            <w:vAlign w:val="bottom"/>
            <w:tcBorders>
              <w:bottom w:val="single" w:sz="8" w:color="BCBEC0"/>
            </w:tcBorders>
          </w:tcPr>
          <w:p>
            <w:pPr>
              <w:jc w:val="right"/>
              <w:ind w:right="282"/>
              <w:spacing w:after="0"/>
              <w:rPr>
                <w:sz w:val="20"/>
                <w:szCs w:val="20"/>
                <w:color w:val="auto"/>
              </w:rPr>
            </w:pPr>
            <w:r>
              <w:rPr>
                <w:rFonts w:ascii="Arial" w:cs="Arial" w:eastAsia="Arial" w:hAnsi="Arial"/>
                <w:sz w:val="16"/>
                <w:szCs w:val="16"/>
                <w:color w:val="auto"/>
              </w:rPr>
              <w:t>15,000</w:t>
            </w:r>
          </w:p>
        </w:tc>
        <w:tc>
          <w:tcPr>
            <w:tcW w:w="1100" w:type="dxa"/>
            <w:vAlign w:val="bottom"/>
            <w:tcBorders>
              <w:bottom w:val="single" w:sz="8" w:color="BCBEC0"/>
            </w:tcBorders>
          </w:tcPr>
          <w:p>
            <w:pPr>
              <w:ind w:left="320"/>
              <w:spacing w:after="0"/>
              <w:rPr>
                <w:sz w:val="20"/>
                <w:szCs w:val="20"/>
                <w:color w:val="auto"/>
              </w:rPr>
            </w:pPr>
            <w:r>
              <w:rPr>
                <w:rFonts w:ascii="Arial" w:cs="Arial" w:eastAsia="Arial" w:hAnsi="Arial"/>
                <w:sz w:val="16"/>
                <w:szCs w:val="16"/>
                <w:color w:val="auto"/>
              </w:rPr>
              <w:t>37,335</w:t>
            </w:r>
          </w:p>
        </w:tc>
        <w:tc>
          <w:tcPr>
            <w:tcW w:w="1120" w:type="dxa"/>
            <w:vAlign w:val="bottom"/>
            <w:tcBorders>
              <w:bottom w:val="single" w:sz="8" w:color="BCBEC0"/>
            </w:tcBorders>
          </w:tcPr>
          <w:p>
            <w:pPr>
              <w:jc w:val="right"/>
              <w:ind w:right="2"/>
              <w:spacing w:after="0"/>
              <w:rPr>
                <w:sz w:val="20"/>
                <w:szCs w:val="20"/>
                <w:color w:val="auto"/>
              </w:rPr>
            </w:pPr>
            <w:r>
              <w:rPr>
                <w:rFonts w:ascii="Arial" w:cs="Arial" w:eastAsia="Arial" w:hAnsi="Arial"/>
                <w:sz w:val="16"/>
                <w:szCs w:val="16"/>
                <w:color w:val="auto"/>
              </w:rPr>
              <w:t>4,036,535</w:t>
            </w:r>
          </w:p>
        </w:tc>
      </w:tr>
      <w:tr>
        <w:trPr>
          <w:trHeight w:val="263"/>
        </w:trPr>
        <w:tc>
          <w:tcPr>
            <w:tcW w:w="2160" w:type="dxa"/>
            <w:vAlign w:val="bottom"/>
            <w:tcBorders>
              <w:bottom w:val="single" w:sz="8" w:color="0C3471"/>
            </w:tcBorders>
          </w:tcPr>
          <w:p>
            <w:pPr>
              <w:ind w:left="20"/>
              <w:spacing w:after="0"/>
              <w:rPr>
                <w:sz w:val="20"/>
                <w:szCs w:val="20"/>
                <w:color w:val="auto"/>
              </w:rPr>
            </w:pPr>
            <w:r>
              <w:rPr>
                <w:rFonts w:ascii="Arial" w:cs="Arial" w:eastAsia="Arial" w:hAnsi="Arial"/>
                <w:sz w:val="16"/>
                <w:szCs w:val="16"/>
                <w:b w:val="1"/>
                <w:bCs w:val="1"/>
                <w:color w:val="0C3471"/>
              </w:rPr>
              <w:t>Adrian C. Chiu</w:t>
            </w:r>
          </w:p>
        </w:tc>
        <w:tc>
          <w:tcPr>
            <w:tcW w:w="1560" w:type="dxa"/>
            <w:vAlign w:val="bottom"/>
            <w:tcBorders>
              <w:bottom w:val="single" w:sz="8" w:color="0C3471"/>
            </w:tcBorders>
          </w:tcPr>
          <w:p>
            <w:pPr>
              <w:jc w:val="right"/>
              <w:ind w:right="166"/>
              <w:spacing w:after="0"/>
              <w:rPr>
                <w:sz w:val="20"/>
                <w:szCs w:val="20"/>
                <w:color w:val="auto"/>
              </w:rPr>
            </w:pPr>
            <w:r>
              <w:rPr>
                <w:rFonts w:ascii="Arial" w:cs="Arial" w:eastAsia="Arial" w:hAnsi="Arial"/>
                <w:sz w:val="16"/>
                <w:szCs w:val="16"/>
                <w:color w:val="auto"/>
              </w:rPr>
              <w:t>1,620,000</w:t>
            </w:r>
          </w:p>
        </w:tc>
        <w:tc>
          <w:tcPr>
            <w:tcW w:w="1320" w:type="dxa"/>
            <w:vAlign w:val="bottom"/>
            <w:tcBorders>
              <w:bottom w:val="single" w:sz="8" w:color="0C3471"/>
            </w:tcBorders>
          </w:tcPr>
          <w:p>
            <w:pPr>
              <w:jc w:val="right"/>
              <w:ind w:right="206"/>
              <w:spacing w:after="0"/>
              <w:rPr>
                <w:sz w:val="20"/>
                <w:szCs w:val="20"/>
                <w:color w:val="auto"/>
              </w:rPr>
            </w:pPr>
            <w:r>
              <w:rPr>
                <w:rFonts w:ascii="Arial" w:cs="Arial" w:eastAsia="Arial" w:hAnsi="Arial"/>
                <w:sz w:val="16"/>
                <w:szCs w:val="16"/>
                <w:color w:val="auto"/>
              </w:rPr>
              <w:t>712,404</w:t>
            </w:r>
          </w:p>
        </w:tc>
        <w:tc>
          <w:tcPr>
            <w:tcW w:w="1200" w:type="dxa"/>
            <w:vAlign w:val="bottom"/>
            <w:tcBorders>
              <w:bottom w:val="single" w:sz="8" w:color="0C3471"/>
            </w:tcBorders>
          </w:tcPr>
          <w:p>
            <w:pPr>
              <w:jc w:val="right"/>
              <w:ind w:right="163"/>
              <w:spacing w:after="0"/>
              <w:rPr>
                <w:sz w:val="20"/>
                <w:szCs w:val="20"/>
                <w:color w:val="auto"/>
              </w:rPr>
            </w:pPr>
            <w:r>
              <w:rPr>
                <w:rFonts w:ascii="Arial" w:cs="Arial" w:eastAsia="Arial" w:hAnsi="Arial"/>
                <w:sz w:val="16"/>
                <w:szCs w:val="16"/>
                <w:color w:val="auto"/>
              </w:rPr>
              <w:t>872,797</w:t>
            </w:r>
          </w:p>
        </w:tc>
        <w:tc>
          <w:tcPr>
            <w:tcW w:w="1280" w:type="dxa"/>
            <w:vAlign w:val="bottom"/>
            <w:tcBorders>
              <w:bottom w:val="single" w:sz="8" w:color="0C3471"/>
            </w:tcBorders>
          </w:tcPr>
          <w:p>
            <w:pPr>
              <w:jc w:val="right"/>
              <w:ind w:right="183"/>
              <w:spacing w:after="0"/>
              <w:rPr>
                <w:sz w:val="20"/>
                <w:szCs w:val="20"/>
                <w:color w:val="auto"/>
              </w:rPr>
            </w:pPr>
            <w:r>
              <w:rPr>
                <w:rFonts w:ascii="Arial" w:cs="Arial" w:eastAsia="Arial" w:hAnsi="Arial"/>
                <w:sz w:val="16"/>
                <w:szCs w:val="16"/>
                <w:color w:val="auto"/>
              </w:rPr>
              <w:t>835,654</w:t>
            </w:r>
          </w:p>
        </w:tc>
        <w:tc>
          <w:tcPr>
            <w:tcW w:w="1500" w:type="dxa"/>
            <w:vAlign w:val="bottom"/>
            <w:tcBorders>
              <w:bottom w:val="single" w:sz="8" w:color="0C3471"/>
            </w:tcBorders>
          </w:tcPr>
          <w:p>
            <w:pPr>
              <w:jc w:val="right"/>
              <w:ind w:right="222"/>
              <w:spacing w:after="0"/>
              <w:rPr>
                <w:sz w:val="20"/>
                <w:szCs w:val="20"/>
                <w:color w:val="auto"/>
              </w:rPr>
            </w:pPr>
            <w:r>
              <w:rPr>
                <w:rFonts w:ascii="Arial" w:cs="Arial" w:eastAsia="Arial" w:hAnsi="Arial"/>
                <w:sz w:val="16"/>
                <w:szCs w:val="16"/>
                <w:color w:val="auto"/>
              </w:rPr>
              <w:t>15,000</w:t>
            </w:r>
          </w:p>
        </w:tc>
        <w:tc>
          <w:tcPr>
            <w:tcW w:w="1100" w:type="dxa"/>
            <w:vAlign w:val="bottom"/>
            <w:tcBorders>
              <w:bottom w:val="single" w:sz="8" w:color="0C3471"/>
            </w:tcBorders>
          </w:tcPr>
          <w:p>
            <w:pPr>
              <w:ind w:left="320"/>
              <w:spacing w:after="0"/>
              <w:rPr>
                <w:sz w:val="20"/>
                <w:szCs w:val="20"/>
                <w:color w:val="auto"/>
              </w:rPr>
            </w:pPr>
            <w:r>
              <w:rPr>
                <w:rFonts w:ascii="Arial" w:cs="Arial" w:eastAsia="Arial" w:hAnsi="Arial"/>
                <w:sz w:val="16"/>
                <w:szCs w:val="16"/>
                <w:color w:val="auto"/>
              </w:rPr>
              <w:t>31,737</w:t>
            </w:r>
          </w:p>
        </w:tc>
        <w:tc>
          <w:tcPr>
            <w:tcW w:w="1120" w:type="dxa"/>
            <w:vAlign w:val="bottom"/>
            <w:tcBorders>
              <w:bottom w:val="single" w:sz="8" w:color="0C3471"/>
            </w:tcBorders>
          </w:tcPr>
          <w:p>
            <w:pPr>
              <w:jc w:val="right"/>
              <w:ind w:right="2"/>
              <w:spacing w:after="0"/>
              <w:rPr>
                <w:sz w:val="20"/>
                <w:szCs w:val="20"/>
                <w:color w:val="auto"/>
              </w:rPr>
            </w:pPr>
            <w:r>
              <w:rPr>
                <w:rFonts w:ascii="Arial" w:cs="Arial" w:eastAsia="Arial" w:hAnsi="Arial"/>
                <w:sz w:val="16"/>
                <w:szCs w:val="16"/>
                <w:color w:val="auto"/>
              </w:rPr>
              <w:t>4,087,592</w:t>
            </w:r>
          </w:p>
        </w:tc>
      </w:tr>
    </w:tbl>
    <w:p>
      <w:pPr>
        <w:spacing w:after="0" w:line="180" w:lineRule="exact"/>
        <w:rPr>
          <w:sz w:val="20"/>
          <w:szCs w:val="20"/>
          <w:color w:val="auto"/>
        </w:rPr>
      </w:pPr>
    </w:p>
    <w:p>
      <w:pPr>
        <w:ind w:left="240" w:hanging="232"/>
        <w:spacing w:after="0"/>
        <w:tabs>
          <w:tab w:leader="none" w:pos="240" w:val="left"/>
        </w:tabs>
        <w:numPr>
          <w:ilvl w:val="0"/>
          <w:numId w:val="135"/>
        </w:numPr>
        <w:rPr>
          <w:rFonts w:ascii="Arial" w:cs="Arial" w:eastAsia="Arial" w:hAnsi="Arial"/>
          <w:sz w:val="9"/>
          <w:szCs w:val="9"/>
          <w:color w:val="auto"/>
        </w:rPr>
      </w:pPr>
      <w:r>
        <w:rPr>
          <w:rFonts w:ascii="Arial" w:cs="Arial" w:eastAsia="Arial" w:hAnsi="Arial"/>
          <w:sz w:val="14"/>
          <w:szCs w:val="14"/>
          <w:color w:val="auto"/>
        </w:rPr>
        <w:t>Triggered only upon a qualifying termination of the executive officer by us without cause or by the executive for good reason under the Executive Severance Plan.</w:t>
      </w:r>
    </w:p>
    <w:p>
      <w:pPr>
        <w:spacing w:after="0" w:line="95" w:lineRule="exact"/>
        <w:rPr>
          <w:rFonts w:ascii="Arial" w:cs="Arial" w:eastAsia="Arial" w:hAnsi="Arial"/>
          <w:sz w:val="9"/>
          <w:szCs w:val="9"/>
          <w:color w:val="auto"/>
        </w:rPr>
      </w:pPr>
    </w:p>
    <w:p>
      <w:pPr>
        <w:ind w:left="200" w:right="320" w:hanging="192"/>
        <w:spacing w:after="0" w:line="325" w:lineRule="auto"/>
        <w:tabs>
          <w:tab w:leader="none" w:pos="214" w:val="left"/>
        </w:tabs>
        <w:numPr>
          <w:ilvl w:val="0"/>
          <w:numId w:val="135"/>
        </w:numPr>
        <w:rPr>
          <w:rFonts w:ascii="Arial" w:cs="Arial" w:eastAsia="Arial" w:hAnsi="Arial"/>
          <w:sz w:val="9"/>
          <w:szCs w:val="9"/>
          <w:color w:val="auto"/>
        </w:rPr>
      </w:pPr>
      <w:r>
        <w:rPr>
          <w:rFonts w:ascii="Arial" w:cs="Arial" w:eastAsia="Arial" w:hAnsi="Arial"/>
          <w:sz w:val="14"/>
          <w:szCs w:val="14"/>
          <w:color w:val="auto"/>
        </w:rPr>
        <w:t>Triggered upon an involuntary termination, without cause, or, a resignation for good reason, under the 2020 Plan. The amounts listed above assume our ordinary shares were valued at $104.14, the closing market price for our ordinary shares on the last trading day of 2025.</w:t>
      </w:r>
    </w:p>
    <w:p>
      <w:pPr>
        <w:spacing w:after="0" w:line="22" w:lineRule="exact"/>
        <w:rPr>
          <w:rFonts w:ascii="Arial" w:cs="Arial" w:eastAsia="Arial" w:hAnsi="Arial"/>
          <w:sz w:val="9"/>
          <w:szCs w:val="9"/>
          <w:color w:val="auto"/>
        </w:rPr>
      </w:pPr>
    </w:p>
    <w:p>
      <w:pPr>
        <w:jc w:val="both"/>
        <w:ind w:left="200" w:right="340" w:hanging="192"/>
        <w:spacing w:after="0" w:line="293" w:lineRule="auto"/>
        <w:tabs>
          <w:tab w:leader="none" w:pos="210" w:val="left"/>
        </w:tabs>
        <w:numPr>
          <w:ilvl w:val="0"/>
          <w:numId w:val="135"/>
        </w:numPr>
        <w:rPr>
          <w:rFonts w:ascii="Arial" w:cs="Arial" w:eastAsia="Arial" w:hAnsi="Arial"/>
          <w:sz w:val="9"/>
          <w:szCs w:val="9"/>
          <w:color w:val="auto"/>
        </w:rPr>
      </w:pPr>
      <w:r>
        <w:rPr>
          <w:rFonts w:ascii="Arial" w:cs="Arial" w:eastAsia="Arial" w:hAnsi="Arial"/>
          <w:sz w:val="14"/>
          <w:szCs w:val="14"/>
          <w:color w:val="auto"/>
        </w:rPr>
        <w:t>As previously disclosed, Mr. Fishman elected to resign effective as of March 1, 2026. Such resignation triggered a qualifying termination by Mr. Fishman for good reason under the Executive Severance Plan. Mr. Fishman will receive cash severance of $2,980,000 payable in installments, and a payment for medical and dental coverage of $49,780, and he is eligible for outplacement.</w:t>
      </w:r>
    </w:p>
    <w:p>
      <w:pPr>
        <w:spacing w:after="0" w:line="200" w:lineRule="exact"/>
        <w:rPr>
          <w:sz w:val="20"/>
          <w:szCs w:val="20"/>
          <w:color w:val="auto"/>
        </w:rPr>
      </w:pPr>
    </w:p>
    <w:p>
      <w:pPr>
        <w:spacing w:after="0" w:line="393" w:lineRule="exact"/>
        <w:rPr>
          <w:sz w:val="20"/>
          <w:szCs w:val="20"/>
          <w:color w:val="auto"/>
        </w:rPr>
      </w:pPr>
    </w:p>
    <w:p>
      <w:pPr>
        <w:ind w:left="600" w:hanging="574"/>
        <w:spacing w:after="0"/>
        <w:tabs>
          <w:tab w:leader="none" w:pos="600" w:val="left"/>
        </w:tabs>
        <w:numPr>
          <w:ilvl w:val="0"/>
          <w:numId w:val="136"/>
        </w:numPr>
        <w:rPr>
          <w:rFonts w:ascii="Arial" w:cs="Arial" w:eastAsia="Arial" w:hAnsi="Arial"/>
          <w:sz w:val="16"/>
          <w:szCs w:val="16"/>
          <w:b w:val="1"/>
          <w:bCs w:val="1"/>
          <w:color w:val="auto"/>
        </w:rPr>
      </w:pPr>
      <w:r>
        <w:rPr>
          <w:rFonts w:ascii="Arial" w:cs="Arial" w:eastAsia="Arial" w:hAnsi="Arial"/>
          <w:sz w:val="16"/>
          <w:szCs w:val="16"/>
          <w:color w:val="auto"/>
        </w:rPr>
        <w:t xml:space="preserve">Pentair </w:t>
      </w:r>
      <w:r>
        <w:rPr>
          <w:rFonts w:ascii="Arial" w:cs="Arial" w:eastAsia="Arial" w:hAnsi="Arial"/>
          <w:sz w:val="16"/>
          <w:szCs w:val="16"/>
          <w:b w:val="1"/>
          <w:bCs w:val="1"/>
          <w:color w:val="0C3471"/>
        </w:rPr>
        <w:t>|</w:t>
      </w:r>
      <w:r>
        <w:rPr>
          <w:rFonts w:ascii="Arial" w:cs="Arial" w:eastAsia="Arial" w:hAnsi="Arial"/>
          <w:sz w:val="16"/>
          <w:szCs w:val="16"/>
          <w:color w:val="auto"/>
        </w:rPr>
        <w:t xml:space="preserve"> </w:t>
      </w:r>
      <w:r>
        <w:rPr>
          <w:rFonts w:ascii="Arial" w:cs="Arial" w:eastAsia="Arial" w:hAnsi="Arial"/>
          <w:sz w:val="16"/>
          <w:szCs w:val="16"/>
          <w:b w:val="1"/>
          <w:bCs w:val="1"/>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205105</wp:posOffset>
            </wp:positionV>
            <wp:extent cx="7157720" cy="425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70" w:name="page71"/>
    <w:bookmarkEnd w:id="70"/>
    <w:p>
      <w:pPr>
        <w:ind w:left="874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5274310</wp:posOffset>
            </wp:positionH>
            <wp:positionV relativeFrom="page">
              <wp:posOffset>106045</wp:posOffset>
            </wp:positionV>
            <wp:extent cx="102870" cy="11176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clrChange>
                        <a:clrFrom>
                          <a:srgbClr val="FFFFFF"/>
                        </a:clrFrom>
                        <a:clrTo>
                          <a:srgbClr val="FFFFFF">
                            <a:alpha val="0"/>
                          </a:srgbClr>
                        </a:clrTo>
                      </a:clrChange>
                      <a:extLst>
                        <a:ext uri="{28A0092B-C50C-407E-A947-70E740481C1C}"/>
                      </a:extLst>
                    </a:blip>
                    <a:srcRect/>
                    <a:stretch>
                      <a:fillRect/>
                    </a:stretch>
                  </pic:blipFill>
                  <pic:spPr bwMode="auto">
                    <a:xfrm>
                      <a:off x="0" y="0"/>
                      <a:ext cx="102870" cy="111760"/>
                    </a:xfrm>
                    <a:prstGeom prst="rect">
                      <a:avLst/>
                    </a:prstGeom>
                    <a:noFill/>
                  </pic:spPr>
                </pic:pic>
              </a:graphicData>
            </a:graphic>
          </wp:anchor>
        </w:drawing>
        <w:t>Executive Compensation Tables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6"/>
          <w:szCs w:val="16"/>
          <w:b w:val="1"/>
          <w:bCs w:val="1"/>
          <w:color w:val="0C3471"/>
        </w:rPr>
        <w:t>Change in Control With or Without Termination</w:t>
      </w:r>
    </w:p>
    <w:p>
      <w:pPr>
        <w:spacing w:after="0" w:line="113"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The table below shows the amount of compensation payable to each Named Executive Officer upon (1) a change in control without a termination of employment, or (2) a change in control followed by a termination of employment (a) by us, other than for death, disability or cause, or (b) by the executive for good reason. The actual amounts to be paid out can only be determined in connection with a change in control or termination following a change in control.</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14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Arial" w:cs="Arial" w:eastAsia="Arial" w:hAnsi="Arial"/>
                <w:sz w:val="11"/>
                <w:szCs w:val="11"/>
                <w:b w:val="1"/>
                <w:bCs w:val="1"/>
                <w:color w:val="auto"/>
              </w:rPr>
              <w:t>Total: Change</w:t>
            </w:r>
          </w:p>
        </w:tc>
      </w:tr>
      <w:tr>
        <w:trPr>
          <w:trHeight w:val="122"/>
        </w:trPr>
        <w:tc>
          <w:tcPr>
            <w:tcW w:w="1420" w:type="dxa"/>
            <w:vAlign w:val="bottom"/>
          </w:tcPr>
          <w:p>
            <w:pPr>
              <w:spacing w:after="0"/>
              <w:rPr>
                <w:sz w:val="10"/>
                <w:szCs w:val="10"/>
                <w:color w:val="auto"/>
              </w:rPr>
            </w:pPr>
          </w:p>
        </w:tc>
        <w:tc>
          <w:tcPr>
            <w:tcW w:w="1000" w:type="dxa"/>
            <w:vAlign w:val="bottom"/>
          </w:tcPr>
          <w:p>
            <w:pPr>
              <w:jc w:val="right"/>
              <w:ind w:right="83"/>
              <w:spacing w:after="0" w:line="122" w:lineRule="exact"/>
              <w:rPr>
                <w:sz w:val="20"/>
                <w:szCs w:val="20"/>
                <w:color w:val="auto"/>
              </w:rPr>
            </w:pPr>
            <w:r>
              <w:rPr>
                <w:rFonts w:ascii="Arial" w:cs="Arial" w:eastAsia="Arial" w:hAnsi="Arial"/>
                <w:sz w:val="11"/>
                <w:szCs w:val="11"/>
                <w:b w:val="1"/>
                <w:bCs w:val="1"/>
                <w:color w:val="auto"/>
              </w:rPr>
              <w:t>Cash</w:t>
            </w:r>
          </w:p>
        </w:tc>
        <w:tc>
          <w:tcPr>
            <w:tcW w:w="860" w:type="dxa"/>
            <w:vAlign w:val="bottom"/>
          </w:tcPr>
          <w:p>
            <w:pPr>
              <w:jc w:val="right"/>
              <w:ind w:right="63"/>
              <w:spacing w:after="0" w:line="122" w:lineRule="exact"/>
              <w:rPr>
                <w:sz w:val="20"/>
                <w:szCs w:val="20"/>
                <w:color w:val="auto"/>
              </w:rPr>
            </w:pPr>
            <w:r>
              <w:rPr>
                <w:rFonts w:ascii="Arial" w:cs="Arial" w:eastAsia="Arial" w:hAnsi="Arial"/>
                <w:sz w:val="11"/>
                <w:szCs w:val="11"/>
                <w:b w:val="1"/>
                <w:bCs w:val="1"/>
                <w:color w:val="auto"/>
              </w:rPr>
              <w:t>Stock</w:t>
            </w:r>
          </w:p>
        </w:tc>
        <w:tc>
          <w:tcPr>
            <w:tcW w:w="840" w:type="dxa"/>
            <w:vAlign w:val="bottom"/>
          </w:tcPr>
          <w:p>
            <w:pPr>
              <w:jc w:val="right"/>
              <w:ind w:right="83"/>
              <w:spacing w:after="0" w:line="122" w:lineRule="exact"/>
              <w:rPr>
                <w:sz w:val="20"/>
                <w:szCs w:val="20"/>
                <w:color w:val="auto"/>
              </w:rPr>
            </w:pPr>
            <w:r>
              <w:rPr>
                <w:rFonts w:ascii="Arial" w:cs="Arial" w:eastAsia="Arial" w:hAnsi="Arial"/>
                <w:sz w:val="11"/>
                <w:szCs w:val="11"/>
                <w:b w:val="1"/>
                <w:bCs w:val="1"/>
                <w:color w:val="auto"/>
              </w:rPr>
              <w:t>Restricted</w:t>
            </w:r>
          </w:p>
        </w:tc>
        <w:tc>
          <w:tcPr>
            <w:tcW w:w="920" w:type="dxa"/>
            <w:vAlign w:val="bottom"/>
          </w:tcPr>
          <w:p>
            <w:pPr>
              <w:jc w:val="right"/>
              <w:ind w:right="43"/>
              <w:spacing w:after="0" w:line="122" w:lineRule="exact"/>
              <w:rPr>
                <w:sz w:val="20"/>
                <w:szCs w:val="20"/>
                <w:color w:val="auto"/>
              </w:rPr>
            </w:pPr>
            <w:r>
              <w:rPr>
                <w:rFonts w:ascii="Arial" w:cs="Arial" w:eastAsia="Arial" w:hAnsi="Arial"/>
                <w:sz w:val="11"/>
                <w:szCs w:val="11"/>
                <w:b w:val="1"/>
                <w:bCs w:val="1"/>
                <w:color w:val="auto"/>
              </w:rPr>
              <w:t>Performance</w:t>
            </w:r>
          </w:p>
        </w:tc>
        <w:tc>
          <w:tcPr>
            <w:tcW w:w="680" w:type="dxa"/>
            <w:vAlign w:val="bottom"/>
          </w:tcPr>
          <w:p>
            <w:pPr>
              <w:jc w:val="right"/>
              <w:ind w:right="83"/>
              <w:spacing w:after="0" w:line="122" w:lineRule="exact"/>
              <w:rPr>
                <w:sz w:val="20"/>
                <w:szCs w:val="20"/>
                <w:color w:val="auto"/>
              </w:rPr>
            </w:pPr>
            <w:r>
              <w:rPr>
                <w:rFonts w:ascii="Arial" w:cs="Arial" w:eastAsia="Arial" w:hAnsi="Arial"/>
                <w:sz w:val="11"/>
                <w:szCs w:val="11"/>
                <w:b w:val="1"/>
                <w:bCs w:val="1"/>
                <w:color w:val="auto"/>
              </w:rPr>
              <w:t>SERP &amp;</w:t>
            </w:r>
          </w:p>
        </w:tc>
        <w:tc>
          <w:tcPr>
            <w:tcW w:w="10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40" w:type="dxa"/>
            <w:vAlign w:val="bottom"/>
          </w:tcPr>
          <w:p>
            <w:pPr>
              <w:jc w:val="right"/>
              <w:ind w:right="63"/>
              <w:spacing w:after="0" w:line="122" w:lineRule="exact"/>
              <w:rPr>
                <w:sz w:val="20"/>
                <w:szCs w:val="20"/>
                <w:color w:val="auto"/>
              </w:rPr>
            </w:pPr>
            <w:r>
              <w:rPr>
                <w:rFonts w:ascii="Arial" w:cs="Arial" w:eastAsia="Arial" w:hAnsi="Arial"/>
                <w:sz w:val="11"/>
                <w:szCs w:val="11"/>
                <w:b w:val="1"/>
                <w:bCs w:val="1"/>
                <w:color w:val="auto"/>
              </w:rPr>
              <w:t>Legal &amp;</w:t>
            </w:r>
          </w:p>
        </w:tc>
        <w:tc>
          <w:tcPr>
            <w:tcW w:w="840" w:type="dxa"/>
            <w:vAlign w:val="bottom"/>
          </w:tcPr>
          <w:p>
            <w:pPr>
              <w:ind w:left="300"/>
              <w:spacing w:after="0" w:line="122" w:lineRule="exact"/>
              <w:rPr>
                <w:sz w:val="20"/>
                <w:szCs w:val="20"/>
                <w:color w:val="auto"/>
              </w:rPr>
            </w:pPr>
            <w:r>
              <w:rPr>
                <w:rFonts w:ascii="Arial" w:cs="Arial" w:eastAsia="Arial" w:hAnsi="Arial"/>
                <w:sz w:val="11"/>
                <w:szCs w:val="11"/>
                <w:b w:val="1"/>
                <w:bCs w:val="1"/>
                <w:color w:val="auto"/>
              </w:rPr>
              <w:t>Medical,</w:t>
            </w:r>
          </w:p>
        </w:tc>
        <w:tc>
          <w:tcPr>
            <w:tcW w:w="940" w:type="dxa"/>
            <w:vAlign w:val="bottom"/>
          </w:tcPr>
          <w:p>
            <w:pPr>
              <w:jc w:val="right"/>
              <w:ind w:right="103"/>
              <w:spacing w:after="0" w:line="122" w:lineRule="exact"/>
              <w:rPr>
                <w:sz w:val="20"/>
                <w:szCs w:val="20"/>
                <w:color w:val="auto"/>
              </w:rPr>
            </w:pPr>
            <w:r>
              <w:rPr>
                <w:rFonts w:ascii="Arial" w:cs="Arial" w:eastAsia="Arial" w:hAnsi="Arial"/>
                <w:sz w:val="11"/>
                <w:szCs w:val="11"/>
                <w:b w:val="1"/>
                <w:bCs w:val="1"/>
                <w:color w:val="auto"/>
              </w:rPr>
              <w:t>Total:</w:t>
            </w:r>
          </w:p>
        </w:tc>
        <w:tc>
          <w:tcPr>
            <w:tcW w:w="900" w:type="dxa"/>
            <w:vAlign w:val="bottom"/>
          </w:tcPr>
          <w:p>
            <w:pPr>
              <w:jc w:val="right"/>
              <w:spacing w:after="0" w:line="122" w:lineRule="exact"/>
              <w:rPr>
                <w:sz w:val="20"/>
                <w:szCs w:val="20"/>
                <w:color w:val="auto"/>
              </w:rPr>
            </w:pPr>
            <w:r>
              <w:rPr>
                <w:rFonts w:ascii="Arial" w:cs="Arial" w:eastAsia="Arial" w:hAnsi="Arial"/>
                <w:sz w:val="11"/>
                <w:szCs w:val="11"/>
                <w:b w:val="1"/>
                <w:bCs w:val="1"/>
                <w:color w:val="auto"/>
              </w:rPr>
              <w:t>in Control</w:t>
            </w:r>
          </w:p>
        </w:tc>
      </w:tr>
      <w:tr>
        <w:trPr>
          <w:trHeight w:val="135"/>
        </w:trPr>
        <w:tc>
          <w:tcPr>
            <w:tcW w:w="1420" w:type="dxa"/>
            <w:vAlign w:val="bottom"/>
          </w:tcPr>
          <w:p>
            <w:pPr>
              <w:spacing w:after="0"/>
              <w:rPr>
                <w:sz w:val="11"/>
                <w:szCs w:val="11"/>
                <w:color w:val="auto"/>
              </w:rPr>
            </w:pPr>
          </w:p>
        </w:tc>
        <w:tc>
          <w:tcPr>
            <w:tcW w:w="1000" w:type="dxa"/>
            <w:vAlign w:val="bottom"/>
          </w:tcPr>
          <w:p>
            <w:pPr>
              <w:ind w:left="260"/>
              <w:spacing w:after="0"/>
              <w:rPr>
                <w:sz w:val="20"/>
                <w:szCs w:val="20"/>
                <w:color w:val="auto"/>
              </w:rPr>
            </w:pPr>
            <w:r>
              <w:rPr>
                <w:rFonts w:ascii="Arial" w:cs="Arial" w:eastAsia="Arial" w:hAnsi="Arial"/>
                <w:sz w:val="11"/>
                <w:szCs w:val="11"/>
                <w:b w:val="1"/>
                <w:bCs w:val="1"/>
                <w:color w:val="auto"/>
              </w:rPr>
              <w:t>Termination</w:t>
            </w:r>
          </w:p>
        </w:tc>
        <w:tc>
          <w:tcPr>
            <w:tcW w:w="860" w:type="dxa"/>
            <w:vAlign w:val="bottom"/>
          </w:tcPr>
          <w:p>
            <w:pPr>
              <w:jc w:val="right"/>
              <w:ind w:right="63"/>
              <w:spacing w:after="0"/>
              <w:rPr>
                <w:sz w:val="20"/>
                <w:szCs w:val="20"/>
                <w:color w:val="auto"/>
              </w:rPr>
            </w:pPr>
            <w:r>
              <w:rPr>
                <w:rFonts w:ascii="Arial" w:cs="Arial" w:eastAsia="Arial" w:hAnsi="Arial"/>
                <w:sz w:val="11"/>
                <w:szCs w:val="11"/>
                <w:b w:val="1"/>
                <w:bCs w:val="1"/>
                <w:color w:val="auto"/>
              </w:rPr>
              <w:t>Option</w:t>
            </w:r>
          </w:p>
        </w:tc>
        <w:tc>
          <w:tcPr>
            <w:tcW w:w="840" w:type="dxa"/>
            <w:vAlign w:val="bottom"/>
          </w:tcPr>
          <w:p>
            <w:pPr>
              <w:jc w:val="right"/>
              <w:ind w:right="83"/>
              <w:spacing w:after="0"/>
              <w:rPr>
                <w:sz w:val="20"/>
                <w:szCs w:val="20"/>
                <w:color w:val="auto"/>
              </w:rPr>
            </w:pPr>
            <w:r>
              <w:rPr>
                <w:rFonts w:ascii="Arial" w:cs="Arial" w:eastAsia="Arial" w:hAnsi="Arial"/>
                <w:sz w:val="11"/>
                <w:szCs w:val="11"/>
                <w:b w:val="1"/>
                <w:bCs w:val="1"/>
                <w:color w:val="auto"/>
              </w:rPr>
              <w:t>Stock Unit</w:t>
            </w:r>
          </w:p>
        </w:tc>
        <w:tc>
          <w:tcPr>
            <w:tcW w:w="920" w:type="dxa"/>
            <w:vAlign w:val="bottom"/>
          </w:tcPr>
          <w:p>
            <w:pPr>
              <w:jc w:val="right"/>
              <w:ind w:right="43"/>
              <w:spacing w:after="0"/>
              <w:rPr>
                <w:sz w:val="20"/>
                <w:szCs w:val="20"/>
                <w:color w:val="auto"/>
              </w:rPr>
            </w:pPr>
            <w:r>
              <w:rPr>
                <w:rFonts w:ascii="Arial" w:cs="Arial" w:eastAsia="Arial" w:hAnsi="Arial"/>
                <w:sz w:val="11"/>
                <w:szCs w:val="11"/>
                <w:b w:val="1"/>
                <w:bCs w:val="1"/>
                <w:color w:val="auto"/>
              </w:rPr>
              <w:t>Share Unit</w:t>
            </w:r>
          </w:p>
        </w:tc>
        <w:tc>
          <w:tcPr>
            <w:tcW w:w="680" w:type="dxa"/>
            <w:vAlign w:val="bottom"/>
          </w:tcPr>
          <w:p>
            <w:pPr>
              <w:jc w:val="right"/>
              <w:ind w:right="83"/>
              <w:spacing w:after="0"/>
              <w:rPr>
                <w:sz w:val="20"/>
                <w:szCs w:val="20"/>
                <w:color w:val="auto"/>
              </w:rPr>
            </w:pPr>
            <w:r>
              <w:rPr>
                <w:rFonts w:ascii="Arial" w:cs="Arial" w:eastAsia="Arial" w:hAnsi="Arial"/>
                <w:sz w:val="11"/>
                <w:szCs w:val="11"/>
                <w:b w:val="1"/>
                <w:bCs w:val="1"/>
                <w:color w:val="auto"/>
              </w:rPr>
              <w:t>Related</w:t>
            </w:r>
          </w:p>
        </w:tc>
        <w:tc>
          <w:tcPr>
            <w:tcW w:w="1020" w:type="dxa"/>
            <w:vAlign w:val="bottom"/>
          </w:tcPr>
          <w:p>
            <w:pPr>
              <w:jc w:val="right"/>
              <w:ind w:right="80"/>
              <w:spacing w:after="0"/>
              <w:rPr>
                <w:sz w:val="20"/>
                <w:szCs w:val="20"/>
                <w:color w:val="auto"/>
              </w:rPr>
            </w:pPr>
            <w:r>
              <w:rPr>
                <w:rFonts w:ascii="Arial" w:cs="Arial" w:eastAsia="Arial" w:hAnsi="Arial"/>
                <w:sz w:val="11"/>
                <w:szCs w:val="11"/>
                <w:b w:val="1"/>
                <w:bCs w:val="1"/>
                <w:color w:val="auto"/>
              </w:rPr>
              <w:t>Incentive</w:t>
            </w:r>
          </w:p>
        </w:tc>
        <w:tc>
          <w:tcPr>
            <w:tcW w:w="980" w:type="dxa"/>
            <w:vAlign w:val="bottom"/>
          </w:tcPr>
          <w:p>
            <w:pPr>
              <w:spacing w:after="0"/>
              <w:rPr>
                <w:sz w:val="11"/>
                <w:szCs w:val="11"/>
                <w:color w:val="auto"/>
              </w:rPr>
            </w:pPr>
          </w:p>
        </w:tc>
        <w:tc>
          <w:tcPr>
            <w:tcW w:w="840" w:type="dxa"/>
            <w:vAlign w:val="bottom"/>
          </w:tcPr>
          <w:p>
            <w:pPr>
              <w:jc w:val="right"/>
              <w:ind w:right="63"/>
              <w:spacing w:after="0"/>
              <w:rPr>
                <w:sz w:val="20"/>
                <w:szCs w:val="20"/>
                <w:color w:val="auto"/>
              </w:rPr>
            </w:pPr>
            <w:r>
              <w:rPr>
                <w:rFonts w:ascii="Arial" w:cs="Arial" w:eastAsia="Arial" w:hAnsi="Arial"/>
                <w:sz w:val="11"/>
                <w:szCs w:val="11"/>
                <w:b w:val="1"/>
                <w:bCs w:val="1"/>
                <w:color w:val="auto"/>
              </w:rPr>
              <w:t>Accounting</w:t>
            </w:r>
          </w:p>
        </w:tc>
        <w:tc>
          <w:tcPr>
            <w:tcW w:w="840" w:type="dxa"/>
            <w:vAlign w:val="bottom"/>
          </w:tcPr>
          <w:p>
            <w:pPr>
              <w:jc w:val="right"/>
              <w:ind w:right="63"/>
              <w:spacing w:after="0"/>
              <w:rPr>
                <w:sz w:val="20"/>
                <w:szCs w:val="20"/>
                <w:color w:val="auto"/>
              </w:rPr>
            </w:pPr>
            <w:r>
              <w:rPr>
                <w:rFonts w:ascii="Arial" w:cs="Arial" w:eastAsia="Arial" w:hAnsi="Arial"/>
                <w:sz w:val="11"/>
                <w:szCs w:val="11"/>
                <w:b w:val="1"/>
                <w:bCs w:val="1"/>
                <w:color w:val="auto"/>
              </w:rPr>
              <w:t>Dental, Life</w:t>
            </w:r>
          </w:p>
        </w:tc>
        <w:tc>
          <w:tcPr>
            <w:tcW w:w="940" w:type="dxa"/>
            <w:vAlign w:val="bottom"/>
          </w:tcPr>
          <w:p>
            <w:pPr>
              <w:jc w:val="right"/>
              <w:ind w:right="103"/>
              <w:spacing w:after="0"/>
              <w:rPr>
                <w:sz w:val="20"/>
                <w:szCs w:val="20"/>
                <w:color w:val="auto"/>
              </w:rPr>
            </w:pPr>
            <w:r>
              <w:rPr>
                <w:rFonts w:ascii="Arial" w:cs="Arial" w:eastAsia="Arial" w:hAnsi="Arial"/>
                <w:sz w:val="11"/>
                <w:szCs w:val="11"/>
                <w:b w:val="1"/>
                <w:bCs w:val="1"/>
                <w:color w:val="auto"/>
              </w:rPr>
              <w:t>Change in</w:t>
            </w:r>
          </w:p>
        </w:tc>
        <w:tc>
          <w:tcPr>
            <w:tcW w:w="900" w:type="dxa"/>
            <w:vAlign w:val="bottom"/>
          </w:tcPr>
          <w:p>
            <w:pPr>
              <w:jc w:val="right"/>
              <w:spacing w:after="0"/>
              <w:rPr>
                <w:sz w:val="20"/>
                <w:szCs w:val="20"/>
                <w:color w:val="auto"/>
              </w:rPr>
            </w:pPr>
            <w:r>
              <w:rPr>
                <w:rFonts w:ascii="Arial" w:cs="Arial" w:eastAsia="Arial" w:hAnsi="Arial"/>
                <w:sz w:val="11"/>
                <w:szCs w:val="11"/>
                <w:b w:val="1"/>
                <w:bCs w:val="1"/>
                <w:color w:val="auto"/>
              </w:rPr>
              <w:t>Followed by</w:t>
            </w:r>
          </w:p>
        </w:tc>
      </w:tr>
      <w:tr>
        <w:trPr>
          <w:trHeight w:val="122"/>
        </w:trPr>
        <w:tc>
          <w:tcPr>
            <w:tcW w:w="1420" w:type="dxa"/>
            <w:vAlign w:val="bottom"/>
          </w:tcPr>
          <w:p>
            <w:pPr>
              <w:spacing w:after="0"/>
              <w:rPr>
                <w:sz w:val="10"/>
                <w:szCs w:val="10"/>
                <w:color w:val="auto"/>
              </w:rPr>
            </w:pPr>
          </w:p>
        </w:tc>
        <w:tc>
          <w:tcPr>
            <w:tcW w:w="1000" w:type="dxa"/>
            <w:vAlign w:val="bottom"/>
          </w:tcPr>
          <w:p>
            <w:pPr>
              <w:jc w:val="right"/>
              <w:ind w:right="83"/>
              <w:spacing w:after="0" w:line="122" w:lineRule="exact"/>
              <w:rPr>
                <w:sz w:val="20"/>
                <w:szCs w:val="20"/>
                <w:color w:val="auto"/>
              </w:rPr>
            </w:pPr>
            <w:r>
              <w:rPr>
                <w:rFonts w:ascii="Arial" w:cs="Arial" w:eastAsia="Arial" w:hAnsi="Arial"/>
                <w:sz w:val="11"/>
                <w:szCs w:val="11"/>
                <w:b w:val="1"/>
                <w:bCs w:val="1"/>
                <w:color w:val="auto"/>
              </w:rPr>
              <w:t>Payment</w:t>
            </w:r>
          </w:p>
        </w:tc>
        <w:tc>
          <w:tcPr>
            <w:tcW w:w="860" w:type="dxa"/>
            <w:vAlign w:val="bottom"/>
          </w:tcPr>
          <w:p>
            <w:pPr>
              <w:jc w:val="right"/>
              <w:ind w:right="63"/>
              <w:spacing w:after="0" w:line="122" w:lineRule="exact"/>
              <w:rPr>
                <w:sz w:val="20"/>
                <w:szCs w:val="20"/>
                <w:color w:val="auto"/>
              </w:rPr>
            </w:pPr>
            <w:r>
              <w:rPr>
                <w:rFonts w:ascii="Arial" w:cs="Arial" w:eastAsia="Arial" w:hAnsi="Arial"/>
                <w:sz w:val="11"/>
                <w:szCs w:val="11"/>
                <w:b w:val="1"/>
                <w:bCs w:val="1"/>
                <w:color w:val="auto"/>
              </w:rPr>
              <w:t>Vesting</w:t>
            </w:r>
          </w:p>
        </w:tc>
        <w:tc>
          <w:tcPr>
            <w:tcW w:w="840" w:type="dxa"/>
            <w:vAlign w:val="bottom"/>
          </w:tcPr>
          <w:p>
            <w:pPr>
              <w:jc w:val="right"/>
              <w:ind w:right="83"/>
              <w:spacing w:after="0" w:line="122" w:lineRule="exact"/>
              <w:rPr>
                <w:sz w:val="20"/>
                <w:szCs w:val="20"/>
                <w:color w:val="auto"/>
              </w:rPr>
            </w:pPr>
            <w:r>
              <w:rPr>
                <w:rFonts w:ascii="Arial" w:cs="Arial" w:eastAsia="Arial" w:hAnsi="Arial"/>
                <w:sz w:val="11"/>
                <w:szCs w:val="11"/>
                <w:b w:val="1"/>
                <w:bCs w:val="1"/>
                <w:color w:val="auto"/>
              </w:rPr>
              <w:t>Vesting</w:t>
            </w:r>
          </w:p>
        </w:tc>
        <w:tc>
          <w:tcPr>
            <w:tcW w:w="920" w:type="dxa"/>
            <w:vAlign w:val="bottom"/>
          </w:tcPr>
          <w:p>
            <w:pPr>
              <w:jc w:val="right"/>
              <w:ind w:right="43"/>
              <w:spacing w:after="0" w:line="122" w:lineRule="exact"/>
              <w:rPr>
                <w:sz w:val="20"/>
                <w:szCs w:val="20"/>
                <w:color w:val="auto"/>
              </w:rPr>
            </w:pPr>
            <w:r>
              <w:rPr>
                <w:rFonts w:ascii="Arial" w:cs="Arial" w:eastAsia="Arial" w:hAnsi="Arial"/>
                <w:sz w:val="11"/>
                <w:szCs w:val="11"/>
                <w:b w:val="1"/>
                <w:bCs w:val="1"/>
                <w:color w:val="auto"/>
              </w:rPr>
              <w:t>Vesting</w:t>
            </w:r>
          </w:p>
        </w:tc>
        <w:tc>
          <w:tcPr>
            <w:tcW w:w="680" w:type="dxa"/>
            <w:vAlign w:val="bottom"/>
          </w:tcPr>
          <w:p>
            <w:pPr>
              <w:jc w:val="right"/>
              <w:ind w:right="83"/>
              <w:spacing w:after="0" w:line="122" w:lineRule="exact"/>
              <w:rPr>
                <w:sz w:val="20"/>
                <w:szCs w:val="20"/>
                <w:color w:val="auto"/>
              </w:rPr>
            </w:pPr>
            <w:r>
              <w:rPr>
                <w:rFonts w:ascii="Arial" w:cs="Arial" w:eastAsia="Arial" w:hAnsi="Arial"/>
                <w:sz w:val="11"/>
                <w:szCs w:val="11"/>
                <w:b w:val="1"/>
                <w:bCs w:val="1"/>
                <w:color w:val="auto"/>
              </w:rPr>
              <w:t>Pension</w:t>
            </w:r>
          </w:p>
        </w:tc>
        <w:tc>
          <w:tcPr>
            <w:tcW w:w="1020" w:type="dxa"/>
            <w:vAlign w:val="bottom"/>
          </w:tcPr>
          <w:p>
            <w:pPr>
              <w:jc w:val="right"/>
              <w:ind w:right="80"/>
              <w:spacing w:after="0" w:line="122" w:lineRule="exact"/>
              <w:rPr>
                <w:sz w:val="20"/>
                <w:szCs w:val="20"/>
                <w:color w:val="auto"/>
              </w:rPr>
            </w:pPr>
            <w:r>
              <w:rPr>
                <w:rFonts w:ascii="Arial" w:cs="Arial" w:eastAsia="Arial" w:hAnsi="Arial"/>
                <w:sz w:val="11"/>
                <w:szCs w:val="11"/>
                <w:b w:val="1"/>
                <w:bCs w:val="1"/>
                <w:color w:val="auto"/>
              </w:rPr>
              <w:t>Compensation</w:t>
            </w:r>
          </w:p>
        </w:tc>
        <w:tc>
          <w:tcPr>
            <w:tcW w:w="980" w:type="dxa"/>
            <w:vAlign w:val="bottom"/>
          </w:tcPr>
          <w:p>
            <w:pPr>
              <w:jc w:val="right"/>
              <w:ind w:right="62"/>
              <w:spacing w:after="0" w:line="122" w:lineRule="exact"/>
              <w:rPr>
                <w:sz w:val="20"/>
                <w:szCs w:val="20"/>
                <w:color w:val="auto"/>
              </w:rPr>
            </w:pPr>
            <w:r>
              <w:rPr>
                <w:rFonts w:ascii="Arial" w:cs="Arial" w:eastAsia="Arial" w:hAnsi="Arial"/>
                <w:sz w:val="11"/>
                <w:szCs w:val="11"/>
                <w:b w:val="1"/>
                <w:bCs w:val="1"/>
                <w:color w:val="auto"/>
              </w:rPr>
              <w:t>Outplacement</w:t>
            </w:r>
          </w:p>
        </w:tc>
        <w:tc>
          <w:tcPr>
            <w:tcW w:w="840" w:type="dxa"/>
            <w:vAlign w:val="bottom"/>
          </w:tcPr>
          <w:p>
            <w:pPr>
              <w:jc w:val="center"/>
              <w:ind w:left="83"/>
              <w:spacing w:after="0" w:line="122" w:lineRule="exact"/>
              <w:rPr>
                <w:sz w:val="20"/>
                <w:szCs w:val="20"/>
                <w:color w:val="auto"/>
              </w:rPr>
            </w:pPr>
            <w:r>
              <w:rPr>
                <w:rFonts w:ascii="Arial" w:cs="Arial" w:eastAsia="Arial" w:hAnsi="Arial"/>
                <w:sz w:val="11"/>
                <w:szCs w:val="11"/>
                <w:b w:val="1"/>
                <w:bCs w:val="1"/>
                <w:color w:val="auto"/>
                <w:w w:val="97"/>
              </w:rPr>
              <w:t>Advisors</w:t>
            </w:r>
          </w:p>
        </w:tc>
        <w:tc>
          <w:tcPr>
            <w:tcW w:w="840" w:type="dxa"/>
            <w:vAlign w:val="bottom"/>
          </w:tcPr>
          <w:p>
            <w:pPr>
              <w:jc w:val="right"/>
              <w:ind w:right="63"/>
              <w:spacing w:after="0" w:line="122" w:lineRule="exact"/>
              <w:rPr>
                <w:sz w:val="20"/>
                <w:szCs w:val="20"/>
                <w:color w:val="auto"/>
              </w:rPr>
            </w:pPr>
            <w:r>
              <w:rPr>
                <w:rFonts w:ascii="Arial" w:cs="Arial" w:eastAsia="Arial" w:hAnsi="Arial"/>
                <w:sz w:val="11"/>
                <w:szCs w:val="11"/>
                <w:b w:val="1"/>
                <w:bCs w:val="1"/>
                <w:color w:val="auto"/>
              </w:rPr>
              <w:t>Insurance</w:t>
            </w:r>
          </w:p>
        </w:tc>
        <w:tc>
          <w:tcPr>
            <w:tcW w:w="940" w:type="dxa"/>
            <w:vAlign w:val="bottom"/>
          </w:tcPr>
          <w:p>
            <w:pPr>
              <w:jc w:val="right"/>
              <w:ind w:right="103"/>
              <w:spacing w:after="0" w:line="122" w:lineRule="exact"/>
              <w:rPr>
                <w:sz w:val="20"/>
                <w:szCs w:val="20"/>
                <w:color w:val="auto"/>
              </w:rPr>
            </w:pPr>
            <w:r>
              <w:rPr>
                <w:rFonts w:ascii="Arial" w:cs="Arial" w:eastAsia="Arial" w:hAnsi="Arial"/>
                <w:sz w:val="11"/>
                <w:szCs w:val="11"/>
                <w:b w:val="1"/>
                <w:bCs w:val="1"/>
                <w:color w:val="auto"/>
              </w:rPr>
              <w:t>Control Only</w:t>
            </w:r>
          </w:p>
        </w:tc>
        <w:tc>
          <w:tcPr>
            <w:tcW w:w="900" w:type="dxa"/>
            <w:vAlign w:val="bottom"/>
          </w:tcPr>
          <w:p>
            <w:pPr>
              <w:jc w:val="right"/>
              <w:spacing w:after="0" w:line="122" w:lineRule="exact"/>
              <w:rPr>
                <w:sz w:val="20"/>
                <w:szCs w:val="20"/>
                <w:color w:val="auto"/>
              </w:rPr>
            </w:pPr>
            <w:r>
              <w:rPr>
                <w:rFonts w:ascii="Arial" w:cs="Arial" w:eastAsia="Arial" w:hAnsi="Arial"/>
                <w:sz w:val="11"/>
                <w:szCs w:val="11"/>
                <w:b w:val="1"/>
                <w:bCs w:val="1"/>
                <w:color w:val="auto"/>
              </w:rPr>
              <w:t>Termination</w:t>
            </w:r>
          </w:p>
        </w:tc>
      </w:tr>
      <w:tr>
        <w:trPr>
          <w:trHeight w:val="175"/>
        </w:trPr>
        <w:tc>
          <w:tcPr>
            <w:tcW w:w="1420" w:type="dxa"/>
            <w:vAlign w:val="bottom"/>
            <w:tcBorders>
              <w:bottom w:val="single" w:sz="8" w:color="0C3471"/>
            </w:tcBorders>
          </w:tcPr>
          <w:p>
            <w:pPr>
              <w:spacing w:after="0"/>
              <w:rPr>
                <w:sz w:val="15"/>
                <w:szCs w:val="15"/>
                <w:color w:val="auto"/>
              </w:rPr>
            </w:pPr>
          </w:p>
        </w:tc>
        <w:tc>
          <w:tcPr>
            <w:tcW w:w="1000" w:type="dxa"/>
            <w:vAlign w:val="bottom"/>
            <w:tcBorders>
              <w:bottom w:val="single" w:sz="8" w:color="0C3471"/>
            </w:tcBorders>
          </w:tcPr>
          <w:p>
            <w:pPr>
              <w:jc w:val="right"/>
              <w:ind w:right="83"/>
              <w:spacing w:after="0" w:line="175" w:lineRule="exact"/>
              <w:rPr>
                <w:sz w:val="20"/>
                <w:szCs w:val="20"/>
                <w:color w:val="auto"/>
              </w:rPr>
            </w:pPr>
            <w:r>
              <w:rPr>
                <w:rFonts w:ascii="Arial" w:cs="Arial" w:eastAsia="Arial" w:hAnsi="Arial"/>
                <w:sz w:val="20"/>
                <w:szCs w:val="20"/>
                <w:b w:val="1"/>
                <w:bCs w:val="1"/>
                <w:color w:val="auto"/>
                <w:vertAlign w:val="subscript"/>
              </w:rPr>
              <w:t>($)</w:t>
            </w:r>
            <w:r>
              <w:rPr>
                <w:rFonts w:ascii="Arial" w:cs="Arial" w:eastAsia="Arial" w:hAnsi="Arial"/>
                <w:sz w:val="7"/>
                <w:szCs w:val="7"/>
                <w:b w:val="1"/>
                <w:bCs w:val="1"/>
                <w:color w:val="auto"/>
              </w:rPr>
              <w:t>(1)</w:t>
            </w:r>
          </w:p>
        </w:tc>
        <w:tc>
          <w:tcPr>
            <w:tcW w:w="860" w:type="dxa"/>
            <w:vAlign w:val="bottom"/>
            <w:tcBorders>
              <w:bottom w:val="single" w:sz="8" w:color="0C3471"/>
            </w:tcBorders>
          </w:tcPr>
          <w:p>
            <w:pPr>
              <w:jc w:val="right"/>
              <w:ind w:right="63"/>
              <w:spacing w:after="0" w:line="175" w:lineRule="exact"/>
              <w:rPr>
                <w:sz w:val="20"/>
                <w:szCs w:val="20"/>
                <w:color w:val="auto"/>
              </w:rPr>
            </w:pPr>
            <w:r>
              <w:rPr>
                <w:rFonts w:ascii="Arial" w:cs="Arial" w:eastAsia="Arial" w:hAnsi="Arial"/>
                <w:sz w:val="20"/>
                <w:szCs w:val="20"/>
                <w:b w:val="1"/>
                <w:bCs w:val="1"/>
                <w:color w:val="auto"/>
                <w:vertAlign w:val="subscript"/>
              </w:rPr>
              <w:t>($)</w:t>
            </w:r>
            <w:r>
              <w:rPr>
                <w:rFonts w:ascii="Arial" w:cs="Arial" w:eastAsia="Arial" w:hAnsi="Arial"/>
                <w:sz w:val="7"/>
                <w:szCs w:val="7"/>
                <w:b w:val="1"/>
                <w:bCs w:val="1"/>
                <w:color w:val="auto"/>
              </w:rPr>
              <w:t>(2)</w:t>
            </w:r>
          </w:p>
        </w:tc>
        <w:tc>
          <w:tcPr>
            <w:tcW w:w="840" w:type="dxa"/>
            <w:vAlign w:val="bottom"/>
            <w:tcBorders>
              <w:bottom w:val="single" w:sz="8" w:color="0C3471"/>
            </w:tcBorders>
          </w:tcPr>
          <w:p>
            <w:pPr>
              <w:jc w:val="right"/>
              <w:ind w:right="83"/>
              <w:spacing w:after="0" w:line="175" w:lineRule="exact"/>
              <w:rPr>
                <w:sz w:val="20"/>
                <w:szCs w:val="20"/>
                <w:color w:val="auto"/>
              </w:rPr>
            </w:pPr>
            <w:r>
              <w:rPr>
                <w:rFonts w:ascii="Arial" w:cs="Arial" w:eastAsia="Arial" w:hAnsi="Arial"/>
                <w:sz w:val="20"/>
                <w:szCs w:val="20"/>
                <w:b w:val="1"/>
                <w:bCs w:val="1"/>
                <w:color w:val="auto"/>
                <w:vertAlign w:val="subscript"/>
              </w:rPr>
              <w:t>($)</w:t>
            </w:r>
            <w:r>
              <w:rPr>
                <w:rFonts w:ascii="Arial" w:cs="Arial" w:eastAsia="Arial" w:hAnsi="Arial"/>
                <w:sz w:val="7"/>
                <w:szCs w:val="7"/>
                <w:b w:val="1"/>
                <w:bCs w:val="1"/>
                <w:color w:val="auto"/>
              </w:rPr>
              <w:t>(2)</w:t>
            </w:r>
          </w:p>
        </w:tc>
        <w:tc>
          <w:tcPr>
            <w:tcW w:w="920" w:type="dxa"/>
            <w:vAlign w:val="bottom"/>
            <w:tcBorders>
              <w:bottom w:val="single" w:sz="8" w:color="0C3471"/>
            </w:tcBorders>
          </w:tcPr>
          <w:p>
            <w:pPr>
              <w:jc w:val="right"/>
              <w:ind w:right="43"/>
              <w:spacing w:after="0" w:line="175" w:lineRule="exact"/>
              <w:rPr>
                <w:sz w:val="20"/>
                <w:szCs w:val="20"/>
                <w:color w:val="auto"/>
              </w:rPr>
            </w:pPr>
            <w:r>
              <w:rPr>
                <w:rFonts w:ascii="Arial" w:cs="Arial" w:eastAsia="Arial" w:hAnsi="Arial"/>
                <w:sz w:val="20"/>
                <w:szCs w:val="20"/>
                <w:b w:val="1"/>
                <w:bCs w:val="1"/>
                <w:color w:val="auto"/>
                <w:vertAlign w:val="subscript"/>
              </w:rPr>
              <w:t>($)</w:t>
            </w:r>
            <w:r>
              <w:rPr>
                <w:rFonts w:ascii="Arial" w:cs="Arial" w:eastAsia="Arial" w:hAnsi="Arial"/>
                <w:sz w:val="7"/>
                <w:szCs w:val="7"/>
                <w:b w:val="1"/>
                <w:bCs w:val="1"/>
                <w:color w:val="auto"/>
              </w:rPr>
              <w:t>(2)</w:t>
            </w:r>
          </w:p>
        </w:tc>
        <w:tc>
          <w:tcPr>
            <w:tcW w:w="680" w:type="dxa"/>
            <w:vAlign w:val="bottom"/>
            <w:tcBorders>
              <w:bottom w:val="single" w:sz="8" w:color="0C3471"/>
            </w:tcBorders>
          </w:tcPr>
          <w:p>
            <w:pPr>
              <w:jc w:val="center"/>
              <w:ind w:left="123"/>
              <w:spacing w:after="0" w:line="175" w:lineRule="exact"/>
              <w:rPr>
                <w:sz w:val="20"/>
                <w:szCs w:val="20"/>
                <w:color w:val="auto"/>
              </w:rPr>
            </w:pPr>
            <w:r>
              <w:rPr>
                <w:rFonts w:ascii="Arial" w:cs="Arial" w:eastAsia="Arial" w:hAnsi="Arial"/>
                <w:sz w:val="20"/>
                <w:szCs w:val="20"/>
                <w:b w:val="1"/>
                <w:bCs w:val="1"/>
                <w:color w:val="auto"/>
                <w:w w:val="88"/>
                <w:vertAlign w:val="subscript"/>
              </w:rPr>
              <w:t>($)</w:t>
            </w:r>
            <w:r>
              <w:rPr>
                <w:rFonts w:ascii="Arial" w:cs="Arial" w:eastAsia="Arial" w:hAnsi="Arial"/>
                <w:sz w:val="7"/>
                <w:szCs w:val="7"/>
                <w:b w:val="1"/>
                <w:bCs w:val="1"/>
                <w:color w:val="auto"/>
                <w:w w:val="88"/>
              </w:rPr>
              <w:t>(1)</w:t>
            </w:r>
          </w:p>
        </w:tc>
        <w:tc>
          <w:tcPr>
            <w:tcW w:w="1020" w:type="dxa"/>
            <w:vAlign w:val="bottom"/>
            <w:tcBorders>
              <w:bottom w:val="single" w:sz="8" w:color="0C3471"/>
            </w:tcBorders>
          </w:tcPr>
          <w:p>
            <w:pPr>
              <w:jc w:val="right"/>
              <w:ind w:right="80"/>
              <w:spacing w:after="0"/>
              <w:rPr>
                <w:sz w:val="20"/>
                <w:szCs w:val="20"/>
                <w:color w:val="auto"/>
              </w:rPr>
            </w:pPr>
            <w:r>
              <w:rPr>
                <w:rFonts w:ascii="Arial" w:cs="Arial" w:eastAsia="Arial" w:hAnsi="Arial"/>
                <w:sz w:val="11"/>
                <w:szCs w:val="11"/>
                <w:b w:val="1"/>
                <w:bCs w:val="1"/>
                <w:color w:val="auto"/>
              </w:rPr>
              <w:t>($)</w:t>
            </w:r>
            <w:r>
              <w:rPr>
                <w:rFonts w:ascii="Arial" w:cs="Arial" w:eastAsia="Arial" w:hAnsi="Arial"/>
                <w:sz w:val="7"/>
                <w:szCs w:val="7"/>
                <w:b w:val="1"/>
                <w:bCs w:val="1"/>
                <w:color w:val="auto"/>
              </w:rPr>
              <w:t>(2)</w:t>
            </w:r>
          </w:p>
        </w:tc>
        <w:tc>
          <w:tcPr>
            <w:tcW w:w="980" w:type="dxa"/>
            <w:vAlign w:val="bottom"/>
            <w:tcBorders>
              <w:bottom w:val="single" w:sz="8" w:color="0C3471"/>
            </w:tcBorders>
          </w:tcPr>
          <w:p>
            <w:pPr>
              <w:jc w:val="right"/>
              <w:ind w:right="62"/>
              <w:spacing w:after="0" w:line="175" w:lineRule="exact"/>
              <w:rPr>
                <w:sz w:val="20"/>
                <w:szCs w:val="20"/>
                <w:color w:val="auto"/>
              </w:rPr>
            </w:pPr>
            <w:r>
              <w:rPr>
                <w:rFonts w:ascii="Arial" w:cs="Arial" w:eastAsia="Arial" w:hAnsi="Arial"/>
                <w:sz w:val="20"/>
                <w:szCs w:val="20"/>
                <w:b w:val="1"/>
                <w:bCs w:val="1"/>
                <w:color w:val="auto"/>
                <w:vertAlign w:val="subscript"/>
              </w:rPr>
              <w:t>($)</w:t>
            </w:r>
            <w:r>
              <w:rPr>
                <w:rFonts w:ascii="Arial" w:cs="Arial" w:eastAsia="Arial" w:hAnsi="Arial"/>
                <w:sz w:val="7"/>
                <w:szCs w:val="7"/>
                <w:b w:val="1"/>
                <w:bCs w:val="1"/>
                <w:color w:val="auto"/>
              </w:rPr>
              <w:t>(1)</w:t>
            </w:r>
          </w:p>
        </w:tc>
        <w:tc>
          <w:tcPr>
            <w:tcW w:w="840" w:type="dxa"/>
            <w:vAlign w:val="bottom"/>
            <w:tcBorders>
              <w:bottom w:val="single" w:sz="8" w:color="0C3471"/>
            </w:tcBorders>
          </w:tcPr>
          <w:p>
            <w:pPr>
              <w:jc w:val="right"/>
              <w:ind w:right="63"/>
              <w:spacing w:after="0" w:line="175" w:lineRule="exact"/>
              <w:rPr>
                <w:sz w:val="20"/>
                <w:szCs w:val="20"/>
                <w:color w:val="auto"/>
              </w:rPr>
            </w:pPr>
            <w:r>
              <w:rPr>
                <w:rFonts w:ascii="Arial" w:cs="Arial" w:eastAsia="Arial" w:hAnsi="Arial"/>
                <w:sz w:val="20"/>
                <w:szCs w:val="20"/>
                <w:b w:val="1"/>
                <w:bCs w:val="1"/>
                <w:color w:val="auto"/>
                <w:vertAlign w:val="subscript"/>
              </w:rPr>
              <w:t>($)</w:t>
            </w:r>
            <w:r>
              <w:rPr>
                <w:rFonts w:ascii="Arial" w:cs="Arial" w:eastAsia="Arial" w:hAnsi="Arial"/>
                <w:sz w:val="7"/>
                <w:szCs w:val="7"/>
                <w:b w:val="1"/>
                <w:bCs w:val="1"/>
                <w:color w:val="auto"/>
              </w:rPr>
              <w:t>(1)</w:t>
            </w:r>
          </w:p>
        </w:tc>
        <w:tc>
          <w:tcPr>
            <w:tcW w:w="840" w:type="dxa"/>
            <w:vAlign w:val="bottom"/>
            <w:tcBorders>
              <w:bottom w:val="single" w:sz="8" w:color="0C3471"/>
            </w:tcBorders>
          </w:tcPr>
          <w:p>
            <w:pPr>
              <w:jc w:val="right"/>
              <w:ind w:right="63"/>
              <w:spacing w:after="0" w:line="175" w:lineRule="exact"/>
              <w:rPr>
                <w:sz w:val="20"/>
                <w:szCs w:val="20"/>
                <w:color w:val="auto"/>
              </w:rPr>
            </w:pPr>
            <w:r>
              <w:rPr>
                <w:rFonts w:ascii="Arial" w:cs="Arial" w:eastAsia="Arial" w:hAnsi="Arial"/>
                <w:sz w:val="20"/>
                <w:szCs w:val="20"/>
                <w:b w:val="1"/>
                <w:bCs w:val="1"/>
                <w:color w:val="auto"/>
                <w:vertAlign w:val="subscript"/>
              </w:rPr>
              <w:t>($)</w:t>
            </w:r>
            <w:r>
              <w:rPr>
                <w:rFonts w:ascii="Arial" w:cs="Arial" w:eastAsia="Arial" w:hAnsi="Arial"/>
                <w:sz w:val="7"/>
                <w:szCs w:val="7"/>
                <w:b w:val="1"/>
                <w:bCs w:val="1"/>
                <w:color w:val="auto"/>
              </w:rPr>
              <w:t>(1)</w:t>
            </w:r>
          </w:p>
        </w:tc>
        <w:tc>
          <w:tcPr>
            <w:tcW w:w="940" w:type="dxa"/>
            <w:vAlign w:val="bottom"/>
            <w:tcBorders>
              <w:bottom w:val="single" w:sz="8" w:color="0C3471"/>
            </w:tcBorders>
          </w:tcPr>
          <w:p>
            <w:pPr>
              <w:jc w:val="right"/>
              <w:ind w:right="103"/>
              <w:spacing w:after="0" w:line="175" w:lineRule="exact"/>
              <w:rPr>
                <w:sz w:val="20"/>
                <w:szCs w:val="20"/>
                <w:color w:val="auto"/>
              </w:rPr>
            </w:pPr>
            <w:r>
              <w:rPr>
                <w:rFonts w:ascii="Arial" w:cs="Arial" w:eastAsia="Arial" w:hAnsi="Arial"/>
                <w:sz w:val="20"/>
                <w:szCs w:val="20"/>
                <w:b w:val="1"/>
                <w:bCs w:val="1"/>
                <w:color w:val="auto"/>
                <w:vertAlign w:val="subscript"/>
              </w:rPr>
              <w:t>($)</w:t>
            </w:r>
            <w:r>
              <w:rPr>
                <w:rFonts w:ascii="Arial" w:cs="Arial" w:eastAsia="Arial" w:hAnsi="Arial"/>
                <w:sz w:val="7"/>
                <w:szCs w:val="7"/>
                <w:b w:val="1"/>
                <w:bCs w:val="1"/>
                <w:color w:val="auto"/>
              </w:rPr>
              <w:t>(3)</w:t>
            </w:r>
          </w:p>
        </w:tc>
        <w:tc>
          <w:tcPr>
            <w:tcW w:w="900" w:type="dxa"/>
            <w:vAlign w:val="bottom"/>
            <w:tcBorders>
              <w:bottom w:val="single" w:sz="8" w:color="0C3471"/>
            </w:tcBorders>
          </w:tcPr>
          <w:p>
            <w:pPr>
              <w:jc w:val="right"/>
              <w:spacing w:after="0" w:line="175" w:lineRule="exact"/>
              <w:rPr>
                <w:sz w:val="20"/>
                <w:szCs w:val="20"/>
                <w:color w:val="auto"/>
              </w:rPr>
            </w:pPr>
            <w:r>
              <w:rPr>
                <w:rFonts w:ascii="Arial" w:cs="Arial" w:eastAsia="Arial" w:hAnsi="Arial"/>
                <w:sz w:val="20"/>
                <w:szCs w:val="20"/>
                <w:b w:val="1"/>
                <w:bCs w:val="1"/>
                <w:color w:val="auto"/>
                <w:vertAlign w:val="subscript"/>
              </w:rPr>
              <w:t>($)</w:t>
            </w:r>
            <w:r>
              <w:rPr>
                <w:rFonts w:ascii="Arial" w:cs="Arial" w:eastAsia="Arial" w:hAnsi="Arial"/>
                <w:sz w:val="7"/>
                <w:szCs w:val="7"/>
                <w:b w:val="1"/>
                <w:bCs w:val="1"/>
                <w:color w:val="auto"/>
              </w:rPr>
              <w:t>(3)</w:t>
            </w:r>
          </w:p>
        </w:tc>
      </w:tr>
      <w:tr>
        <w:trPr>
          <w:trHeight w:val="188"/>
        </w:trPr>
        <w:tc>
          <w:tcPr>
            <w:tcW w:w="1420" w:type="dxa"/>
            <w:vAlign w:val="bottom"/>
          </w:tcPr>
          <w:p>
            <w:pPr>
              <w:ind w:left="20"/>
              <w:spacing w:after="0"/>
              <w:rPr>
                <w:sz w:val="20"/>
                <w:szCs w:val="20"/>
                <w:color w:val="auto"/>
              </w:rPr>
            </w:pPr>
            <w:r>
              <w:rPr>
                <w:rFonts w:ascii="Arial" w:cs="Arial" w:eastAsia="Arial" w:hAnsi="Arial"/>
                <w:sz w:val="13"/>
                <w:szCs w:val="13"/>
                <w:b w:val="1"/>
                <w:bCs w:val="1"/>
                <w:color w:val="0C3471"/>
              </w:rPr>
              <w:t>John L. Stauch</w:t>
            </w:r>
          </w:p>
        </w:tc>
        <w:tc>
          <w:tcPr>
            <w:tcW w:w="1000" w:type="dxa"/>
            <w:vAlign w:val="bottom"/>
          </w:tcPr>
          <w:p>
            <w:pPr>
              <w:ind w:left="260"/>
              <w:spacing w:after="0"/>
              <w:rPr>
                <w:sz w:val="20"/>
                <w:szCs w:val="20"/>
                <w:color w:val="auto"/>
              </w:rPr>
            </w:pPr>
            <w:r>
              <w:rPr>
                <w:rFonts w:ascii="Arial" w:cs="Arial" w:eastAsia="Arial" w:hAnsi="Arial"/>
                <w:sz w:val="13"/>
                <w:szCs w:val="13"/>
                <w:color w:val="auto"/>
              </w:rPr>
              <w:t>7,570,790</w:t>
            </w:r>
          </w:p>
        </w:tc>
        <w:tc>
          <w:tcPr>
            <w:tcW w:w="860" w:type="dxa"/>
            <w:vAlign w:val="bottom"/>
          </w:tcPr>
          <w:p>
            <w:pPr>
              <w:jc w:val="right"/>
              <w:ind w:right="103"/>
              <w:spacing w:after="0"/>
              <w:rPr>
                <w:sz w:val="20"/>
                <w:szCs w:val="20"/>
                <w:color w:val="auto"/>
              </w:rPr>
            </w:pPr>
            <w:r>
              <w:rPr>
                <w:rFonts w:ascii="Arial" w:cs="Arial" w:eastAsia="Arial" w:hAnsi="Arial"/>
                <w:sz w:val="13"/>
                <w:szCs w:val="13"/>
                <w:color w:val="auto"/>
              </w:rPr>
              <w:t>3,934,322</w:t>
            </w:r>
          </w:p>
        </w:tc>
        <w:tc>
          <w:tcPr>
            <w:tcW w:w="840" w:type="dxa"/>
            <w:vAlign w:val="bottom"/>
          </w:tcPr>
          <w:p>
            <w:pPr>
              <w:jc w:val="right"/>
              <w:ind w:right="123"/>
              <w:spacing w:after="0"/>
              <w:rPr>
                <w:sz w:val="20"/>
                <w:szCs w:val="20"/>
                <w:color w:val="auto"/>
              </w:rPr>
            </w:pPr>
            <w:r>
              <w:rPr>
                <w:rFonts w:ascii="Arial" w:cs="Arial" w:eastAsia="Arial" w:hAnsi="Arial"/>
                <w:sz w:val="13"/>
                <w:szCs w:val="13"/>
                <w:color w:val="auto"/>
              </w:rPr>
              <w:t>2,858,226</w:t>
            </w:r>
          </w:p>
        </w:tc>
        <w:tc>
          <w:tcPr>
            <w:tcW w:w="920" w:type="dxa"/>
            <w:vAlign w:val="bottom"/>
          </w:tcPr>
          <w:p>
            <w:pPr>
              <w:jc w:val="right"/>
              <w:ind w:right="103"/>
              <w:spacing w:after="0"/>
              <w:rPr>
                <w:sz w:val="20"/>
                <w:szCs w:val="20"/>
                <w:color w:val="auto"/>
              </w:rPr>
            </w:pPr>
            <w:r>
              <w:rPr>
                <w:rFonts w:ascii="Arial" w:cs="Arial" w:eastAsia="Arial" w:hAnsi="Arial"/>
                <w:sz w:val="13"/>
                <w:szCs w:val="13"/>
                <w:color w:val="auto"/>
              </w:rPr>
              <w:t>10,217,592</w:t>
            </w:r>
          </w:p>
        </w:tc>
        <w:tc>
          <w:tcPr>
            <w:tcW w:w="680" w:type="dxa"/>
            <w:vAlign w:val="bottom"/>
          </w:tcPr>
          <w:p>
            <w:pPr>
              <w:jc w:val="center"/>
              <w:ind w:left="123"/>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120"/>
              <w:spacing w:after="0"/>
              <w:rPr>
                <w:sz w:val="20"/>
                <w:szCs w:val="20"/>
                <w:color w:val="auto"/>
              </w:rPr>
            </w:pPr>
            <w:r>
              <w:rPr>
                <w:rFonts w:ascii="Arial" w:cs="Arial" w:eastAsia="Arial" w:hAnsi="Arial"/>
                <w:sz w:val="13"/>
                <w:szCs w:val="13"/>
                <w:color w:val="auto"/>
              </w:rPr>
              <w:t>1,566,000</w:t>
            </w:r>
          </w:p>
        </w:tc>
        <w:tc>
          <w:tcPr>
            <w:tcW w:w="980" w:type="dxa"/>
            <w:vAlign w:val="bottom"/>
          </w:tcPr>
          <w:p>
            <w:pPr>
              <w:jc w:val="right"/>
              <w:ind w:right="102"/>
              <w:spacing w:after="0"/>
              <w:rPr>
                <w:sz w:val="20"/>
                <w:szCs w:val="20"/>
                <w:color w:val="auto"/>
              </w:rPr>
            </w:pPr>
            <w:r>
              <w:rPr>
                <w:rFonts w:ascii="Arial" w:cs="Arial" w:eastAsia="Arial" w:hAnsi="Arial"/>
                <w:sz w:val="13"/>
                <w:szCs w:val="13"/>
                <w:color w:val="auto"/>
              </w:rPr>
              <w:t>50,000</w:t>
            </w:r>
          </w:p>
        </w:tc>
        <w:tc>
          <w:tcPr>
            <w:tcW w:w="840" w:type="dxa"/>
            <w:vAlign w:val="bottom"/>
          </w:tcPr>
          <w:p>
            <w:pPr>
              <w:jc w:val="center"/>
              <w:ind w:left="83"/>
              <w:spacing w:after="0"/>
              <w:rPr>
                <w:sz w:val="20"/>
                <w:szCs w:val="20"/>
                <w:color w:val="auto"/>
              </w:rPr>
            </w:pPr>
            <w:r>
              <w:rPr>
                <w:rFonts w:ascii="Arial" w:cs="Arial" w:eastAsia="Arial" w:hAnsi="Arial"/>
                <w:sz w:val="13"/>
                <w:szCs w:val="13"/>
                <w:color w:val="auto"/>
                <w:w w:val="95"/>
              </w:rPr>
              <w:t>15,000</w:t>
            </w:r>
          </w:p>
        </w:tc>
        <w:tc>
          <w:tcPr>
            <w:tcW w:w="840" w:type="dxa"/>
            <w:vAlign w:val="bottom"/>
          </w:tcPr>
          <w:p>
            <w:pPr>
              <w:ind w:left="280"/>
              <w:spacing w:after="0"/>
              <w:rPr>
                <w:sz w:val="20"/>
                <w:szCs w:val="20"/>
                <w:color w:val="auto"/>
              </w:rPr>
            </w:pPr>
            <w:r>
              <w:rPr>
                <w:rFonts w:ascii="Arial" w:cs="Arial" w:eastAsia="Arial" w:hAnsi="Arial"/>
                <w:sz w:val="13"/>
                <w:szCs w:val="13"/>
                <w:color w:val="auto"/>
              </w:rPr>
              <w:t>38,467</w:t>
            </w:r>
          </w:p>
        </w:tc>
        <w:tc>
          <w:tcPr>
            <w:tcW w:w="940" w:type="dxa"/>
            <w:vAlign w:val="bottom"/>
          </w:tcPr>
          <w:p>
            <w:pPr>
              <w:jc w:val="right"/>
              <w:ind w:right="143"/>
              <w:spacing w:after="0"/>
              <w:rPr>
                <w:sz w:val="20"/>
                <w:szCs w:val="20"/>
                <w:color w:val="auto"/>
              </w:rPr>
            </w:pPr>
            <w:r>
              <w:rPr>
                <w:rFonts w:ascii="Arial" w:cs="Arial" w:eastAsia="Arial" w:hAnsi="Arial"/>
                <w:sz w:val="13"/>
                <w:szCs w:val="13"/>
                <w:color w:val="auto"/>
              </w:rPr>
              <w:t>18,576,140</w:t>
            </w:r>
          </w:p>
        </w:tc>
        <w:tc>
          <w:tcPr>
            <w:tcW w:w="900" w:type="dxa"/>
            <w:vAlign w:val="bottom"/>
          </w:tcPr>
          <w:p>
            <w:pPr>
              <w:jc w:val="right"/>
              <w:ind w:right="3"/>
              <w:spacing w:after="0"/>
              <w:rPr>
                <w:sz w:val="20"/>
                <w:szCs w:val="20"/>
                <w:color w:val="auto"/>
              </w:rPr>
            </w:pPr>
            <w:r>
              <w:rPr>
                <w:rFonts w:ascii="Arial" w:cs="Arial" w:eastAsia="Arial" w:hAnsi="Arial"/>
                <w:sz w:val="13"/>
                <w:szCs w:val="13"/>
                <w:color w:val="auto"/>
              </w:rPr>
              <w:t>26,250,397</w:t>
            </w:r>
          </w:p>
        </w:tc>
      </w:tr>
      <w:tr>
        <w:trPr>
          <w:trHeight w:val="22"/>
        </w:trPr>
        <w:tc>
          <w:tcPr>
            <w:tcW w:w="1420" w:type="dxa"/>
            <w:vAlign w:val="bottom"/>
            <w:tcBorders>
              <w:bottom w:val="single" w:sz="8" w:color="BCBEC0"/>
            </w:tcBorders>
          </w:tcPr>
          <w:p>
            <w:pPr>
              <w:spacing w:after="0" w:line="20" w:lineRule="exact"/>
              <w:rPr>
                <w:sz w:val="1"/>
                <w:szCs w:val="1"/>
                <w:color w:val="auto"/>
              </w:rPr>
            </w:pPr>
          </w:p>
        </w:tc>
        <w:tc>
          <w:tcPr>
            <w:tcW w:w="1000" w:type="dxa"/>
            <w:vAlign w:val="bottom"/>
            <w:tcBorders>
              <w:bottom w:val="single" w:sz="8" w:color="BCBEC0"/>
            </w:tcBorders>
          </w:tcPr>
          <w:p>
            <w:pPr>
              <w:spacing w:after="0" w:line="20" w:lineRule="exact"/>
              <w:rPr>
                <w:sz w:val="1"/>
                <w:szCs w:val="1"/>
                <w:color w:val="auto"/>
              </w:rPr>
            </w:pPr>
          </w:p>
        </w:tc>
        <w:tc>
          <w:tcPr>
            <w:tcW w:w="860" w:type="dxa"/>
            <w:vAlign w:val="bottom"/>
            <w:tcBorders>
              <w:bottom w:val="single" w:sz="8" w:color="BCBEC0"/>
            </w:tcBorders>
          </w:tcPr>
          <w:p>
            <w:pPr>
              <w:spacing w:after="0" w:line="20" w:lineRule="exact"/>
              <w:rPr>
                <w:sz w:val="1"/>
                <w:szCs w:val="1"/>
                <w:color w:val="auto"/>
              </w:rPr>
            </w:pPr>
          </w:p>
        </w:tc>
        <w:tc>
          <w:tcPr>
            <w:tcW w:w="840" w:type="dxa"/>
            <w:vAlign w:val="bottom"/>
            <w:tcBorders>
              <w:bottom w:val="single" w:sz="8" w:color="BCBEC0"/>
            </w:tcBorders>
          </w:tcPr>
          <w:p>
            <w:pPr>
              <w:spacing w:after="0" w:line="20" w:lineRule="exact"/>
              <w:rPr>
                <w:sz w:val="1"/>
                <w:szCs w:val="1"/>
                <w:color w:val="auto"/>
              </w:rPr>
            </w:pPr>
          </w:p>
        </w:tc>
        <w:tc>
          <w:tcPr>
            <w:tcW w:w="920" w:type="dxa"/>
            <w:vAlign w:val="bottom"/>
            <w:tcBorders>
              <w:bottom w:val="single" w:sz="8" w:color="BCBEC0"/>
            </w:tcBorders>
          </w:tcPr>
          <w:p>
            <w:pPr>
              <w:spacing w:after="0" w:line="20" w:lineRule="exact"/>
              <w:rPr>
                <w:sz w:val="1"/>
                <w:szCs w:val="1"/>
                <w:color w:val="auto"/>
              </w:rPr>
            </w:pPr>
          </w:p>
        </w:tc>
        <w:tc>
          <w:tcPr>
            <w:tcW w:w="680" w:type="dxa"/>
            <w:vAlign w:val="bottom"/>
            <w:tcBorders>
              <w:bottom w:val="single" w:sz="8" w:color="BCBEC0"/>
            </w:tcBorders>
          </w:tcPr>
          <w:p>
            <w:pPr>
              <w:spacing w:after="0" w:line="20" w:lineRule="exact"/>
              <w:rPr>
                <w:sz w:val="1"/>
                <w:szCs w:val="1"/>
                <w:color w:val="auto"/>
              </w:rPr>
            </w:pPr>
          </w:p>
        </w:tc>
        <w:tc>
          <w:tcPr>
            <w:tcW w:w="1020" w:type="dxa"/>
            <w:vAlign w:val="bottom"/>
            <w:tcBorders>
              <w:bottom w:val="single" w:sz="8" w:color="BCBEC0"/>
            </w:tcBorders>
          </w:tcPr>
          <w:p>
            <w:pPr>
              <w:spacing w:after="0" w:line="20" w:lineRule="exact"/>
              <w:rPr>
                <w:sz w:val="1"/>
                <w:szCs w:val="1"/>
                <w:color w:val="auto"/>
              </w:rPr>
            </w:pPr>
          </w:p>
        </w:tc>
        <w:tc>
          <w:tcPr>
            <w:tcW w:w="980" w:type="dxa"/>
            <w:vAlign w:val="bottom"/>
            <w:tcBorders>
              <w:bottom w:val="single" w:sz="8" w:color="BCBEC0"/>
            </w:tcBorders>
          </w:tcPr>
          <w:p>
            <w:pPr>
              <w:spacing w:after="0" w:line="20" w:lineRule="exact"/>
              <w:rPr>
                <w:sz w:val="1"/>
                <w:szCs w:val="1"/>
                <w:color w:val="auto"/>
              </w:rPr>
            </w:pPr>
          </w:p>
        </w:tc>
        <w:tc>
          <w:tcPr>
            <w:tcW w:w="840" w:type="dxa"/>
            <w:vAlign w:val="bottom"/>
            <w:tcBorders>
              <w:bottom w:val="single" w:sz="8" w:color="BCBEC0"/>
            </w:tcBorders>
          </w:tcPr>
          <w:p>
            <w:pPr>
              <w:spacing w:after="0" w:line="20" w:lineRule="exact"/>
              <w:rPr>
                <w:sz w:val="1"/>
                <w:szCs w:val="1"/>
                <w:color w:val="auto"/>
              </w:rPr>
            </w:pPr>
          </w:p>
        </w:tc>
        <w:tc>
          <w:tcPr>
            <w:tcW w:w="840" w:type="dxa"/>
            <w:vAlign w:val="bottom"/>
            <w:tcBorders>
              <w:bottom w:val="single" w:sz="8" w:color="BCBEC0"/>
            </w:tcBorders>
          </w:tcPr>
          <w:p>
            <w:pPr>
              <w:spacing w:after="0" w:line="20" w:lineRule="exact"/>
              <w:rPr>
                <w:sz w:val="1"/>
                <w:szCs w:val="1"/>
                <w:color w:val="auto"/>
              </w:rPr>
            </w:pPr>
          </w:p>
        </w:tc>
        <w:tc>
          <w:tcPr>
            <w:tcW w:w="940" w:type="dxa"/>
            <w:vAlign w:val="bottom"/>
            <w:tcBorders>
              <w:bottom w:val="single" w:sz="8" w:color="BCBEC0"/>
            </w:tcBorders>
          </w:tcPr>
          <w:p>
            <w:pPr>
              <w:spacing w:after="0" w:line="20" w:lineRule="exact"/>
              <w:rPr>
                <w:sz w:val="1"/>
                <w:szCs w:val="1"/>
                <w:color w:val="auto"/>
              </w:rPr>
            </w:pPr>
          </w:p>
        </w:tc>
        <w:tc>
          <w:tcPr>
            <w:tcW w:w="900" w:type="dxa"/>
            <w:vAlign w:val="bottom"/>
            <w:tcBorders>
              <w:bottom w:val="single" w:sz="8" w:color="BCBEC0"/>
            </w:tcBorders>
          </w:tcPr>
          <w:p>
            <w:pPr>
              <w:spacing w:after="0" w:line="20" w:lineRule="exact"/>
              <w:rPr>
                <w:sz w:val="1"/>
                <w:szCs w:val="1"/>
                <w:color w:val="auto"/>
              </w:rPr>
            </w:pPr>
          </w:p>
        </w:tc>
      </w:tr>
      <w:tr>
        <w:trPr>
          <w:trHeight w:val="188"/>
        </w:trPr>
        <w:tc>
          <w:tcPr>
            <w:tcW w:w="1420" w:type="dxa"/>
            <w:vAlign w:val="bottom"/>
          </w:tcPr>
          <w:p>
            <w:pPr>
              <w:ind w:left="20"/>
              <w:spacing w:after="0"/>
              <w:rPr>
                <w:sz w:val="20"/>
                <w:szCs w:val="20"/>
                <w:color w:val="auto"/>
              </w:rPr>
            </w:pPr>
            <w:r>
              <w:rPr>
                <w:rFonts w:ascii="Arial" w:cs="Arial" w:eastAsia="Arial" w:hAnsi="Arial"/>
                <w:sz w:val="13"/>
                <w:szCs w:val="13"/>
                <w:b w:val="1"/>
                <w:bCs w:val="1"/>
                <w:color w:val="0C3471"/>
              </w:rPr>
              <w:t>Robert P. Fishman</w:t>
            </w:r>
          </w:p>
        </w:tc>
        <w:tc>
          <w:tcPr>
            <w:tcW w:w="1000" w:type="dxa"/>
            <w:vAlign w:val="bottom"/>
          </w:tcPr>
          <w:p>
            <w:pPr>
              <w:ind w:left="260"/>
              <w:spacing w:after="0"/>
              <w:rPr>
                <w:sz w:val="20"/>
                <w:szCs w:val="20"/>
                <w:color w:val="auto"/>
              </w:rPr>
            </w:pPr>
            <w:r>
              <w:rPr>
                <w:rFonts w:ascii="Arial" w:cs="Arial" w:eastAsia="Arial" w:hAnsi="Arial"/>
                <w:sz w:val="13"/>
                <w:szCs w:val="13"/>
                <w:color w:val="auto"/>
              </w:rPr>
              <w:t>3,289,740</w:t>
            </w:r>
          </w:p>
        </w:tc>
        <w:tc>
          <w:tcPr>
            <w:tcW w:w="860" w:type="dxa"/>
            <w:vAlign w:val="bottom"/>
          </w:tcPr>
          <w:p>
            <w:pPr>
              <w:jc w:val="right"/>
              <w:ind w:right="103"/>
              <w:spacing w:after="0"/>
              <w:rPr>
                <w:sz w:val="20"/>
                <w:szCs w:val="20"/>
                <w:color w:val="auto"/>
              </w:rPr>
            </w:pPr>
            <w:r>
              <w:rPr>
                <w:rFonts w:ascii="Arial" w:cs="Arial" w:eastAsia="Arial" w:hAnsi="Arial"/>
                <w:sz w:val="13"/>
                <w:szCs w:val="13"/>
                <w:color w:val="auto"/>
              </w:rPr>
              <w:t>1,100,809</w:t>
            </w:r>
          </w:p>
        </w:tc>
        <w:tc>
          <w:tcPr>
            <w:tcW w:w="840" w:type="dxa"/>
            <w:vAlign w:val="bottom"/>
          </w:tcPr>
          <w:p>
            <w:pPr>
              <w:jc w:val="right"/>
              <w:ind w:right="123"/>
              <w:spacing w:after="0"/>
              <w:rPr>
                <w:sz w:val="20"/>
                <w:szCs w:val="20"/>
                <w:color w:val="auto"/>
              </w:rPr>
            </w:pPr>
            <w:r>
              <w:rPr>
                <w:rFonts w:ascii="Arial" w:cs="Arial" w:eastAsia="Arial" w:hAnsi="Arial"/>
                <w:sz w:val="13"/>
                <w:szCs w:val="13"/>
                <w:color w:val="auto"/>
              </w:rPr>
              <w:t>1,282,901</w:t>
            </w:r>
          </w:p>
        </w:tc>
        <w:tc>
          <w:tcPr>
            <w:tcW w:w="920" w:type="dxa"/>
            <w:vAlign w:val="bottom"/>
          </w:tcPr>
          <w:p>
            <w:pPr>
              <w:jc w:val="right"/>
              <w:ind w:right="103"/>
              <w:spacing w:after="0"/>
              <w:rPr>
                <w:sz w:val="20"/>
                <w:szCs w:val="20"/>
                <w:color w:val="auto"/>
              </w:rPr>
            </w:pPr>
            <w:r>
              <w:rPr>
                <w:rFonts w:ascii="Arial" w:cs="Arial" w:eastAsia="Arial" w:hAnsi="Arial"/>
                <w:sz w:val="13"/>
                <w:szCs w:val="13"/>
                <w:color w:val="auto"/>
              </w:rPr>
              <w:t>2,318,885</w:t>
            </w:r>
          </w:p>
        </w:tc>
        <w:tc>
          <w:tcPr>
            <w:tcW w:w="680" w:type="dxa"/>
            <w:vAlign w:val="bottom"/>
          </w:tcPr>
          <w:p>
            <w:pPr>
              <w:jc w:val="center"/>
              <w:ind w:left="123"/>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120"/>
              <w:spacing w:after="0"/>
              <w:rPr>
                <w:sz w:val="20"/>
                <w:szCs w:val="20"/>
                <w:color w:val="auto"/>
              </w:rPr>
            </w:pPr>
            <w:r>
              <w:rPr>
                <w:rFonts w:ascii="Arial" w:cs="Arial" w:eastAsia="Arial" w:hAnsi="Arial"/>
                <w:sz w:val="13"/>
                <w:szCs w:val="13"/>
                <w:color w:val="auto"/>
              </w:rPr>
              <w:t>745,000</w:t>
            </w:r>
          </w:p>
        </w:tc>
        <w:tc>
          <w:tcPr>
            <w:tcW w:w="980" w:type="dxa"/>
            <w:vAlign w:val="bottom"/>
          </w:tcPr>
          <w:p>
            <w:pPr>
              <w:jc w:val="right"/>
              <w:ind w:right="102"/>
              <w:spacing w:after="0"/>
              <w:rPr>
                <w:sz w:val="20"/>
                <w:szCs w:val="20"/>
                <w:color w:val="auto"/>
              </w:rPr>
            </w:pPr>
            <w:r>
              <w:rPr>
                <w:rFonts w:ascii="Arial" w:cs="Arial" w:eastAsia="Arial" w:hAnsi="Arial"/>
                <w:sz w:val="13"/>
                <w:szCs w:val="13"/>
                <w:color w:val="auto"/>
              </w:rPr>
              <w:t>50,000</w:t>
            </w:r>
          </w:p>
        </w:tc>
        <w:tc>
          <w:tcPr>
            <w:tcW w:w="840" w:type="dxa"/>
            <w:vAlign w:val="bottom"/>
          </w:tcPr>
          <w:p>
            <w:pPr>
              <w:jc w:val="center"/>
              <w:ind w:left="83"/>
              <w:spacing w:after="0"/>
              <w:rPr>
                <w:sz w:val="20"/>
                <w:szCs w:val="20"/>
                <w:color w:val="auto"/>
              </w:rPr>
            </w:pPr>
            <w:r>
              <w:rPr>
                <w:rFonts w:ascii="Arial" w:cs="Arial" w:eastAsia="Arial" w:hAnsi="Arial"/>
                <w:sz w:val="13"/>
                <w:szCs w:val="13"/>
                <w:color w:val="auto"/>
                <w:w w:val="95"/>
              </w:rPr>
              <w:t>15,000</w:t>
            </w:r>
          </w:p>
        </w:tc>
        <w:tc>
          <w:tcPr>
            <w:tcW w:w="840" w:type="dxa"/>
            <w:vAlign w:val="bottom"/>
          </w:tcPr>
          <w:p>
            <w:pPr>
              <w:ind w:left="280"/>
              <w:spacing w:after="0"/>
              <w:rPr>
                <w:sz w:val="20"/>
                <w:szCs w:val="20"/>
                <w:color w:val="auto"/>
              </w:rPr>
            </w:pPr>
            <w:r>
              <w:rPr>
                <w:rFonts w:ascii="Arial" w:cs="Arial" w:eastAsia="Arial" w:hAnsi="Arial"/>
                <w:sz w:val="13"/>
                <w:szCs w:val="13"/>
                <w:color w:val="auto"/>
              </w:rPr>
              <w:t>53,332</w:t>
            </w:r>
          </w:p>
        </w:tc>
        <w:tc>
          <w:tcPr>
            <w:tcW w:w="940" w:type="dxa"/>
            <w:vAlign w:val="bottom"/>
          </w:tcPr>
          <w:p>
            <w:pPr>
              <w:jc w:val="right"/>
              <w:ind w:right="143"/>
              <w:spacing w:after="0"/>
              <w:rPr>
                <w:sz w:val="20"/>
                <w:szCs w:val="20"/>
                <w:color w:val="auto"/>
              </w:rPr>
            </w:pPr>
            <w:r>
              <w:rPr>
                <w:rFonts w:ascii="Arial" w:cs="Arial" w:eastAsia="Arial" w:hAnsi="Arial"/>
                <w:sz w:val="13"/>
                <w:szCs w:val="13"/>
                <w:color w:val="auto"/>
              </w:rPr>
              <w:t>5,447,595</w:t>
            </w:r>
          </w:p>
        </w:tc>
        <w:tc>
          <w:tcPr>
            <w:tcW w:w="900" w:type="dxa"/>
            <w:vAlign w:val="bottom"/>
          </w:tcPr>
          <w:p>
            <w:pPr>
              <w:jc w:val="right"/>
              <w:ind w:right="3"/>
              <w:spacing w:after="0"/>
              <w:rPr>
                <w:sz w:val="20"/>
                <w:szCs w:val="20"/>
                <w:color w:val="auto"/>
              </w:rPr>
            </w:pPr>
            <w:r>
              <w:rPr>
                <w:rFonts w:ascii="Arial" w:cs="Arial" w:eastAsia="Arial" w:hAnsi="Arial"/>
                <w:sz w:val="13"/>
                <w:szCs w:val="13"/>
                <w:color w:val="auto"/>
              </w:rPr>
              <w:t>8,855,667</w:t>
            </w:r>
          </w:p>
        </w:tc>
      </w:tr>
      <w:tr>
        <w:trPr>
          <w:trHeight w:val="22"/>
        </w:trPr>
        <w:tc>
          <w:tcPr>
            <w:tcW w:w="1420" w:type="dxa"/>
            <w:vAlign w:val="bottom"/>
            <w:tcBorders>
              <w:bottom w:val="single" w:sz="8" w:color="BCBEC0"/>
            </w:tcBorders>
          </w:tcPr>
          <w:p>
            <w:pPr>
              <w:spacing w:after="0" w:line="20" w:lineRule="exact"/>
              <w:rPr>
                <w:sz w:val="1"/>
                <w:szCs w:val="1"/>
                <w:color w:val="auto"/>
              </w:rPr>
            </w:pPr>
          </w:p>
        </w:tc>
        <w:tc>
          <w:tcPr>
            <w:tcW w:w="1000" w:type="dxa"/>
            <w:vAlign w:val="bottom"/>
            <w:tcBorders>
              <w:bottom w:val="single" w:sz="8" w:color="BCBEC0"/>
            </w:tcBorders>
          </w:tcPr>
          <w:p>
            <w:pPr>
              <w:spacing w:after="0" w:line="20" w:lineRule="exact"/>
              <w:rPr>
                <w:sz w:val="1"/>
                <w:szCs w:val="1"/>
                <w:color w:val="auto"/>
              </w:rPr>
            </w:pPr>
          </w:p>
        </w:tc>
        <w:tc>
          <w:tcPr>
            <w:tcW w:w="860" w:type="dxa"/>
            <w:vAlign w:val="bottom"/>
            <w:tcBorders>
              <w:bottom w:val="single" w:sz="8" w:color="BCBEC0"/>
            </w:tcBorders>
          </w:tcPr>
          <w:p>
            <w:pPr>
              <w:spacing w:after="0" w:line="20" w:lineRule="exact"/>
              <w:rPr>
                <w:sz w:val="1"/>
                <w:szCs w:val="1"/>
                <w:color w:val="auto"/>
              </w:rPr>
            </w:pPr>
          </w:p>
        </w:tc>
        <w:tc>
          <w:tcPr>
            <w:tcW w:w="840" w:type="dxa"/>
            <w:vAlign w:val="bottom"/>
            <w:tcBorders>
              <w:bottom w:val="single" w:sz="8" w:color="BCBEC0"/>
            </w:tcBorders>
          </w:tcPr>
          <w:p>
            <w:pPr>
              <w:spacing w:after="0" w:line="20" w:lineRule="exact"/>
              <w:rPr>
                <w:sz w:val="1"/>
                <w:szCs w:val="1"/>
                <w:color w:val="auto"/>
              </w:rPr>
            </w:pPr>
          </w:p>
        </w:tc>
        <w:tc>
          <w:tcPr>
            <w:tcW w:w="920" w:type="dxa"/>
            <w:vAlign w:val="bottom"/>
            <w:tcBorders>
              <w:bottom w:val="single" w:sz="8" w:color="BCBEC0"/>
            </w:tcBorders>
          </w:tcPr>
          <w:p>
            <w:pPr>
              <w:spacing w:after="0" w:line="20" w:lineRule="exact"/>
              <w:rPr>
                <w:sz w:val="1"/>
                <w:szCs w:val="1"/>
                <w:color w:val="auto"/>
              </w:rPr>
            </w:pPr>
          </w:p>
        </w:tc>
        <w:tc>
          <w:tcPr>
            <w:tcW w:w="680" w:type="dxa"/>
            <w:vAlign w:val="bottom"/>
            <w:tcBorders>
              <w:bottom w:val="single" w:sz="8" w:color="BCBEC0"/>
            </w:tcBorders>
          </w:tcPr>
          <w:p>
            <w:pPr>
              <w:spacing w:after="0" w:line="20" w:lineRule="exact"/>
              <w:rPr>
                <w:sz w:val="1"/>
                <w:szCs w:val="1"/>
                <w:color w:val="auto"/>
              </w:rPr>
            </w:pPr>
          </w:p>
        </w:tc>
        <w:tc>
          <w:tcPr>
            <w:tcW w:w="1020" w:type="dxa"/>
            <w:vAlign w:val="bottom"/>
            <w:tcBorders>
              <w:bottom w:val="single" w:sz="8" w:color="BCBEC0"/>
            </w:tcBorders>
          </w:tcPr>
          <w:p>
            <w:pPr>
              <w:spacing w:after="0" w:line="20" w:lineRule="exact"/>
              <w:rPr>
                <w:sz w:val="1"/>
                <w:szCs w:val="1"/>
                <w:color w:val="auto"/>
              </w:rPr>
            </w:pPr>
          </w:p>
        </w:tc>
        <w:tc>
          <w:tcPr>
            <w:tcW w:w="980" w:type="dxa"/>
            <w:vAlign w:val="bottom"/>
            <w:tcBorders>
              <w:bottom w:val="single" w:sz="8" w:color="BCBEC0"/>
            </w:tcBorders>
          </w:tcPr>
          <w:p>
            <w:pPr>
              <w:spacing w:after="0" w:line="20" w:lineRule="exact"/>
              <w:rPr>
                <w:sz w:val="1"/>
                <w:szCs w:val="1"/>
                <w:color w:val="auto"/>
              </w:rPr>
            </w:pPr>
          </w:p>
        </w:tc>
        <w:tc>
          <w:tcPr>
            <w:tcW w:w="840" w:type="dxa"/>
            <w:vAlign w:val="bottom"/>
            <w:tcBorders>
              <w:bottom w:val="single" w:sz="8" w:color="BCBEC0"/>
            </w:tcBorders>
          </w:tcPr>
          <w:p>
            <w:pPr>
              <w:spacing w:after="0" w:line="20" w:lineRule="exact"/>
              <w:rPr>
                <w:sz w:val="1"/>
                <w:szCs w:val="1"/>
                <w:color w:val="auto"/>
              </w:rPr>
            </w:pPr>
          </w:p>
        </w:tc>
        <w:tc>
          <w:tcPr>
            <w:tcW w:w="840" w:type="dxa"/>
            <w:vAlign w:val="bottom"/>
            <w:tcBorders>
              <w:bottom w:val="single" w:sz="8" w:color="BCBEC0"/>
            </w:tcBorders>
          </w:tcPr>
          <w:p>
            <w:pPr>
              <w:spacing w:after="0" w:line="20" w:lineRule="exact"/>
              <w:rPr>
                <w:sz w:val="1"/>
                <w:szCs w:val="1"/>
                <w:color w:val="auto"/>
              </w:rPr>
            </w:pPr>
          </w:p>
        </w:tc>
        <w:tc>
          <w:tcPr>
            <w:tcW w:w="940" w:type="dxa"/>
            <w:vAlign w:val="bottom"/>
            <w:tcBorders>
              <w:bottom w:val="single" w:sz="8" w:color="BCBEC0"/>
            </w:tcBorders>
          </w:tcPr>
          <w:p>
            <w:pPr>
              <w:spacing w:after="0" w:line="20" w:lineRule="exact"/>
              <w:rPr>
                <w:sz w:val="1"/>
                <w:szCs w:val="1"/>
                <w:color w:val="auto"/>
              </w:rPr>
            </w:pPr>
          </w:p>
        </w:tc>
        <w:tc>
          <w:tcPr>
            <w:tcW w:w="900" w:type="dxa"/>
            <w:vAlign w:val="bottom"/>
            <w:tcBorders>
              <w:bottom w:val="single" w:sz="8" w:color="BCBEC0"/>
            </w:tcBorders>
          </w:tcPr>
          <w:p>
            <w:pPr>
              <w:spacing w:after="0" w:line="20" w:lineRule="exact"/>
              <w:rPr>
                <w:sz w:val="1"/>
                <w:szCs w:val="1"/>
                <w:color w:val="auto"/>
              </w:rPr>
            </w:pPr>
          </w:p>
        </w:tc>
      </w:tr>
      <w:tr>
        <w:trPr>
          <w:trHeight w:val="188"/>
        </w:trPr>
        <w:tc>
          <w:tcPr>
            <w:tcW w:w="1420" w:type="dxa"/>
            <w:vAlign w:val="bottom"/>
          </w:tcPr>
          <w:p>
            <w:pPr>
              <w:ind w:left="20"/>
              <w:spacing w:after="0"/>
              <w:rPr>
                <w:sz w:val="20"/>
                <w:szCs w:val="20"/>
                <w:color w:val="auto"/>
              </w:rPr>
            </w:pPr>
            <w:r>
              <w:rPr>
                <w:rFonts w:ascii="Arial" w:cs="Arial" w:eastAsia="Arial" w:hAnsi="Arial"/>
                <w:sz w:val="13"/>
                <w:szCs w:val="13"/>
                <w:b w:val="1"/>
                <w:bCs w:val="1"/>
                <w:color w:val="0C3471"/>
              </w:rPr>
              <w:t>Jerome O. Pedretti</w:t>
            </w:r>
          </w:p>
        </w:tc>
        <w:tc>
          <w:tcPr>
            <w:tcW w:w="1000" w:type="dxa"/>
            <w:vAlign w:val="bottom"/>
          </w:tcPr>
          <w:p>
            <w:pPr>
              <w:ind w:left="260"/>
              <w:spacing w:after="0"/>
              <w:rPr>
                <w:sz w:val="20"/>
                <w:szCs w:val="20"/>
                <w:color w:val="auto"/>
              </w:rPr>
            </w:pPr>
            <w:r>
              <w:rPr>
                <w:rFonts w:ascii="Arial" w:cs="Arial" w:eastAsia="Arial" w:hAnsi="Arial"/>
                <w:sz w:val="13"/>
                <w:szCs w:val="13"/>
                <w:color w:val="auto"/>
              </w:rPr>
              <w:t>2,784,154</w:t>
            </w:r>
          </w:p>
        </w:tc>
        <w:tc>
          <w:tcPr>
            <w:tcW w:w="860" w:type="dxa"/>
            <w:vAlign w:val="bottom"/>
          </w:tcPr>
          <w:p>
            <w:pPr>
              <w:jc w:val="right"/>
              <w:ind w:right="103"/>
              <w:spacing w:after="0"/>
              <w:rPr>
                <w:sz w:val="20"/>
                <w:szCs w:val="20"/>
                <w:color w:val="auto"/>
              </w:rPr>
            </w:pPr>
            <w:r>
              <w:rPr>
                <w:rFonts w:ascii="Arial" w:cs="Arial" w:eastAsia="Arial" w:hAnsi="Arial"/>
                <w:sz w:val="13"/>
                <w:szCs w:val="13"/>
                <w:color w:val="auto"/>
              </w:rPr>
              <w:t>883,468</w:t>
            </w:r>
          </w:p>
        </w:tc>
        <w:tc>
          <w:tcPr>
            <w:tcW w:w="840" w:type="dxa"/>
            <w:vAlign w:val="bottom"/>
          </w:tcPr>
          <w:p>
            <w:pPr>
              <w:jc w:val="right"/>
              <w:ind w:right="123"/>
              <w:spacing w:after="0"/>
              <w:rPr>
                <w:sz w:val="20"/>
                <w:szCs w:val="20"/>
                <w:color w:val="auto"/>
              </w:rPr>
            </w:pPr>
            <w:r>
              <w:rPr>
                <w:rFonts w:ascii="Arial" w:cs="Arial" w:eastAsia="Arial" w:hAnsi="Arial"/>
                <w:sz w:val="13"/>
                <w:szCs w:val="13"/>
                <w:color w:val="auto"/>
              </w:rPr>
              <w:t>1,034,110</w:t>
            </w:r>
          </w:p>
        </w:tc>
        <w:tc>
          <w:tcPr>
            <w:tcW w:w="920" w:type="dxa"/>
            <w:vAlign w:val="bottom"/>
          </w:tcPr>
          <w:p>
            <w:pPr>
              <w:jc w:val="right"/>
              <w:ind w:right="103"/>
              <w:spacing w:after="0"/>
              <w:rPr>
                <w:sz w:val="20"/>
                <w:szCs w:val="20"/>
                <w:color w:val="auto"/>
              </w:rPr>
            </w:pPr>
            <w:r>
              <w:rPr>
                <w:rFonts w:ascii="Arial" w:cs="Arial" w:eastAsia="Arial" w:hAnsi="Arial"/>
                <w:sz w:val="13"/>
                <w:szCs w:val="13"/>
                <w:color w:val="auto"/>
              </w:rPr>
              <w:t>1,873,270</w:t>
            </w:r>
          </w:p>
        </w:tc>
        <w:tc>
          <w:tcPr>
            <w:tcW w:w="680" w:type="dxa"/>
            <w:vAlign w:val="bottom"/>
          </w:tcPr>
          <w:p>
            <w:pPr>
              <w:jc w:val="center"/>
              <w:ind w:left="123"/>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120"/>
              <w:spacing w:after="0"/>
              <w:rPr>
                <w:sz w:val="20"/>
                <w:szCs w:val="20"/>
                <w:color w:val="auto"/>
              </w:rPr>
            </w:pPr>
            <w:r>
              <w:rPr>
                <w:rFonts w:ascii="Arial" w:cs="Arial" w:eastAsia="Arial" w:hAnsi="Arial"/>
                <w:sz w:val="13"/>
                <w:szCs w:val="13"/>
                <w:color w:val="auto"/>
              </w:rPr>
              <w:t>540,000</w:t>
            </w:r>
          </w:p>
        </w:tc>
        <w:tc>
          <w:tcPr>
            <w:tcW w:w="980" w:type="dxa"/>
            <w:vAlign w:val="bottom"/>
          </w:tcPr>
          <w:p>
            <w:pPr>
              <w:jc w:val="right"/>
              <w:ind w:right="102"/>
              <w:spacing w:after="0"/>
              <w:rPr>
                <w:sz w:val="20"/>
                <w:szCs w:val="20"/>
                <w:color w:val="auto"/>
              </w:rPr>
            </w:pPr>
            <w:r>
              <w:rPr>
                <w:rFonts w:ascii="Arial" w:cs="Arial" w:eastAsia="Arial" w:hAnsi="Arial"/>
                <w:sz w:val="13"/>
                <w:szCs w:val="13"/>
                <w:color w:val="auto"/>
              </w:rPr>
              <w:t>50,000</w:t>
            </w:r>
          </w:p>
        </w:tc>
        <w:tc>
          <w:tcPr>
            <w:tcW w:w="840" w:type="dxa"/>
            <w:vAlign w:val="bottom"/>
          </w:tcPr>
          <w:p>
            <w:pPr>
              <w:jc w:val="center"/>
              <w:ind w:left="83"/>
              <w:spacing w:after="0"/>
              <w:rPr>
                <w:sz w:val="20"/>
                <w:szCs w:val="20"/>
                <w:color w:val="auto"/>
              </w:rPr>
            </w:pPr>
            <w:r>
              <w:rPr>
                <w:rFonts w:ascii="Arial" w:cs="Arial" w:eastAsia="Arial" w:hAnsi="Arial"/>
                <w:sz w:val="13"/>
                <w:szCs w:val="13"/>
                <w:color w:val="auto"/>
                <w:w w:val="95"/>
              </w:rPr>
              <w:t>15,000</w:t>
            </w:r>
          </w:p>
        </w:tc>
        <w:tc>
          <w:tcPr>
            <w:tcW w:w="840" w:type="dxa"/>
            <w:vAlign w:val="bottom"/>
          </w:tcPr>
          <w:p>
            <w:pPr>
              <w:ind w:left="280"/>
              <w:spacing w:after="0"/>
              <w:rPr>
                <w:sz w:val="20"/>
                <w:szCs w:val="20"/>
                <w:color w:val="auto"/>
              </w:rPr>
            </w:pPr>
            <w:r>
              <w:rPr>
                <w:rFonts w:ascii="Arial" w:cs="Arial" w:eastAsia="Arial" w:hAnsi="Arial"/>
                <w:sz w:val="13"/>
                <w:szCs w:val="13"/>
                <w:color w:val="auto"/>
              </w:rPr>
              <w:t>45,868</w:t>
            </w:r>
          </w:p>
        </w:tc>
        <w:tc>
          <w:tcPr>
            <w:tcW w:w="940" w:type="dxa"/>
            <w:vAlign w:val="bottom"/>
          </w:tcPr>
          <w:p>
            <w:pPr>
              <w:jc w:val="right"/>
              <w:ind w:right="143"/>
              <w:spacing w:after="0"/>
              <w:rPr>
                <w:sz w:val="20"/>
                <w:szCs w:val="20"/>
                <w:color w:val="auto"/>
              </w:rPr>
            </w:pPr>
            <w:r>
              <w:rPr>
                <w:rFonts w:ascii="Arial" w:cs="Arial" w:eastAsia="Arial" w:hAnsi="Arial"/>
                <w:sz w:val="13"/>
                <w:szCs w:val="13"/>
                <w:color w:val="auto"/>
              </w:rPr>
              <w:t>4,330,849</w:t>
            </w:r>
          </w:p>
        </w:tc>
        <w:tc>
          <w:tcPr>
            <w:tcW w:w="900" w:type="dxa"/>
            <w:vAlign w:val="bottom"/>
          </w:tcPr>
          <w:p>
            <w:pPr>
              <w:jc w:val="right"/>
              <w:ind w:right="3"/>
              <w:spacing w:after="0"/>
              <w:rPr>
                <w:sz w:val="20"/>
                <w:szCs w:val="20"/>
                <w:color w:val="auto"/>
              </w:rPr>
            </w:pPr>
            <w:r>
              <w:rPr>
                <w:rFonts w:ascii="Arial" w:cs="Arial" w:eastAsia="Arial" w:hAnsi="Arial"/>
                <w:sz w:val="13"/>
                <w:szCs w:val="13"/>
                <w:color w:val="auto"/>
              </w:rPr>
              <w:t>7,225,871</w:t>
            </w:r>
          </w:p>
        </w:tc>
      </w:tr>
      <w:tr>
        <w:trPr>
          <w:trHeight w:val="22"/>
        </w:trPr>
        <w:tc>
          <w:tcPr>
            <w:tcW w:w="1420" w:type="dxa"/>
            <w:vAlign w:val="bottom"/>
            <w:tcBorders>
              <w:bottom w:val="single" w:sz="8" w:color="BCBEC0"/>
            </w:tcBorders>
          </w:tcPr>
          <w:p>
            <w:pPr>
              <w:spacing w:after="0" w:line="20" w:lineRule="exact"/>
              <w:rPr>
                <w:sz w:val="1"/>
                <w:szCs w:val="1"/>
                <w:color w:val="auto"/>
              </w:rPr>
            </w:pPr>
          </w:p>
        </w:tc>
        <w:tc>
          <w:tcPr>
            <w:tcW w:w="1000" w:type="dxa"/>
            <w:vAlign w:val="bottom"/>
            <w:tcBorders>
              <w:bottom w:val="single" w:sz="8" w:color="BCBEC0"/>
            </w:tcBorders>
          </w:tcPr>
          <w:p>
            <w:pPr>
              <w:spacing w:after="0" w:line="20" w:lineRule="exact"/>
              <w:rPr>
                <w:sz w:val="1"/>
                <w:szCs w:val="1"/>
                <w:color w:val="auto"/>
              </w:rPr>
            </w:pPr>
          </w:p>
        </w:tc>
        <w:tc>
          <w:tcPr>
            <w:tcW w:w="860" w:type="dxa"/>
            <w:vAlign w:val="bottom"/>
            <w:tcBorders>
              <w:bottom w:val="single" w:sz="8" w:color="BCBEC0"/>
            </w:tcBorders>
          </w:tcPr>
          <w:p>
            <w:pPr>
              <w:spacing w:after="0" w:line="20" w:lineRule="exact"/>
              <w:rPr>
                <w:sz w:val="1"/>
                <w:szCs w:val="1"/>
                <w:color w:val="auto"/>
              </w:rPr>
            </w:pPr>
          </w:p>
        </w:tc>
        <w:tc>
          <w:tcPr>
            <w:tcW w:w="840" w:type="dxa"/>
            <w:vAlign w:val="bottom"/>
            <w:tcBorders>
              <w:bottom w:val="single" w:sz="8" w:color="BCBEC0"/>
            </w:tcBorders>
          </w:tcPr>
          <w:p>
            <w:pPr>
              <w:spacing w:after="0" w:line="20" w:lineRule="exact"/>
              <w:rPr>
                <w:sz w:val="1"/>
                <w:szCs w:val="1"/>
                <w:color w:val="auto"/>
              </w:rPr>
            </w:pPr>
          </w:p>
        </w:tc>
        <w:tc>
          <w:tcPr>
            <w:tcW w:w="920" w:type="dxa"/>
            <w:vAlign w:val="bottom"/>
            <w:tcBorders>
              <w:bottom w:val="single" w:sz="8" w:color="BCBEC0"/>
            </w:tcBorders>
          </w:tcPr>
          <w:p>
            <w:pPr>
              <w:spacing w:after="0" w:line="20" w:lineRule="exact"/>
              <w:rPr>
                <w:sz w:val="1"/>
                <w:szCs w:val="1"/>
                <w:color w:val="auto"/>
              </w:rPr>
            </w:pPr>
          </w:p>
        </w:tc>
        <w:tc>
          <w:tcPr>
            <w:tcW w:w="680" w:type="dxa"/>
            <w:vAlign w:val="bottom"/>
            <w:tcBorders>
              <w:bottom w:val="single" w:sz="8" w:color="BCBEC0"/>
            </w:tcBorders>
          </w:tcPr>
          <w:p>
            <w:pPr>
              <w:spacing w:after="0" w:line="20" w:lineRule="exact"/>
              <w:rPr>
                <w:sz w:val="1"/>
                <w:szCs w:val="1"/>
                <w:color w:val="auto"/>
              </w:rPr>
            </w:pPr>
          </w:p>
        </w:tc>
        <w:tc>
          <w:tcPr>
            <w:tcW w:w="1020" w:type="dxa"/>
            <w:vAlign w:val="bottom"/>
            <w:tcBorders>
              <w:bottom w:val="single" w:sz="8" w:color="BCBEC0"/>
            </w:tcBorders>
          </w:tcPr>
          <w:p>
            <w:pPr>
              <w:spacing w:after="0" w:line="20" w:lineRule="exact"/>
              <w:rPr>
                <w:sz w:val="1"/>
                <w:szCs w:val="1"/>
                <w:color w:val="auto"/>
              </w:rPr>
            </w:pPr>
          </w:p>
        </w:tc>
        <w:tc>
          <w:tcPr>
            <w:tcW w:w="980" w:type="dxa"/>
            <w:vAlign w:val="bottom"/>
            <w:tcBorders>
              <w:bottom w:val="single" w:sz="8" w:color="BCBEC0"/>
            </w:tcBorders>
          </w:tcPr>
          <w:p>
            <w:pPr>
              <w:spacing w:after="0" w:line="20" w:lineRule="exact"/>
              <w:rPr>
                <w:sz w:val="1"/>
                <w:szCs w:val="1"/>
                <w:color w:val="auto"/>
              </w:rPr>
            </w:pPr>
          </w:p>
        </w:tc>
        <w:tc>
          <w:tcPr>
            <w:tcW w:w="840" w:type="dxa"/>
            <w:vAlign w:val="bottom"/>
            <w:tcBorders>
              <w:bottom w:val="single" w:sz="8" w:color="BCBEC0"/>
            </w:tcBorders>
          </w:tcPr>
          <w:p>
            <w:pPr>
              <w:spacing w:after="0" w:line="20" w:lineRule="exact"/>
              <w:rPr>
                <w:sz w:val="1"/>
                <w:szCs w:val="1"/>
                <w:color w:val="auto"/>
              </w:rPr>
            </w:pPr>
          </w:p>
        </w:tc>
        <w:tc>
          <w:tcPr>
            <w:tcW w:w="840" w:type="dxa"/>
            <w:vAlign w:val="bottom"/>
            <w:tcBorders>
              <w:bottom w:val="single" w:sz="8" w:color="BCBEC0"/>
            </w:tcBorders>
          </w:tcPr>
          <w:p>
            <w:pPr>
              <w:spacing w:after="0" w:line="20" w:lineRule="exact"/>
              <w:rPr>
                <w:sz w:val="1"/>
                <w:szCs w:val="1"/>
                <w:color w:val="auto"/>
              </w:rPr>
            </w:pPr>
          </w:p>
        </w:tc>
        <w:tc>
          <w:tcPr>
            <w:tcW w:w="940" w:type="dxa"/>
            <w:vAlign w:val="bottom"/>
            <w:tcBorders>
              <w:bottom w:val="single" w:sz="8" w:color="BCBEC0"/>
            </w:tcBorders>
          </w:tcPr>
          <w:p>
            <w:pPr>
              <w:spacing w:after="0" w:line="20" w:lineRule="exact"/>
              <w:rPr>
                <w:sz w:val="1"/>
                <w:szCs w:val="1"/>
                <w:color w:val="auto"/>
              </w:rPr>
            </w:pPr>
          </w:p>
        </w:tc>
        <w:tc>
          <w:tcPr>
            <w:tcW w:w="900" w:type="dxa"/>
            <w:vAlign w:val="bottom"/>
            <w:tcBorders>
              <w:bottom w:val="single" w:sz="8" w:color="BCBEC0"/>
            </w:tcBorders>
          </w:tcPr>
          <w:p>
            <w:pPr>
              <w:spacing w:after="0" w:line="20" w:lineRule="exact"/>
              <w:rPr>
                <w:sz w:val="1"/>
                <w:szCs w:val="1"/>
                <w:color w:val="auto"/>
              </w:rPr>
            </w:pPr>
          </w:p>
        </w:tc>
      </w:tr>
      <w:tr>
        <w:trPr>
          <w:trHeight w:val="188"/>
        </w:trPr>
        <w:tc>
          <w:tcPr>
            <w:tcW w:w="1420" w:type="dxa"/>
            <w:vAlign w:val="bottom"/>
          </w:tcPr>
          <w:p>
            <w:pPr>
              <w:ind w:left="20"/>
              <w:spacing w:after="0"/>
              <w:rPr>
                <w:sz w:val="20"/>
                <w:szCs w:val="20"/>
                <w:color w:val="auto"/>
              </w:rPr>
            </w:pPr>
            <w:r>
              <w:rPr>
                <w:rFonts w:ascii="Arial" w:cs="Arial" w:eastAsia="Arial" w:hAnsi="Arial"/>
                <w:sz w:val="13"/>
                <w:szCs w:val="13"/>
                <w:b w:val="1"/>
                <w:bCs w:val="1"/>
                <w:color w:val="0C3471"/>
              </w:rPr>
              <w:t>De’Mon L. Wiggins</w:t>
            </w:r>
          </w:p>
        </w:tc>
        <w:tc>
          <w:tcPr>
            <w:tcW w:w="1000" w:type="dxa"/>
            <w:vAlign w:val="bottom"/>
          </w:tcPr>
          <w:p>
            <w:pPr>
              <w:ind w:left="260"/>
              <w:spacing w:after="0"/>
              <w:rPr>
                <w:sz w:val="20"/>
                <w:szCs w:val="20"/>
                <w:color w:val="auto"/>
              </w:rPr>
            </w:pPr>
            <w:r>
              <w:rPr>
                <w:rFonts w:ascii="Arial" w:cs="Arial" w:eastAsia="Arial" w:hAnsi="Arial"/>
                <w:sz w:val="13"/>
                <w:szCs w:val="13"/>
                <w:color w:val="auto"/>
              </w:rPr>
              <w:t>2,452,768</w:t>
            </w:r>
          </w:p>
        </w:tc>
        <w:tc>
          <w:tcPr>
            <w:tcW w:w="860" w:type="dxa"/>
            <w:vAlign w:val="bottom"/>
          </w:tcPr>
          <w:p>
            <w:pPr>
              <w:jc w:val="right"/>
              <w:ind w:right="103"/>
              <w:spacing w:after="0"/>
              <w:rPr>
                <w:sz w:val="20"/>
                <w:szCs w:val="20"/>
                <w:color w:val="auto"/>
              </w:rPr>
            </w:pPr>
            <w:r>
              <w:rPr>
                <w:rFonts w:ascii="Arial" w:cs="Arial" w:eastAsia="Arial" w:hAnsi="Arial"/>
                <w:sz w:val="13"/>
                <w:szCs w:val="13"/>
                <w:color w:val="auto"/>
              </w:rPr>
              <w:t>675,743</w:t>
            </w:r>
          </w:p>
        </w:tc>
        <w:tc>
          <w:tcPr>
            <w:tcW w:w="840" w:type="dxa"/>
            <w:vAlign w:val="bottom"/>
          </w:tcPr>
          <w:p>
            <w:pPr>
              <w:jc w:val="right"/>
              <w:ind w:right="123"/>
              <w:spacing w:after="0"/>
              <w:rPr>
                <w:sz w:val="20"/>
                <w:szCs w:val="20"/>
                <w:color w:val="auto"/>
              </w:rPr>
            </w:pPr>
            <w:r>
              <w:rPr>
                <w:rFonts w:ascii="Arial" w:cs="Arial" w:eastAsia="Arial" w:hAnsi="Arial"/>
                <w:sz w:val="13"/>
                <w:szCs w:val="13"/>
                <w:color w:val="auto"/>
              </w:rPr>
              <w:t>852,802</w:t>
            </w:r>
          </w:p>
        </w:tc>
        <w:tc>
          <w:tcPr>
            <w:tcW w:w="920" w:type="dxa"/>
            <w:vAlign w:val="bottom"/>
          </w:tcPr>
          <w:p>
            <w:pPr>
              <w:jc w:val="right"/>
              <w:ind w:right="103"/>
              <w:spacing w:after="0"/>
              <w:rPr>
                <w:sz w:val="20"/>
                <w:szCs w:val="20"/>
                <w:color w:val="auto"/>
              </w:rPr>
            </w:pPr>
            <w:r>
              <w:rPr>
                <w:rFonts w:ascii="Arial" w:cs="Arial" w:eastAsia="Arial" w:hAnsi="Arial"/>
                <w:sz w:val="13"/>
                <w:szCs w:val="13"/>
                <w:color w:val="auto"/>
              </w:rPr>
              <w:t>1,607,088</w:t>
            </w:r>
          </w:p>
        </w:tc>
        <w:tc>
          <w:tcPr>
            <w:tcW w:w="680" w:type="dxa"/>
            <w:vAlign w:val="bottom"/>
          </w:tcPr>
          <w:p>
            <w:pPr>
              <w:jc w:val="center"/>
              <w:ind w:left="123"/>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120"/>
              <w:spacing w:after="0"/>
              <w:rPr>
                <w:sz w:val="20"/>
                <w:szCs w:val="20"/>
                <w:color w:val="auto"/>
              </w:rPr>
            </w:pPr>
            <w:r>
              <w:rPr>
                <w:rFonts w:ascii="Arial" w:cs="Arial" w:eastAsia="Arial" w:hAnsi="Arial"/>
                <w:sz w:val="13"/>
                <w:szCs w:val="13"/>
                <w:color w:val="auto"/>
              </w:rPr>
              <w:t>480,000</w:t>
            </w:r>
          </w:p>
        </w:tc>
        <w:tc>
          <w:tcPr>
            <w:tcW w:w="980" w:type="dxa"/>
            <w:vAlign w:val="bottom"/>
          </w:tcPr>
          <w:p>
            <w:pPr>
              <w:jc w:val="right"/>
              <w:ind w:right="102"/>
              <w:spacing w:after="0"/>
              <w:rPr>
                <w:sz w:val="20"/>
                <w:szCs w:val="20"/>
                <w:color w:val="auto"/>
              </w:rPr>
            </w:pPr>
            <w:r>
              <w:rPr>
                <w:rFonts w:ascii="Arial" w:cs="Arial" w:eastAsia="Arial" w:hAnsi="Arial"/>
                <w:sz w:val="13"/>
                <w:szCs w:val="13"/>
                <w:color w:val="auto"/>
              </w:rPr>
              <w:t>50,000</w:t>
            </w:r>
          </w:p>
        </w:tc>
        <w:tc>
          <w:tcPr>
            <w:tcW w:w="840" w:type="dxa"/>
            <w:vAlign w:val="bottom"/>
          </w:tcPr>
          <w:p>
            <w:pPr>
              <w:jc w:val="center"/>
              <w:ind w:left="83"/>
              <w:spacing w:after="0"/>
              <w:rPr>
                <w:sz w:val="20"/>
                <w:szCs w:val="20"/>
                <w:color w:val="auto"/>
              </w:rPr>
            </w:pPr>
            <w:r>
              <w:rPr>
                <w:rFonts w:ascii="Arial" w:cs="Arial" w:eastAsia="Arial" w:hAnsi="Arial"/>
                <w:sz w:val="13"/>
                <w:szCs w:val="13"/>
                <w:color w:val="auto"/>
                <w:w w:val="95"/>
              </w:rPr>
              <w:t>15,000</w:t>
            </w:r>
          </w:p>
        </w:tc>
        <w:tc>
          <w:tcPr>
            <w:tcW w:w="840" w:type="dxa"/>
            <w:vAlign w:val="bottom"/>
          </w:tcPr>
          <w:p>
            <w:pPr>
              <w:ind w:left="280"/>
              <w:spacing w:after="0"/>
              <w:rPr>
                <w:sz w:val="20"/>
                <w:szCs w:val="20"/>
                <w:color w:val="auto"/>
              </w:rPr>
            </w:pPr>
            <w:r>
              <w:rPr>
                <w:rFonts w:ascii="Arial" w:cs="Arial" w:eastAsia="Arial" w:hAnsi="Arial"/>
                <w:sz w:val="13"/>
                <w:szCs w:val="13"/>
                <w:color w:val="auto"/>
              </w:rPr>
              <w:t>52,977</w:t>
            </w:r>
          </w:p>
        </w:tc>
        <w:tc>
          <w:tcPr>
            <w:tcW w:w="940" w:type="dxa"/>
            <w:vAlign w:val="bottom"/>
          </w:tcPr>
          <w:p>
            <w:pPr>
              <w:jc w:val="right"/>
              <w:ind w:right="143"/>
              <w:spacing w:after="0"/>
              <w:rPr>
                <w:sz w:val="20"/>
                <w:szCs w:val="20"/>
                <w:color w:val="auto"/>
              </w:rPr>
            </w:pPr>
            <w:r>
              <w:rPr>
                <w:rFonts w:ascii="Arial" w:cs="Arial" w:eastAsia="Arial" w:hAnsi="Arial"/>
                <w:sz w:val="13"/>
                <w:szCs w:val="13"/>
                <w:color w:val="auto"/>
              </w:rPr>
              <w:t>3,615,634</w:t>
            </w:r>
          </w:p>
        </w:tc>
        <w:tc>
          <w:tcPr>
            <w:tcW w:w="900" w:type="dxa"/>
            <w:vAlign w:val="bottom"/>
          </w:tcPr>
          <w:p>
            <w:pPr>
              <w:jc w:val="right"/>
              <w:ind w:right="3"/>
              <w:spacing w:after="0"/>
              <w:rPr>
                <w:sz w:val="20"/>
                <w:szCs w:val="20"/>
                <w:color w:val="auto"/>
              </w:rPr>
            </w:pPr>
            <w:r>
              <w:rPr>
                <w:rFonts w:ascii="Arial" w:cs="Arial" w:eastAsia="Arial" w:hAnsi="Arial"/>
                <w:sz w:val="13"/>
                <w:szCs w:val="13"/>
                <w:color w:val="auto"/>
              </w:rPr>
              <w:t>6,186,379</w:t>
            </w:r>
          </w:p>
        </w:tc>
      </w:tr>
      <w:tr>
        <w:trPr>
          <w:trHeight w:val="22"/>
        </w:trPr>
        <w:tc>
          <w:tcPr>
            <w:tcW w:w="1420" w:type="dxa"/>
            <w:vAlign w:val="bottom"/>
            <w:tcBorders>
              <w:bottom w:val="single" w:sz="8" w:color="BCBEC0"/>
            </w:tcBorders>
          </w:tcPr>
          <w:p>
            <w:pPr>
              <w:spacing w:after="0" w:line="20" w:lineRule="exact"/>
              <w:rPr>
                <w:sz w:val="1"/>
                <w:szCs w:val="1"/>
                <w:color w:val="auto"/>
              </w:rPr>
            </w:pPr>
          </w:p>
        </w:tc>
        <w:tc>
          <w:tcPr>
            <w:tcW w:w="1000" w:type="dxa"/>
            <w:vAlign w:val="bottom"/>
            <w:tcBorders>
              <w:bottom w:val="single" w:sz="8" w:color="BCBEC0"/>
            </w:tcBorders>
          </w:tcPr>
          <w:p>
            <w:pPr>
              <w:spacing w:after="0" w:line="20" w:lineRule="exact"/>
              <w:rPr>
                <w:sz w:val="1"/>
                <w:szCs w:val="1"/>
                <w:color w:val="auto"/>
              </w:rPr>
            </w:pPr>
          </w:p>
        </w:tc>
        <w:tc>
          <w:tcPr>
            <w:tcW w:w="860" w:type="dxa"/>
            <w:vAlign w:val="bottom"/>
            <w:tcBorders>
              <w:bottom w:val="single" w:sz="8" w:color="BCBEC0"/>
            </w:tcBorders>
          </w:tcPr>
          <w:p>
            <w:pPr>
              <w:spacing w:after="0" w:line="20" w:lineRule="exact"/>
              <w:rPr>
                <w:sz w:val="1"/>
                <w:szCs w:val="1"/>
                <w:color w:val="auto"/>
              </w:rPr>
            </w:pPr>
          </w:p>
        </w:tc>
        <w:tc>
          <w:tcPr>
            <w:tcW w:w="840" w:type="dxa"/>
            <w:vAlign w:val="bottom"/>
            <w:tcBorders>
              <w:bottom w:val="single" w:sz="8" w:color="BCBEC0"/>
            </w:tcBorders>
          </w:tcPr>
          <w:p>
            <w:pPr>
              <w:spacing w:after="0" w:line="20" w:lineRule="exact"/>
              <w:rPr>
                <w:sz w:val="1"/>
                <w:szCs w:val="1"/>
                <w:color w:val="auto"/>
              </w:rPr>
            </w:pPr>
          </w:p>
        </w:tc>
        <w:tc>
          <w:tcPr>
            <w:tcW w:w="920" w:type="dxa"/>
            <w:vAlign w:val="bottom"/>
            <w:tcBorders>
              <w:bottom w:val="single" w:sz="8" w:color="BCBEC0"/>
            </w:tcBorders>
          </w:tcPr>
          <w:p>
            <w:pPr>
              <w:spacing w:after="0" w:line="20" w:lineRule="exact"/>
              <w:rPr>
                <w:sz w:val="1"/>
                <w:szCs w:val="1"/>
                <w:color w:val="auto"/>
              </w:rPr>
            </w:pPr>
          </w:p>
        </w:tc>
        <w:tc>
          <w:tcPr>
            <w:tcW w:w="680" w:type="dxa"/>
            <w:vAlign w:val="bottom"/>
            <w:tcBorders>
              <w:bottom w:val="single" w:sz="8" w:color="BCBEC0"/>
            </w:tcBorders>
          </w:tcPr>
          <w:p>
            <w:pPr>
              <w:spacing w:after="0" w:line="20" w:lineRule="exact"/>
              <w:rPr>
                <w:sz w:val="1"/>
                <w:szCs w:val="1"/>
                <w:color w:val="auto"/>
              </w:rPr>
            </w:pPr>
          </w:p>
        </w:tc>
        <w:tc>
          <w:tcPr>
            <w:tcW w:w="1020" w:type="dxa"/>
            <w:vAlign w:val="bottom"/>
            <w:tcBorders>
              <w:bottom w:val="single" w:sz="8" w:color="BCBEC0"/>
            </w:tcBorders>
          </w:tcPr>
          <w:p>
            <w:pPr>
              <w:spacing w:after="0" w:line="20" w:lineRule="exact"/>
              <w:rPr>
                <w:sz w:val="1"/>
                <w:szCs w:val="1"/>
                <w:color w:val="auto"/>
              </w:rPr>
            </w:pPr>
          </w:p>
        </w:tc>
        <w:tc>
          <w:tcPr>
            <w:tcW w:w="980" w:type="dxa"/>
            <w:vAlign w:val="bottom"/>
            <w:tcBorders>
              <w:bottom w:val="single" w:sz="8" w:color="BCBEC0"/>
            </w:tcBorders>
          </w:tcPr>
          <w:p>
            <w:pPr>
              <w:spacing w:after="0" w:line="20" w:lineRule="exact"/>
              <w:rPr>
                <w:sz w:val="1"/>
                <w:szCs w:val="1"/>
                <w:color w:val="auto"/>
              </w:rPr>
            </w:pPr>
          </w:p>
        </w:tc>
        <w:tc>
          <w:tcPr>
            <w:tcW w:w="840" w:type="dxa"/>
            <w:vAlign w:val="bottom"/>
            <w:tcBorders>
              <w:bottom w:val="single" w:sz="8" w:color="BCBEC0"/>
            </w:tcBorders>
          </w:tcPr>
          <w:p>
            <w:pPr>
              <w:spacing w:after="0" w:line="20" w:lineRule="exact"/>
              <w:rPr>
                <w:sz w:val="1"/>
                <w:szCs w:val="1"/>
                <w:color w:val="auto"/>
              </w:rPr>
            </w:pPr>
          </w:p>
        </w:tc>
        <w:tc>
          <w:tcPr>
            <w:tcW w:w="840" w:type="dxa"/>
            <w:vAlign w:val="bottom"/>
            <w:tcBorders>
              <w:bottom w:val="single" w:sz="8" w:color="BCBEC0"/>
            </w:tcBorders>
          </w:tcPr>
          <w:p>
            <w:pPr>
              <w:spacing w:after="0" w:line="20" w:lineRule="exact"/>
              <w:rPr>
                <w:sz w:val="1"/>
                <w:szCs w:val="1"/>
                <w:color w:val="auto"/>
              </w:rPr>
            </w:pPr>
          </w:p>
        </w:tc>
        <w:tc>
          <w:tcPr>
            <w:tcW w:w="940" w:type="dxa"/>
            <w:vAlign w:val="bottom"/>
            <w:tcBorders>
              <w:bottom w:val="single" w:sz="8" w:color="BCBEC0"/>
            </w:tcBorders>
          </w:tcPr>
          <w:p>
            <w:pPr>
              <w:spacing w:after="0" w:line="20" w:lineRule="exact"/>
              <w:rPr>
                <w:sz w:val="1"/>
                <w:szCs w:val="1"/>
                <w:color w:val="auto"/>
              </w:rPr>
            </w:pPr>
          </w:p>
        </w:tc>
        <w:tc>
          <w:tcPr>
            <w:tcW w:w="900" w:type="dxa"/>
            <w:vAlign w:val="bottom"/>
            <w:tcBorders>
              <w:bottom w:val="single" w:sz="8" w:color="BCBEC0"/>
            </w:tcBorders>
          </w:tcPr>
          <w:p>
            <w:pPr>
              <w:spacing w:after="0" w:line="20" w:lineRule="exact"/>
              <w:rPr>
                <w:sz w:val="1"/>
                <w:szCs w:val="1"/>
                <w:color w:val="auto"/>
              </w:rPr>
            </w:pPr>
          </w:p>
        </w:tc>
      </w:tr>
      <w:tr>
        <w:trPr>
          <w:trHeight w:val="174"/>
        </w:trPr>
        <w:tc>
          <w:tcPr>
            <w:tcW w:w="1420" w:type="dxa"/>
            <w:vAlign w:val="bottom"/>
          </w:tcPr>
          <w:p>
            <w:pPr>
              <w:ind w:left="20"/>
              <w:spacing w:after="0"/>
              <w:rPr>
                <w:sz w:val="20"/>
                <w:szCs w:val="20"/>
                <w:color w:val="auto"/>
              </w:rPr>
            </w:pPr>
            <w:r>
              <w:rPr>
                <w:rFonts w:ascii="Arial" w:cs="Arial" w:eastAsia="Arial" w:hAnsi="Arial"/>
                <w:sz w:val="13"/>
                <w:szCs w:val="13"/>
                <w:b w:val="1"/>
                <w:bCs w:val="1"/>
                <w:color w:val="0C3471"/>
              </w:rPr>
              <w:t>Adrian C. Chiu</w:t>
            </w:r>
          </w:p>
        </w:tc>
        <w:tc>
          <w:tcPr>
            <w:tcW w:w="1000" w:type="dxa"/>
            <w:vAlign w:val="bottom"/>
          </w:tcPr>
          <w:p>
            <w:pPr>
              <w:ind w:left="260"/>
              <w:spacing w:after="0"/>
              <w:rPr>
                <w:sz w:val="20"/>
                <w:szCs w:val="20"/>
                <w:color w:val="auto"/>
              </w:rPr>
            </w:pPr>
            <w:r>
              <w:rPr>
                <w:rFonts w:ascii="Arial" w:cs="Arial" w:eastAsia="Arial" w:hAnsi="Arial"/>
                <w:sz w:val="13"/>
                <w:szCs w:val="13"/>
                <w:color w:val="auto"/>
              </w:rPr>
              <w:t>2,223,968</w:t>
            </w:r>
          </w:p>
        </w:tc>
        <w:tc>
          <w:tcPr>
            <w:tcW w:w="860" w:type="dxa"/>
            <w:vAlign w:val="bottom"/>
          </w:tcPr>
          <w:p>
            <w:pPr>
              <w:jc w:val="right"/>
              <w:ind w:right="103"/>
              <w:spacing w:after="0"/>
              <w:rPr>
                <w:sz w:val="20"/>
                <w:szCs w:val="20"/>
                <w:color w:val="auto"/>
              </w:rPr>
            </w:pPr>
            <w:r>
              <w:rPr>
                <w:rFonts w:ascii="Arial" w:cs="Arial" w:eastAsia="Arial" w:hAnsi="Arial"/>
                <w:sz w:val="13"/>
                <w:szCs w:val="13"/>
                <w:color w:val="auto"/>
              </w:rPr>
              <w:t>712,404</w:t>
            </w:r>
          </w:p>
        </w:tc>
        <w:tc>
          <w:tcPr>
            <w:tcW w:w="840" w:type="dxa"/>
            <w:vAlign w:val="bottom"/>
          </w:tcPr>
          <w:p>
            <w:pPr>
              <w:jc w:val="right"/>
              <w:ind w:right="123"/>
              <w:spacing w:after="0"/>
              <w:rPr>
                <w:sz w:val="20"/>
                <w:szCs w:val="20"/>
                <w:color w:val="auto"/>
              </w:rPr>
            </w:pPr>
            <w:r>
              <w:rPr>
                <w:rFonts w:ascii="Arial" w:cs="Arial" w:eastAsia="Arial" w:hAnsi="Arial"/>
                <w:sz w:val="13"/>
                <w:szCs w:val="13"/>
                <w:color w:val="auto"/>
              </w:rPr>
              <w:t>872,797</w:t>
            </w:r>
          </w:p>
        </w:tc>
        <w:tc>
          <w:tcPr>
            <w:tcW w:w="920" w:type="dxa"/>
            <w:vAlign w:val="bottom"/>
          </w:tcPr>
          <w:p>
            <w:pPr>
              <w:jc w:val="right"/>
              <w:ind w:right="103"/>
              <w:spacing w:after="0"/>
              <w:rPr>
                <w:sz w:val="20"/>
                <w:szCs w:val="20"/>
                <w:color w:val="auto"/>
              </w:rPr>
            </w:pPr>
            <w:r>
              <w:rPr>
                <w:rFonts w:ascii="Arial" w:cs="Arial" w:eastAsia="Arial" w:hAnsi="Arial"/>
                <w:sz w:val="13"/>
                <w:szCs w:val="13"/>
                <w:color w:val="auto"/>
              </w:rPr>
              <w:t>1,607,088</w:t>
            </w:r>
          </w:p>
        </w:tc>
        <w:tc>
          <w:tcPr>
            <w:tcW w:w="680" w:type="dxa"/>
            <w:vAlign w:val="bottom"/>
          </w:tcPr>
          <w:p>
            <w:pPr>
              <w:jc w:val="center"/>
              <w:ind w:left="123"/>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120"/>
              <w:spacing w:after="0"/>
              <w:rPr>
                <w:sz w:val="20"/>
                <w:szCs w:val="20"/>
                <w:color w:val="auto"/>
              </w:rPr>
            </w:pPr>
            <w:r>
              <w:rPr>
                <w:rFonts w:ascii="Arial" w:cs="Arial" w:eastAsia="Arial" w:hAnsi="Arial"/>
                <w:sz w:val="13"/>
                <w:szCs w:val="13"/>
                <w:color w:val="auto"/>
              </w:rPr>
              <w:t>480,000</w:t>
            </w:r>
          </w:p>
        </w:tc>
        <w:tc>
          <w:tcPr>
            <w:tcW w:w="980" w:type="dxa"/>
            <w:vAlign w:val="bottom"/>
          </w:tcPr>
          <w:p>
            <w:pPr>
              <w:jc w:val="right"/>
              <w:ind w:right="102"/>
              <w:spacing w:after="0"/>
              <w:rPr>
                <w:sz w:val="20"/>
                <w:szCs w:val="20"/>
                <w:color w:val="auto"/>
              </w:rPr>
            </w:pPr>
            <w:r>
              <w:rPr>
                <w:rFonts w:ascii="Arial" w:cs="Arial" w:eastAsia="Arial" w:hAnsi="Arial"/>
                <w:sz w:val="13"/>
                <w:szCs w:val="13"/>
                <w:color w:val="auto"/>
              </w:rPr>
              <w:t>50,000</w:t>
            </w:r>
          </w:p>
        </w:tc>
        <w:tc>
          <w:tcPr>
            <w:tcW w:w="840" w:type="dxa"/>
            <w:vAlign w:val="bottom"/>
          </w:tcPr>
          <w:p>
            <w:pPr>
              <w:jc w:val="center"/>
              <w:ind w:left="83"/>
              <w:spacing w:after="0"/>
              <w:rPr>
                <w:sz w:val="20"/>
                <w:szCs w:val="20"/>
                <w:color w:val="auto"/>
              </w:rPr>
            </w:pPr>
            <w:r>
              <w:rPr>
                <w:rFonts w:ascii="Arial" w:cs="Arial" w:eastAsia="Arial" w:hAnsi="Arial"/>
                <w:sz w:val="13"/>
                <w:szCs w:val="13"/>
                <w:color w:val="auto"/>
                <w:w w:val="95"/>
              </w:rPr>
              <w:t>15,000</w:t>
            </w:r>
          </w:p>
        </w:tc>
        <w:tc>
          <w:tcPr>
            <w:tcW w:w="840" w:type="dxa"/>
            <w:vAlign w:val="bottom"/>
          </w:tcPr>
          <w:p>
            <w:pPr>
              <w:ind w:left="280"/>
              <w:spacing w:after="0"/>
              <w:rPr>
                <w:sz w:val="20"/>
                <w:szCs w:val="20"/>
                <w:color w:val="auto"/>
              </w:rPr>
            </w:pPr>
            <w:r>
              <w:rPr>
                <w:rFonts w:ascii="Arial" w:cs="Arial" w:eastAsia="Arial" w:hAnsi="Arial"/>
                <w:sz w:val="13"/>
                <w:szCs w:val="13"/>
                <w:color w:val="auto"/>
              </w:rPr>
              <w:t>45,513</w:t>
            </w:r>
          </w:p>
        </w:tc>
        <w:tc>
          <w:tcPr>
            <w:tcW w:w="940" w:type="dxa"/>
            <w:vAlign w:val="bottom"/>
          </w:tcPr>
          <w:p>
            <w:pPr>
              <w:jc w:val="right"/>
              <w:ind w:right="143"/>
              <w:spacing w:after="0"/>
              <w:rPr>
                <w:sz w:val="20"/>
                <w:szCs w:val="20"/>
                <w:color w:val="auto"/>
              </w:rPr>
            </w:pPr>
            <w:r>
              <w:rPr>
                <w:rFonts w:ascii="Arial" w:cs="Arial" w:eastAsia="Arial" w:hAnsi="Arial"/>
                <w:sz w:val="13"/>
                <w:szCs w:val="13"/>
                <w:color w:val="auto"/>
              </w:rPr>
              <w:t>3,672,290</w:t>
            </w:r>
          </w:p>
        </w:tc>
        <w:tc>
          <w:tcPr>
            <w:tcW w:w="900" w:type="dxa"/>
            <w:vAlign w:val="bottom"/>
          </w:tcPr>
          <w:p>
            <w:pPr>
              <w:jc w:val="right"/>
              <w:ind w:right="3"/>
              <w:spacing w:after="0"/>
              <w:rPr>
                <w:sz w:val="20"/>
                <w:szCs w:val="20"/>
                <w:color w:val="auto"/>
              </w:rPr>
            </w:pPr>
            <w:r>
              <w:rPr>
                <w:rFonts w:ascii="Arial" w:cs="Arial" w:eastAsia="Arial" w:hAnsi="Arial"/>
                <w:sz w:val="13"/>
                <w:szCs w:val="13"/>
                <w:color w:val="auto"/>
              </w:rPr>
              <w:t>6,006,771</w:t>
            </w:r>
          </w:p>
        </w:tc>
      </w:tr>
      <w:tr>
        <w:trPr>
          <w:trHeight w:val="22"/>
        </w:trPr>
        <w:tc>
          <w:tcPr>
            <w:tcW w:w="1420" w:type="dxa"/>
            <w:vAlign w:val="bottom"/>
            <w:tcBorders>
              <w:bottom w:val="single" w:sz="8" w:color="0C3471"/>
            </w:tcBorders>
          </w:tcPr>
          <w:p>
            <w:pPr>
              <w:spacing w:after="0" w:line="20" w:lineRule="exact"/>
              <w:rPr>
                <w:sz w:val="1"/>
                <w:szCs w:val="1"/>
                <w:color w:val="auto"/>
              </w:rPr>
            </w:pPr>
          </w:p>
        </w:tc>
        <w:tc>
          <w:tcPr>
            <w:tcW w:w="1000" w:type="dxa"/>
            <w:vAlign w:val="bottom"/>
            <w:tcBorders>
              <w:bottom w:val="single" w:sz="8" w:color="0C3471"/>
            </w:tcBorders>
          </w:tcPr>
          <w:p>
            <w:pPr>
              <w:spacing w:after="0" w:line="20" w:lineRule="exact"/>
              <w:rPr>
                <w:sz w:val="1"/>
                <w:szCs w:val="1"/>
                <w:color w:val="auto"/>
              </w:rPr>
            </w:pPr>
          </w:p>
        </w:tc>
        <w:tc>
          <w:tcPr>
            <w:tcW w:w="860" w:type="dxa"/>
            <w:vAlign w:val="bottom"/>
            <w:tcBorders>
              <w:bottom w:val="single" w:sz="8" w:color="0C3471"/>
            </w:tcBorders>
          </w:tcPr>
          <w:p>
            <w:pPr>
              <w:spacing w:after="0" w:line="20" w:lineRule="exact"/>
              <w:rPr>
                <w:sz w:val="1"/>
                <w:szCs w:val="1"/>
                <w:color w:val="auto"/>
              </w:rPr>
            </w:pPr>
          </w:p>
        </w:tc>
        <w:tc>
          <w:tcPr>
            <w:tcW w:w="840" w:type="dxa"/>
            <w:vAlign w:val="bottom"/>
            <w:tcBorders>
              <w:bottom w:val="single" w:sz="8" w:color="0C3471"/>
            </w:tcBorders>
          </w:tcPr>
          <w:p>
            <w:pPr>
              <w:spacing w:after="0" w:line="20" w:lineRule="exact"/>
              <w:rPr>
                <w:sz w:val="1"/>
                <w:szCs w:val="1"/>
                <w:color w:val="auto"/>
              </w:rPr>
            </w:pPr>
          </w:p>
        </w:tc>
        <w:tc>
          <w:tcPr>
            <w:tcW w:w="920" w:type="dxa"/>
            <w:vAlign w:val="bottom"/>
            <w:tcBorders>
              <w:bottom w:val="single" w:sz="8" w:color="0C3471"/>
            </w:tcBorders>
          </w:tcPr>
          <w:p>
            <w:pPr>
              <w:spacing w:after="0" w:line="20" w:lineRule="exact"/>
              <w:rPr>
                <w:sz w:val="1"/>
                <w:szCs w:val="1"/>
                <w:color w:val="auto"/>
              </w:rPr>
            </w:pPr>
          </w:p>
        </w:tc>
        <w:tc>
          <w:tcPr>
            <w:tcW w:w="680" w:type="dxa"/>
            <w:vAlign w:val="bottom"/>
            <w:tcBorders>
              <w:bottom w:val="single" w:sz="8" w:color="0C3471"/>
            </w:tcBorders>
          </w:tcPr>
          <w:p>
            <w:pPr>
              <w:spacing w:after="0" w:line="20" w:lineRule="exact"/>
              <w:rPr>
                <w:sz w:val="1"/>
                <w:szCs w:val="1"/>
                <w:color w:val="auto"/>
              </w:rPr>
            </w:pPr>
          </w:p>
        </w:tc>
        <w:tc>
          <w:tcPr>
            <w:tcW w:w="1020" w:type="dxa"/>
            <w:vAlign w:val="bottom"/>
            <w:tcBorders>
              <w:bottom w:val="single" w:sz="8" w:color="0C3471"/>
            </w:tcBorders>
          </w:tcPr>
          <w:p>
            <w:pPr>
              <w:spacing w:after="0" w:line="20" w:lineRule="exact"/>
              <w:rPr>
                <w:sz w:val="1"/>
                <w:szCs w:val="1"/>
                <w:color w:val="auto"/>
              </w:rPr>
            </w:pPr>
          </w:p>
        </w:tc>
        <w:tc>
          <w:tcPr>
            <w:tcW w:w="980" w:type="dxa"/>
            <w:vAlign w:val="bottom"/>
            <w:tcBorders>
              <w:bottom w:val="single" w:sz="8" w:color="0C3471"/>
            </w:tcBorders>
          </w:tcPr>
          <w:p>
            <w:pPr>
              <w:spacing w:after="0" w:line="20" w:lineRule="exact"/>
              <w:rPr>
                <w:sz w:val="1"/>
                <w:szCs w:val="1"/>
                <w:color w:val="auto"/>
              </w:rPr>
            </w:pPr>
          </w:p>
        </w:tc>
        <w:tc>
          <w:tcPr>
            <w:tcW w:w="840" w:type="dxa"/>
            <w:vAlign w:val="bottom"/>
            <w:tcBorders>
              <w:bottom w:val="single" w:sz="8" w:color="0C3471"/>
            </w:tcBorders>
          </w:tcPr>
          <w:p>
            <w:pPr>
              <w:spacing w:after="0" w:line="20" w:lineRule="exact"/>
              <w:rPr>
                <w:sz w:val="1"/>
                <w:szCs w:val="1"/>
                <w:color w:val="auto"/>
              </w:rPr>
            </w:pPr>
          </w:p>
        </w:tc>
        <w:tc>
          <w:tcPr>
            <w:tcW w:w="840" w:type="dxa"/>
            <w:vAlign w:val="bottom"/>
            <w:tcBorders>
              <w:bottom w:val="single" w:sz="8" w:color="0C3471"/>
            </w:tcBorders>
          </w:tcPr>
          <w:p>
            <w:pPr>
              <w:spacing w:after="0" w:line="20" w:lineRule="exact"/>
              <w:rPr>
                <w:sz w:val="1"/>
                <w:szCs w:val="1"/>
                <w:color w:val="auto"/>
              </w:rPr>
            </w:pPr>
          </w:p>
        </w:tc>
        <w:tc>
          <w:tcPr>
            <w:tcW w:w="940" w:type="dxa"/>
            <w:vAlign w:val="bottom"/>
            <w:tcBorders>
              <w:bottom w:val="single" w:sz="8" w:color="0C3471"/>
            </w:tcBorders>
          </w:tcPr>
          <w:p>
            <w:pPr>
              <w:spacing w:after="0" w:line="20" w:lineRule="exact"/>
              <w:rPr>
                <w:sz w:val="1"/>
                <w:szCs w:val="1"/>
                <w:color w:val="auto"/>
              </w:rPr>
            </w:pPr>
          </w:p>
        </w:tc>
        <w:tc>
          <w:tcPr>
            <w:tcW w:w="900" w:type="dxa"/>
            <w:vAlign w:val="bottom"/>
            <w:tcBorders>
              <w:bottom w:val="single" w:sz="8" w:color="0C3471"/>
            </w:tcBorders>
          </w:tcPr>
          <w:p>
            <w:pPr>
              <w:spacing w:after="0" w:line="20" w:lineRule="exact"/>
              <w:rPr>
                <w:sz w:val="1"/>
                <w:szCs w:val="1"/>
                <w:color w:val="auto"/>
              </w:rPr>
            </w:pPr>
          </w:p>
        </w:tc>
      </w:tr>
    </w:tbl>
    <w:p>
      <w:pPr>
        <w:spacing w:after="0" w:line="165" w:lineRule="exact"/>
        <w:rPr>
          <w:sz w:val="20"/>
          <w:szCs w:val="20"/>
          <w:color w:val="auto"/>
        </w:rPr>
      </w:pPr>
    </w:p>
    <w:p>
      <w:pPr>
        <w:ind w:left="240" w:hanging="232"/>
        <w:spacing w:after="0"/>
        <w:tabs>
          <w:tab w:leader="none" w:pos="240" w:val="left"/>
        </w:tabs>
        <w:numPr>
          <w:ilvl w:val="0"/>
          <w:numId w:val="137"/>
        </w:numPr>
        <w:rPr>
          <w:rFonts w:ascii="Arial" w:cs="Arial" w:eastAsia="Arial" w:hAnsi="Arial"/>
          <w:sz w:val="19"/>
          <w:szCs w:val="19"/>
          <w:color w:val="auto"/>
          <w:vertAlign w:val="superscript"/>
        </w:rPr>
      </w:pPr>
      <w:r>
        <w:rPr>
          <w:rFonts w:ascii="Arial" w:cs="Arial" w:eastAsia="Arial" w:hAnsi="Arial"/>
          <w:sz w:val="14"/>
          <w:szCs w:val="14"/>
          <w:color w:val="auto"/>
        </w:rPr>
        <w:t>Triggered only upon a change in control and a termination of the executive officer by us other than for death, disability or cause, or by the executive for good reason.</w:t>
      </w:r>
    </w:p>
    <w:p>
      <w:pPr>
        <w:spacing w:after="0" w:line="66" w:lineRule="exact"/>
        <w:rPr>
          <w:rFonts w:ascii="Arial" w:cs="Arial" w:eastAsia="Arial" w:hAnsi="Arial"/>
          <w:sz w:val="19"/>
          <w:szCs w:val="19"/>
          <w:color w:val="auto"/>
          <w:vertAlign w:val="superscript"/>
        </w:rPr>
      </w:pPr>
    </w:p>
    <w:p>
      <w:pPr>
        <w:ind w:left="200" w:right="20" w:hanging="192"/>
        <w:spacing w:after="0" w:line="239" w:lineRule="auto"/>
        <w:tabs>
          <w:tab w:leader="none" w:pos="214" w:val="left"/>
        </w:tabs>
        <w:numPr>
          <w:ilvl w:val="0"/>
          <w:numId w:val="137"/>
        </w:numPr>
        <w:rPr>
          <w:rFonts w:ascii="Arial" w:cs="Arial" w:eastAsia="Arial" w:hAnsi="Arial"/>
          <w:sz w:val="19"/>
          <w:szCs w:val="19"/>
          <w:color w:val="auto"/>
          <w:vertAlign w:val="superscript"/>
        </w:rPr>
      </w:pPr>
      <w:r>
        <w:rPr>
          <w:rFonts w:ascii="Arial" w:cs="Arial" w:eastAsia="Arial" w:hAnsi="Arial"/>
          <w:sz w:val="14"/>
          <w:szCs w:val="14"/>
          <w:color w:val="auto"/>
        </w:rPr>
        <w:t>Triggered solely upon a change in control under the 2020 Plan. The amount shown for performance share units assumes target performance and includes the balance of any dividend equivalent units (rounded up to the nearest whole share).</w:t>
      </w:r>
    </w:p>
    <w:p>
      <w:pPr>
        <w:spacing w:after="0" w:line="67" w:lineRule="exact"/>
        <w:rPr>
          <w:rFonts w:ascii="Arial" w:cs="Arial" w:eastAsia="Arial" w:hAnsi="Arial"/>
          <w:sz w:val="19"/>
          <w:szCs w:val="19"/>
          <w:color w:val="auto"/>
          <w:vertAlign w:val="superscript"/>
        </w:rPr>
      </w:pPr>
    </w:p>
    <w:p>
      <w:pPr>
        <w:ind w:left="200" w:right="80" w:hanging="192"/>
        <w:spacing w:after="0" w:line="257" w:lineRule="auto"/>
        <w:tabs>
          <w:tab w:leader="none" w:pos="214" w:val="left"/>
        </w:tabs>
        <w:numPr>
          <w:ilvl w:val="0"/>
          <w:numId w:val="137"/>
        </w:numPr>
        <w:rPr>
          <w:rFonts w:ascii="Arial" w:cs="Arial" w:eastAsia="Arial" w:hAnsi="Arial"/>
          <w:sz w:val="19"/>
          <w:szCs w:val="19"/>
          <w:color w:val="auto"/>
          <w:vertAlign w:val="superscript"/>
        </w:rPr>
      </w:pPr>
      <w:r>
        <w:rPr>
          <w:rFonts w:ascii="Arial" w:cs="Arial" w:eastAsia="Arial" w:hAnsi="Arial"/>
          <w:sz w:val="14"/>
          <w:szCs w:val="14"/>
          <w:color w:val="auto"/>
        </w:rPr>
        <w:t>If excise taxes would otherwise be imposed in connection with a change in control, the executive’s change in control compensation protections will be either cut back to a level below the level that would trigger the imposition of the excise taxes or paid in full and subjected to the excise taxes, whichever results in the better after-tax result to the executive.</w:t>
      </w:r>
    </w:p>
    <w:p>
      <w:pPr>
        <w:spacing w:after="0" w:line="91" w:lineRule="exact"/>
        <w:rPr>
          <w:sz w:val="20"/>
          <w:szCs w:val="20"/>
          <w:color w:val="auto"/>
        </w:rPr>
      </w:pPr>
    </w:p>
    <w:p>
      <w:pPr>
        <w:ind w:right="320"/>
        <w:spacing w:after="0" w:line="304" w:lineRule="auto"/>
        <w:rPr>
          <w:sz w:val="20"/>
          <w:szCs w:val="20"/>
          <w:color w:val="auto"/>
        </w:rPr>
      </w:pPr>
      <w:r>
        <w:rPr>
          <w:rFonts w:ascii="Arial" w:cs="Arial" w:eastAsia="Arial" w:hAnsi="Arial"/>
          <w:sz w:val="16"/>
          <w:szCs w:val="16"/>
          <w:color w:val="auto"/>
        </w:rPr>
        <w:t>The amounts in the table above for termination without cause or for good reason in connection with a change in control assume, to the extent applicable, that:</w:t>
      </w:r>
    </w:p>
    <w:p>
      <w:pPr>
        <w:spacing w:after="0" w:line="60" w:lineRule="exact"/>
        <w:rPr>
          <w:sz w:val="20"/>
          <w:szCs w:val="20"/>
          <w:color w:val="auto"/>
        </w:rPr>
      </w:pPr>
    </w:p>
    <w:p>
      <w:pPr>
        <w:ind w:left="160" w:hanging="152"/>
        <w:spacing w:after="0"/>
        <w:tabs>
          <w:tab w:leader="none" w:pos="160" w:val="left"/>
        </w:tabs>
        <w:numPr>
          <w:ilvl w:val="0"/>
          <w:numId w:val="138"/>
        </w:numPr>
        <w:rPr>
          <w:rFonts w:ascii="Arial" w:cs="Arial" w:eastAsia="Arial" w:hAnsi="Arial"/>
          <w:sz w:val="13"/>
          <w:szCs w:val="13"/>
          <w:color w:val="64A70B"/>
        </w:rPr>
      </w:pPr>
      <w:r>
        <w:rPr>
          <w:rFonts w:ascii="Arial" w:cs="Arial" w:eastAsia="Arial" w:hAnsi="Arial"/>
          <w:sz w:val="16"/>
          <w:szCs w:val="16"/>
          <w:color w:val="auto"/>
        </w:rPr>
        <w:t>our ordinary shares were valued at $104.14, the closing market price for our ordinary shares on the last trading day of 2025;</w:t>
      </w:r>
    </w:p>
    <w:p>
      <w:pPr>
        <w:spacing w:after="0" w:line="99" w:lineRule="exact"/>
        <w:rPr>
          <w:rFonts w:ascii="Arial" w:cs="Arial" w:eastAsia="Arial" w:hAnsi="Arial"/>
          <w:sz w:val="13"/>
          <w:szCs w:val="13"/>
          <w:color w:val="64A70B"/>
        </w:rPr>
      </w:pPr>
    </w:p>
    <w:p>
      <w:pPr>
        <w:ind w:left="160" w:hanging="152"/>
        <w:spacing w:after="0"/>
        <w:tabs>
          <w:tab w:leader="none" w:pos="160" w:val="left"/>
        </w:tabs>
        <w:numPr>
          <w:ilvl w:val="0"/>
          <w:numId w:val="138"/>
        </w:numPr>
        <w:rPr>
          <w:rFonts w:ascii="Arial" w:cs="Arial" w:eastAsia="Arial" w:hAnsi="Arial"/>
          <w:sz w:val="13"/>
          <w:szCs w:val="13"/>
          <w:color w:val="64A70B"/>
        </w:rPr>
      </w:pPr>
      <w:r>
        <w:rPr>
          <w:rFonts w:ascii="Arial" w:cs="Arial" w:eastAsia="Arial" w:hAnsi="Arial"/>
          <w:sz w:val="16"/>
          <w:szCs w:val="16"/>
          <w:color w:val="auto"/>
        </w:rPr>
        <w:t>outplacement services fees are $50,000 or 10% of annual base salary, whichever is less;</w:t>
      </w:r>
    </w:p>
    <w:p>
      <w:pPr>
        <w:spacing w:after="0" w:line="99" w:lineRule="exact"/>
        <w:rPr>
          <w:rFonts w:ascii="Arial" w:cs="Arial" w:eastAsia="Arial" w:hAnsi="Arial"/>
          <w:sz w:val="13"/>
          <w:szCs w:val="13"/>
          <w:color w:val="64A70B"/>
        </w:rPr>
      </w:pPr>
    </w:p>
    <w:p>
      <w:pPr>
        <w:ind w:left="160" w:hanging="152"/>
        <w:spacing w:after="0"/>
        <w:tabs>
          <w:tab w:leader="none" w:pos="160" w:val="left"/>
        </w:tabs>
        <w:numPr>
          <w:ilvl w:val="0"/>
          <w:numId w:val="138"/>
        </w:numPr>
        <w:rPr>
          <w:rFonts w:ascii="Arial" w:cs="Arial" w:eastAsia="Arial" w:hAnsi="Arial"/>
          <w:sz w:val="13"/>
          <w:szCs w:val="13"/>
          <w:color w:val="64A70B"/>
        </w:rPr>
      </w:pPr>
      <w:r>
        <w:rPr>
          <w:rFonts w:ascii="Arial" w:cs="Arial" w:eastAsia="Arial" w:hAnsi="Arial"/>
          <w:sz w:val="16"/>
          <w:szCs w:val="16"/>
          <w:color w:val="auto"/>
        </w:rPr>
        <w:t>legal and accounting advisor fees are the maximum possible under the change in control agreements for each executive officer; and</w:t>
      </w:r>
    </w:p>
    <w:p>
      <w:pPr>
        <w:spacing w:after="0" w:line="99" w:lineRule="exact"/>
        <w:rPr>
          <w:rFonts w:ascii="Arial" w:cs="Arial" w:eastAsia="Arial" w:hAnsi="Arial"/>
          <w:sz w:val="13"/>
          <w:szCs w:val="13"/>
          <w:color w:val="64A70B"/>
        </w:rPr>
      </w:pPr>
    </w:p>
    <w:p>
      <w:pPr>
        <w:ind w:left="200" w:right="560" w:hanging="192"/>
        <w:spacing w:after="0" w:line="304" w:lineRule="auto"/>
        <w:tabs>
          <w:tab w:leader="none" w:pos="157" w:val="left"/>
        </w:tabs>
        <w:numPr>
          <w:ilvl w:val="0"/>
          <w:numId w:val="138"/>
        </w:numPr>
        <w:rPr>
          <w:rFonts w:ascii="Arial" w:cs="Arial" w:eastAsia="Arial" w:hAnsi="Arial"/>
          <w:sz w:val="13"/>
          <w:szCs w:val="13"/>
          <w:color w:val="64A70B"/>
        </w:rPr>
      </w:pPr>
      <w:r>
        <w:rPr>
          <w:rFonts w:ascii="Arial" w:cs="Arial" w:eastAsia="Arial" w:hAnsi="Arial"/>
          <w:sz w:val="16"/>
          <w:szCs w:val="16"/>
          <w:color w:val="auto"/>
        </w:rPr>
        <w:t>medical, dental and life insurance coverage will continue until two years after a change in control, in each case at the current cost per year for each executive.</w:t>
      </w:r>
    </w:p>
    <w:p>
      <w:pPr>
        <w:spacing w:after="0" w:line="60"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The Named Executive Officers’ agreements provide that, if excise taxes would otherwise be imposed in connection with a change in control, the executive’s change in control compensation protections will be either cut back to a level below the level that would trigger the imposition of the excise taxes or paid in full and subjected to the excise taxes, whichever results in the better after-tax outcome to the executive. Solely for purposes of the calculations in the tables above, we have assumed that the cut back did not apply.</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color w:val="0C3471"/>
        </w:rPr>
        <w:t>Death or Disability</w:t>
      </w:r>
    </w:p>
    <w:p>
      <w:pPr>
        <w:spacing w:after="0" w:line="113" w:lineRule="exact"/>
        <w:rPr>
          <w:sz w:val="20"/>
          <w:szCs w:val="20"/>
          <w:color w:val="auto"/>
        </w:rPr>
      </w:pPr>
    </w:p>
    <w:p>
      <w:pPr>
        <w:jc w:val="both"/>
        <w:ind w:right="60"/>
        <w:spacing w:after="0" w:line="292" w:lineRule="auto"/>
        <w:rPr>
          <w:sz w:val="20"/>
          <w:szCs w:val="20"/>
          <w:color w:val="auto"/>
        </w:rPr>
      </w:pPr>
      <w:r>
        <w:rPr>
          <w:rFonts w:ascii="Arial" w:cs="Arial" w:eastAsia="Arial" w:hAnsi="Arial"/>
          <w:sz w:val="16"/>
          <w:szCs w:val="16"/>
          <w:color w:val="auto"/>
        </w:rPr>
        <w:t>In the event of the death or disability of a Named Executive Officer, the Named Executive Officer’s unvested equity awards will vest in full. The value of such accelerated vesting is the same as reflected in the table above for “Change in Control With or Without Termination” for stock option vesting, restricted stock unit vesting, and performance share unit vesting.</w:t>
      </w:r>
    </w:p>
    <w:p>
      <w:pPr>
        <w:spacing w:after="0" w:line="200" w:lineRule="exact"/>
        <w:rPr>
          <w:sz w:val="20"/>
          <w:szCs w:val="20"/>
          <w:color w:val="auto"/>
        </w:rPr>
      </w:pP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10780" w:type="dxa"/>
            <w:vAlign w:val="bottom"/>
          </w:tcPr>
          <w:p>
            <w:pPr>
              <w:ind w:left="8260"/>
              <w:spacing w:after="0"/>
              <w:rPr>
                <w:sz w:val="20"/>
                <w:szCs w:val="20"/>
                <w:color w:val="auto"/>
              </w:rPr>
            </w:pPr>
            <w:r>
              <w:rPr>
                <w:rFonts w:ascii="Arial" w:cs="Arial" w:eastAsia="Arial" w:hAnsi="Arial"/>
                <w:sz w:val="16"/>
                <w:szCs w:val="16"/>
                <w:b w:val="1"/>
                <w:bCs w:val="1"/>
                <w:color w:val="auto"/>
              </w:rPr>
              <w:t xml:space="preserve">2026 Proxy Statement </w:t>
            </w:r>
            <w:r>
              <w:rPr>
                <w:rFonts w:ascii="Arial" w:cs="Arial" w:eastAsia="Arial" w:hAnsi="Arial"/>
                <w:sz w:val="16"/>
                <w:szCs w:val="16"/>
                <w:b w:val="1"/>
                <w:bCs w:val="1"/>
                <w:color w:val="0C3471"/>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Pentair</w:t>
            </w:r>
          </w:p>
        </w:tc>
        <w:tc>
          <w:tcPr>
            <w:tcW w:w="460" w:type="dxa"/>
            <w:vAlign w:val="bottom"/>
          </w:tcPr>
          <w:p>
            <w:pPr>
              <w:jc w:val="right"/>
              <w:spacing w:after="0"/>
              <w:rPr>
                <w:sz w:val="20"/>
                <w:szCs w:val="20"/>
                <w:color w:val="auto"/>
              </w:rPr>
            </w:pPr>
            <w:r>
              <w:rPr>
                <w:rFonts w:ascii="Arial" w:cs="Arial" w:eastAsia="Arial" w:hAnsi="Arial"/>
                <w:sz w:val="16"/>
                <w:szCs w:val="16"/>
                <w:b w:val="1"/>
                <w:bCs w:val="1"/>
                <w:color w:val="auto"/>
              </w:rPr>
              <w:t>69</w:t>
            </w:r>
          </w:p>
        </w:tc>
      </w:tr>
      <w:tr>
        <w:trPr>
          <w:trHeight w:val="325"/>
        </w:trPr>
        <w:tc>
          <w:tcPr>
            <w:tcW w:w="107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71" w:name="page72"/>
    <w:bookmarkEnd w:id="71"/>
    <w:p>
      <w:pPr>
        <w:spacing w:after="0" w:line="7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216535</wp:posOffset>
            </wp:positionH>
            <wp:positionV relativeFrom="page">
              <wp:posOffset>877570</wp:posOffset>
            </wp:positionV>
            <wp:extent cx="445770" cy="47180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clrChange>
                        <a:clrFrom>
                          <a:srgbClr val="FFFFFF"/>
                        </a:clrFrom>
                        <a:clrTo>
                          <a:srgbClr val="FFFFFF">
                            <a:alpha val="0"/>
                          </a:srgbClr>
                        </a:clrTo>
                      </a:clrChange>
                      <a:extLst>
                        <a:ext uri="{28A0092B-C50C-407E-A947-70E740481C1C}"/>
                      </a:extLst>
                    </a:blip>
                    <a:srcRect/>
                    <a:stretch>
                      <a:fillRect/>
                    </a:stretch>
                  </pic:blipFill>
                  <pic:spPr bwMode="auto">
                    <a:xfrm>
                      <a:off x="0" y="0"/>
                      <a:ext cx="445770" cy="471805"/>
                    </a:xfrm>
                    <a:prstGeom prst="rect">
                      <a:avLst/>
                    </a:prstGeom>
                    <a:noFill/>
                  </pic:spPr>
                </pic:pic>
              </a:graphicData>
            </a:graphic>
          </wp:anchor>
        </w:drawing>
      </w:r>
    </w:p>
    <w:p>
      <w:pPr>
        <w:ind w:left="1080"/>
        <w:spacing w:after="0"/>
        <w:rPr>
          <w:sz w:val="20"/>
          <w:szCs w:val="20"/>
          <w:color w:val="auto"/>
        </w:rPr>
      </w:pPr>
      <w:r>
        <w:rPr>
          <w:rFonts w:ascii="Arial" w:cs="Arial" w:eastAsia="Arial" w:hAnsi="Arial"/>
          <w:sz w:val="43"/>
          <w:szCs w:val="43"/>
          <w:b w:val="1"/>
          <w:bCs w:val="1"/>
          <w:color w:val="0C3471"/>
        </w:rPr>
        <w:t>CEO Pay Ratio</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right="300"/>
        <w:spacing w:after="0" w:line="304" w:lineRule="auto"/>
        <w:rPr>
          <w:sz w:val="20"/>
          <w:szCs w:val="20"/>
          <w:color w:val="auto"/>
        </w:rPr>
      </w:pPr>
      <w:r>
        <w:rPr>
          <w:rFonts w:ascii="Arial" w:cs="Arial" w:eastAsia="Arial" w:hAnsi="Arial"/>
          <w:sz w:val="16"/>
          <w:szCs w:val="16"/>
          <w:color w:val="auto"/>
        </w:rPr>
        <w:t>As required by Item 402(u) of Regulation S-K, we are providing the following information about the ratio of the median annual total compensation of our employees and the annual total compensation of our Chief Executive Officer.</w:t>
      </w:r>
    </w:p>
    <w:p>
      <w:pPr>
        <w:spacing w:after="0" w:line="60" w:lineRule="exact"/>
        <w:rPr>
          <w:sz w:val="20"/>
          <w:szCs w:val="20"/>
          <w:color w:val="auto"/>
        </w:rPr>
      </w:pPr>
    </w:p>
    <w:p>
      <w:pPr>
        <w:spacing w:after="0"/>
        <w:rPr>
          <w:sz w:val="20"/>
          <w:szCs w:val="20"/>
          <w:color w:val="auto"/>
        </w:rPr>
      </w:pPr>
      <w:r>
        <w:rPr>
          <w:rFonts w:ascii="Arial" w:cs="Arial" w:eastAsia="Arial" w:hAnsi="Arial"/>
          <w:sz w:val="16"/>
          <w:szCs w:val="16"/>
          <w:color w:val="auto"/>
        </w:rPr>
        <w:t>For the year ended December 31, 2025:</w:t>
      </w:r>
    </w:p>
    <w:p>
      <w:pPr>
        <w:spacing w:after="0" w:line="127" w:lineRule="exact"/>
        <w:rPr>
          <w:sz w:val="20"/>
          <w:szCs w:val="20"/>
          <w:color w:val="auto"/>
        </w:rPr>
      </w:pPr>
    </w:p>
    <w:p>
      <w:pPr>
        <w:ind w:left="200" w:right="220" w:hanging="192"/>
        <w:spacing w:after="0" w:line="321" w:lineRule="auto"/>
        <w:tabs>
          <w:tab w:leader="none" w:pos="157" w:val="left"/>
        </w:tabs>
        <w:numPr>
          <w:ilvl w:val="0"/>
          <w:numId w:val="139"/>
        </w:numPr>
        <w:rPr>
          <w:rFonts w:ascii="Arial" w:cs="Arial" w:eastAsia="Arial" w:hAnsi="Arial"/>
          <w:sz w:val="13"/>
          <w:szCs w:val="13"/>
          <w:color w:val="64A70B"/>
        </w:rPr>
      </w:pPr>
      <w:r>
        <w:rPr>
          <w:rFonts w:ascii="Arial" w:cs="Arial" w:eastAsia="Arial" w:hAnsi="Arial"/>
          <w:sz w:val="16"/>
          <w:szCs w:val="16"/>
          <w:color w:val="auto"/>
        </w:rPr>
        <w:t>the median of the annual total compensation of all employees of our company (other than our Chief Executive Officer) was reasonably estimated to be $54,012; and</w:t>
      </w:r>
    </w:p>
    <w:p>
      <w:pPr>
        <w:spacing w:after="0" w:line="7" w:lineRule="exact"/>
        <w:rPr>
          <w:rFonts w:ascii="Arial" w:cs="Arial" w:eastAsia="Arial" w:hAnsi="Arial"/>
          <w:sz w:val="13"/>
          <w:szCs w:val="13"/>
          <w:color w:val="64A70B"/>
        </w:rPr>
      </w:pPr>
    </w:p>
    <w:p>
      <w:pPr>
        <w:ind w:left="160" w:hanging="152"/>
        <w:spacing w:after="0"/>
        <w:tabs>
          <w:tab w:leader="none" w:pos="160" w:val="left"/>
        </w:tabs>
        <w:numPr>
          <w:ilvl w:val="0"/>
          <w:numId w:val="139"/>
        </w:numPr>
        <w:rPr>
          <w:rFonts w:ascii="Arial" w:cs="Arial" w:eastAsia="Arial" w:hAnsi="Arial"/>
          <w:sz w:val="13"/>
          <w:szCs w:val="13"/>
          <w:color w:val="64A70B"/>
        </w:rPr>
      </w:pPr>
      <w:r>
        <w:rPr>
          <w:rFonts w:ascii="Arial" w:cs="Arial" w:eastAsia="Arial" w:hAnsi="Arial"/>
          <w:sz w:val="16"/>
          <w:szCs w:val="16"/>
          <w:color w:val="auto"/>
        </w:rPr>
        <w:t>the annual total compensation of our Chief Executive Officer was $11,374,255.</w:t>
      </w:r>
    </w:p>
    <w:p>
      <w:pPr>
        <w:spacing w:after="0" w:line="140" w:lineRule="exact"/>
        <w:rPr>
          <w:sz w:val="20"/>
          <w:szCs w:val="20"/>
          <w:color w:val="auto"/>
        </w:rPr>
      </w:pPr>
    </w:p>
    <w:p>
      <w:pPr>
        <w:ind w:right="280"/>
        <w:spacing w:after="0" w:line="304" w:lineRule="auto"/>
        <w:rPr>
          <w:sz w:val="20"/>
          <w:szCs w:val="20"/>
          <w:color w:val="auto"/>
        </w:rPr>
      </w:pPr>
      <w:r>
        <w:rPr>
          <w:rFonts w:ascii="Arial" w:cs="Arial" w:eastAsia="Arial" w:hAnsi="Arial"/>
          <w:sz w:val="16"/>
          <w:szCs w:val="16"/>
          <w:color w:val="auto"/>
        </w:rPr>
        <w:t>Based on this information, the ratio of the annual total compensation of our Chief Executive Officer to the median of the annual total compensation of all other employees is estimated to be 210 to 1.</w:t>
      </w:r>
    </w:p>
    <w:p>
      <w:pPr>
        <w:spacing w:after="0" w:line="60" w:lineRule="exact"/>
        <w:rPr>
          <w:sz w:val="20"/>
          <w:szCs w:val="20"/>
          <w:color w:val="auto"/>
        </w:rPr>
      </w:pPr>
    </w:p>
    <w:p>
      <w:pPr>
        <w:spacing w:after="0"/>
        <w:rPr>
          <w:sz w:val="20"/>
          <w:szCs w:val="20"/>
          <w:color w:val="auto"/>
        </w:rPr>
      </w:pPr>
      <w:r>
        <w:rPr>
          <w:rFonts w:ascii="Arial" w:cs="Arial" w:eastAsia="Arial" w:hAnsi="Arial"/>
          <w:sz w:val="16"/>
          <w:szCs w:val="16"/>
          <w:color w:val="auto"/>
        </w:rPr>
        <w:t>To identify our median employee, we began by considering each of the 9,191 individuals employed by us worldwide on October 1, 2025.</w:t>
      </w:r>
    </w:p>
    <w:p>
      <w:pPr>
        <w:spacing w:after="0" w:line="127"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We then calculated the target cash compensation (which we define as base salary or wages plus target cash bonus) for such individuals for 2025 to identify our median employee. To calculate the target cash compensation for any employee that we paid in currency other than U.S. Dollars, we applied the applicable foreign currency exchange rate in effect on October 1, 2025, to convert such non-U.S. employee’s target cash compensation into U.S. Dollars.</w:t>
      </w:r>
    </w:p>
    <w:p>
      <w:pPr>
        <w:spacing w:after="0" w:line="50" w:lineRule="exact"/>
        <w:rPr>
          <w:sz w:val="20"/>
          <w:szCs w:val="20"/>
          <w:color w:val="auto"/>
        </w:rPr>
      </w:pPr>
    </w:p>
    <w:p>
      <w:pPr>
        <w:ind w:right="480"/>
        <w:spacing w:after="0" w:line="321" w:lineRule="auto"/>
        <w:rPr>
          <w:sz w:val="20"/>
          <w:szCs w:val="20"/>
          <w:color w:val="auto"/>
        </w:rPr>
      </w:pPr>
      <w:r>
        <w:rPr>
          <w:rFonts w:ascii="Arial" w:cs="Arial" w:eastAsia="Arial" w:hAnsi="Arial"/>
          <w:sz w:val="16"/>
          <w:szCs w:val="16"/>
          <w:color w:val="auto"/>
        </w:rPr>
        <w:t>Once we identified our median employee, we added together all of the elements of such employee’s compensation for 2025 in the same way that we calculate the annual total compensation of our Named Executive Officers in the Summary Compensation Table.</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600" w:hanging="574"/>
        <w:spacing w:after="0"/>
        <w:tabs>
          <w:tab w:leader="none" w:pos="600" w:val="left"/>
        </w:tabs>
        <w:numPr>
          <w:ilvl w:val="0"/>
          <w:numId w:val="140"/>
        </w:numPr>
        <w:rPr>
          <w:rFonts w:ascii="Arial" w:cs="Arial" w:eastAsia="Arial" w:hAnsi="Arial"/>
          <w:sz w:val="16"/>
          <w:szCs w:val="16"/>
          <w:b w:val="1"/>
          <w:bCs w:val="1"/>
          <w:color w:val="auto"/>
        </w:rPr>
      </w:pPr>
      <w:r>
        <w:rPr>
          <w:rFonts w:ascii="Arial" w:cs="Arial" w:eastAsia="Arial" w:hAnsi="Arial"/>
          <w:sz w:val="16"/>
          <w:szCs w:val="16"/>
          <w:color w:val="auto"/>
        </w:rPr>
        <w:t xml:space="preserve">Pentair </w:t>
      </w:r>
      <w:r>
        <w:rPr>
          <w:rFonts w:ascii="Arial" w:cs="Arial" w:eastAsia="Arial" w:hAnsi="Arial"/>
          <w:sz w:val="16"/>
          <w:szCs w:val="16"/>
          <w:b w:val="1"/>
          <w:bCs w:val="1"/>
          <w:color w:val="0C3471"/>
        </w:rPr>
        <w:t>|</w:t>
      </w:r>
      <w:r>
        <w:rPr>
          <w:rFonts w:ascii="Arial" w:cs="Arial" w:eastAsia="Arial" w:hAnsi="Arial"/>
          <w:sz w:val="16"/>
          <w:szCs w:val="16"/>
          <w:color w:val="auto"/>
        </w:rPr>
        <w:t xml:space="preserve"> </w:t>
      </w:r>
      <w:r>
        <w:rPr>
          <w:rFonts w:ascii="Arial" w:cs="Arial" w:eastAsia="Arial" w:hAnsi="Arial"/>
          <w:sz w:val="16"/>
          <w:szCs w:val="16"/>
          <w:b w:val="1"/>
          <w:bCs w:val="1"/>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205105</wp:posOffset>
            </wp:positionV>
            <wp:extent cx="7157720" cy="425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440" w:right="459" w:bottom="1440" w:gutter="0" w:footer="0" w:header="0"/>
        </w:sectPr>
      </w:pPr>
    </w:p>
    <w:bookmarkStart w:id="72" w:name="page73"/>
    <w:bookmarkEnd w:id="72"/>
    <w:p>
      <w:pPr>
        <w:ind w:left="1080"/>
        <w:spacing w:after="0"/>
        <w:rPr>
          <w:sz w:val="20"/>
          <w:szCs w:val="20"/>
          <w:color w:val="auto"/>
        </w:rPr>
      </w:pPr>
      <w:r>
        <w:rPr>
          <w:rFonts w:ascii="Arial" w:cs="Arial" w:eastAsia="Arial" w:hAnsi="Arial"/>
          <w:sz w:val="43"/>
          <w:szCs w:val="43"/>
          <w:b w:val="1"/>
          <w:bCs w:val="1"/>
          <w:color w:val="0C3471"/>
        </w:rPr>
        <w:t>Pay Versus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-277495</wp:posOffset>
            </wp:positionV>
            <wp:extent cx="445770" cy="47180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445770" cy="471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20"/>
        <w:spacing w:after="0"/>
        <w:rPr>
          <w:sz w:val="20"/>
          <w:szCs w:val="20"/>
          <w:color w:val="auto"/>
        </w:rPr>
      </w:pPr>
      <w:r>
        <w:rPr>
          <w:rFonts w:ascii="Arial" w:cs="Arial" w:eastAsia="Arial" w:hAnsi="Arial"/>
          <w:sz w:val="29"/>
          <w:szCs w:val="29"/>
          <w:color w:val="64A70B"/>
        </w:rPr>
        <w:t>Pay Versus Performance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As required by item 402(v) of Regulation S-K, we are providing the following information:</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720" w:type="dxa"/>
            <w:vAlign w:val="bottom"/>
          </w:tcPr>
          <w:p>
            <w:pPr>
              <w:ind w:left="20"/>
              <w:spacing w:after="0"/>
              <w:rPr>
                <w:sz w:val="20"/>
                <w:szCs w:val="20"/>
                <w:color w:val="auto"/>
              </w:rPr>
            </w:pPr>
            <w:r>
              <w:rPr>
                <w:rFonts w:ascii="Arial" w:cs="Arial" w:eastAsia="Arial" w:hAnsi="Arial"/>
                <w:sz w:val="13"/>
                <w:szCs w:val="13"/>
                <w:b w:val="1"/>
                <w:bCs w:val="1"/>
                <w:color w:val="0C3471"/>
              </w:rPr>
              <w:t>(a)</w:t>
            </w:r>
          </w:p>
        </w:tc>
        <w:tc>
          <w:tcPr>
            <w:tcW w:w="1560" w:type="dxa"/>
            <w:vAlign w:val="bottom"/>
          </w:tcPr>
          <w:p>
            <w:pPr>
              <w:jc w:val="right"/>
              <w:ind w:right="111"/>
              <w:spacing w:after="0"/>
              <w:rPr>
                <w:sz w:val="20"/>
                <w:szCs w:val="20"/>
                <w:color w:val="auto"/>
              </w:rPr>
            </w:pPr>
            <w:r>
              <w:rPr>
                <w:rFonts w:ascii="Arial" w:cs="Arial" w:eastAsia="Arial" w:hAnsi="Arial"/>
                <w:sz w:val="13"/>
                <w:szCs w:val="13"/>
                <w:b w:val="1"/>
                <w:bCs w:val="1"/>
                <w:color w:val="0C3471"/>
              </w:rPr>
              <w:t>(b)</w:t>
            </w:r>
          </w:p>
        </w:tc>
        <w:tc>
          <w:tcPr>
            <w:tcW w:w="1340" w:type="dxa"/>
            <w:vAlign w:val="bottom"/>
          </w:tcPr>
          <w:p>
            <w:pPr>
              <w:jc w:val="right"/>
              <w:ind w:right="89"/>
              <w:spacing w:after="0"/>
              <w:rPr>
                <w:sz w:val="20"/>
                <w:szCs w:val="20"/>
                <w:color w:val="auto"/>
              </w:rPr>
            </w:pPr>
            <w:r>
              <w:rPr>
                <w:rFonts w:ascii="Arial" w:cs="Arial" w:eastAsia="Arial" w:hAnsi="Arial"/>
                <w:sz w:val="13"/>
                <w:szCs w:val="13"/>
                <w:b w:val="1"/>
                <w:bCs w:val="1"/>
                <w:color w:val="0C3471"/>
              </w:rPr>
              <w:t>(c)</w:t>
            </w:r>
          </w:p>
        </w:tc>
        <w:tc>
          <w:tcPr>
            <w:tcW w:w="1400" w:type="dxa"/>
            <w:vAlign w:val="bottom"/>
          </w:tcPr>
          <w:p>
            <w:pPr>
              <w:jc w:val="right"/>
              <w:ind w:right="131"/>
              <w:spacing w:after="0"/>
              <w:rPr>
                <w:sz w:val="20"/>
                <w:szCs w:val="20"/>
                <w:color w:val="auto"/>
              </w:rPr>
            </w:pPr>
            <w:r>
              <w:rPr>
                <w:rFonts w:ascii="Arial" w:cs="Arial" w:eastAsia="Arial" w:hAnsi="Arial"/>
                <w:sz w:val="13"/>
                <w:szCs w:val="13"/>
                <w:b w:val="1"/>
                <w:bCs w:val="1"/>
                <w:color w:val="0C3471"/>
              </w:rPr>
              <w:t>(d)</w:t>
            </w:r>
          </w:p>
        </w:tc>
        <w:tc>
          <w:tcPr>
            <w:tcW w:w="1200" w:type="dxa"/>
            <w:vAlign w:val="bottom"/>
          </w:tcPr>
          <w:p>
            <w:pPr>
              <w:jc w:val="right"/>
              <w:spacing w:after="0"/>
              <w:rPr>
                <w:sz w:val="20"/>
                <w:szCs w:val="20"/>
                <w:color w:val="auto"/>
              </w:rPr>
            </w:pPr>
            <w:r>
              <w:rPr>
                <w:rFonts w:ascii="Arial" w:cs="Arial" w:eastAsia="Arial" w:hAnsi="Arial"/>
                <w:sz w:val="13"/>
                <w:szCs w:val="13"/>
                <w:b w:val="1"/>
                <w:bCs w:val="1"/>
                <w:color w:val="0C3471"/>
              </w:rPr>
              <w:t>(e)</w:t>
            </w:r>
          </w:p>
        </w:tc>
        <w:tc>
          <w:tcPr>
            <w:tcW w:w="1340" w:type="dxa"/>
            <w:vAlign w:val="bottom"/>
          </w:tcPr>
          <w:p>
            <w:pPr>
              <w:jc w:val="right"/>
              <w:ind w:right="109"/>
              <w:spacing w:after="0"/>
              <w:rPr>
                <w:sz w:val="20"/>
                <w:szCs w:val="20"/>
                <w:color w:val="auto"/>
              </w:rPr>
            </w:pPr>
            <w:r>
              <w:rPr>
                <w:rFonts w:ascii="Arial" w:cs="Arial" w:eastAsia="Arial" w:hAnsi="Arial"/>
                <w:sz w:val="13"/>
                <w:szCs w:val="13"/>
                <w:b w:val="1"/>
                <w:bCs w:val="1"/>
                <w:color w:val="0C3471"/>
              </w:rPr>
              <w:t>(f)</w:t>
            </w:r>
          </w:p>
        </w:tc>
        <w:tc>
          <w:tcPr>
            <w:tcW w:w="1040" w:type="dxa"/>
            <w:vAlign w:val="bottom"/>
          </w:tcPr>
          <w:p>
            <w:pPr>
              <w:jc w:val="right"/>
              <w:spacing w:after="0"/>
              <w:rPr>
                <w:sz w:val="20"/>
                <w:szCs w:val="20"/>
                <w:color w:val="auto"/>
              </w:rPr>
            </w:pPr>
            <w:r>
              <w:rPr>
                <w:rFonts w:ascii="Arial" w:cs="Arial" w:eastAsia="Arial" w:hAnsi="Arial"/>
                <w:sz w:val="13"/>
                <w:szCs w:val="13"/>
                <w:b w:val="1"/>
                <w:bCs w:val="1"/>
                <w:color w:val="0C3471"/>
              </w:rPr>
              <w:t>(g)</w:t>
            </w:r>
          </w:p>
        </w:tc>
        <w:tc>
          <w:tcPr>
            <w:tcW w:w="1240" w:type="dxa"/>
            <w:vAlign w:val="bottom"/>
          </w:tcPr>
          <w:p>
            <w:pPr>
              <w:jc w:val="right"/>
              <w:spacing w:after="0"/>
              <w:rPr>
                <w:sz w:val="20"/>
                <w:szCs w:val="20"/>
                <w:color w:val="auto"/>
              </w:rPr>
            </w:pPr>
            <w:r>
              <w:rPr>
                <w:rFonts w:ascii="Arial" w:cs="Arial" w:eastAsia="Arial" w:hAnsi="Arial"/>
                <w:sz w:val="13"/>
                <w:szCs w:val="13"/>
                <w:b w:val="1"/>
                <w:bCs w:val="1"/>
                <w:color w:val="0C3471"/>
              </w:rPr>
              <w:t>(h)</w:t>
            </w:r>
          </w:p>
        </w:tc>
        <w:tc>
          <w:tcPr>
            <w:tcW w:w="1400" w:type="dxa"/>
            <w:vAlign w:val="bottom"/>
          </w:tcPr>
          <w:p>
            <w:pPr>
              <w:jc w:val="right"/>
              <w:spacing w:after="0"/>
              <w:rPr>
                <w:sz w:val="20"/>
                <w:szCs w:val="20"/>
                <w:color w:val="auto"/>
              </w:rPr>
            </w:pPr>
            <w:r>
              <w:rPr>
                <w:rFonts w:ascii="Arial" w:cs="Arial" w:eastAsia="Arial" w:hAnsi="Arial"/>
                <w:sz w:val="13"/>
                <w:szCs w:val="13"/>
                <w:b w:val="1"/>
                <w:bCs w:val="1"/>
                <w:color w:val="0C3471"/>
              </w:rPr>
              <w:t>(i)</w:t>
            </w:r>
          </w:p>
        </w:tc>
        <w:tc>
          <w:tcPr>
            <w:tcW w:w="0" w:type="dxa"/>
            <w:vAlign w:val="bottom"/>
          </w:tcPr>
          <w:p>
            <w:pPr>
              <w:spacing w:after="0"/>
              <w:rPr>
                <w:sz w:val="1"/>
                <w:szCs w:val="1"/>
                <w:color w:val="auto"/>
              </w:rPr>
            </w:pPr>
          </w:p>
        </w:tc>
      </w:tr>
      <w:tr>
        <w:trPr>
          <w:trHeight w:val="22"/>
        </w:trPr>
        <w:tc>
          <w:tcPr>
            <w:tcW w:w="720" w:type="dxa"/>
            <w:vAlign w:val="bottom"/>
            <w:tcBorders>
              <w:bottom w:val="single" w:sz="8" w:color="CED6E3"/>
            </w:tcBorders>
          </w:tcPr>
          <w:p>
            <w:pPr>
              <w:spacing w:after="0" w:line="20" w:lineRule="exact"/>
              <w:rPr>
                <w:sz w:val="1"/>
                <w:szCs w:val="1"/>
                <w:color w:val="auto"/>
              </w:rPr>
            </w:pPr>
          </w:p>
        </w:tc>
        <w:tc>
          <w:tcPr>
            <w:tcW w:w="1560" w:type="dxa"/>
            <w:vAlign w:val="bottom"/>
            <w:tcBorders>
              <w:bottom w:val="single" w:sz="8" w:color="CED6E3"/>
            </w:tcBorders>
          </w:tcPr>
          <w:p>
            <w:pPr>
              <w:spacing w:after="0" w:line="20" w:lineRule="exact"/>
              <w:rPr>
                <w:sz w:val="1"/>
                <w:szCs w:val="1"/>
                <w:color w:val="auto"/>
              </w:rPr>
            </w:pPr>
          </w:p>
        </w:tc>
        <w:tc>
          <w:tcPr>
            <w:tcW w:w="1340" w:type="dxa"/>
            <w:vAlign w:val="bottom"/>
            <w:tcBorders>
              <w:bottom w:val="single" w:sz="8" w:color="CED6E3"/>
            </w:tcBorders>
          </w:tcPr>
          <w:p>
            <w:pPr>
              <w:spacing w:after="0" w:line="20" w:lineRule="exact"/>
              <w:rPr>
                <w:sz w:val="1"/>
                <w:szCs w:val="1"/>
                <w:color w:val="auto"/>
              </w:rPr>
            </w:pPr>
          </w:p>
        </w:tc>
        <w:tc>
          <w:tcPr>
            <w:tcW w:w="1400" w:type="dxa"/>
            <w:vAlign w:val="bottom"/>
            <w:tcBorders>
              <w:bottom w:val="single" w:sz="8" w:color="CED6E3"/>
            </w:tcBorders>
          </w:tcPr>
          <w:p>
            <w:pPr>
              <w:spacing w:after="0" w:line="20" w:lineRule="exact"/>
              <w:rPr>
                <w:sz w:val="1"/>
                <w:szCs w:val="1"/>
                <w:color w:val="auto"/>
              </w:rPr>
            </w:pPr>
          </w:p>
        </w:tc>
        <w:tc>
          <w:tcPr>
            <w:tcW w:w="1200" w:type="dxa"/>
            <w:vAlign w:val="bottom"/>
            <w:tcBorders>
              <w:bottom w:val="single" w:sz="8" w:color="CED6E3"/>
            </w:tcBorders>
          </w:tcPr>
          <w:p>
            <w:pPr>
              <w:spacing w:after="0" w:line="20" w:lineRule="exact"/>
              <w:rPr>
                <w:sz w:val="1"/>
                <w:szCs w:val="1"/>
                <w:color w:val="auto"/>
              </w:rPr>
            </w:pPr>
          </w:p>
        </w:tc>
        <w:tc>
          <w:tcPr>
            <w:tcW w:w="2380" w:type="dxa"/>
            <w:vAlign w:val="bottom"/>
            <w:tcBorders>
              <w:bottom w:val="single" w:sz="8" w:color="CED6E3"/>
            </w:tcBorders>
            <w:gridSpan w:val="2"/>
          </w:tcPr>
          <w:p>
            <w:pPr>
              <w:spacing w:after="0" w:line="20" w:lineRule="exact"/>
              <w:rPr>
                <w:sz w:val="1"/>
                <w:szCs w:val="1"/>
                <w:color w:val="auto"/>
              </w:rPr>
            </w:pPr>
          </w:p>
        </w:tc>
        <w:tc>
          <w:tcPr>
            <w:tcW w:w="1240" w:type="dxa"/>
            <w:vAlign w:val="bottom"/>
            <w:tcBorders>
              <w:bottom w:val="single" w:sz="8" w:color="CED6E3"/>
            </w:tcBorders>
          </w:tcPr>
          <w:p>
            <w:pPr>
              <w:spacing w:after="0" w:line="20" w:lineRule="exact"/>
              <w:rPr>
                <w:sz w:val="1"/>
                <w:szCs w:val="1"/>
                <w:color w:val="auto"/>
              </w:rPr>
            </w:pPr>
          </w:p>
        </w:tc>
        <w:tc>
          <w:tcPr>
            <w:tcW w:w="1400" w:type="dxa"/>
            <w:vAlign w:val="bottom"/>
            <w:tcBorders>
              <w:bottom w:val="single" w:sz="8" w:color="CED6E3"/>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7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0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rPr>
              <w:t>Average</w:t>
            </w:r>
          </w:p>
        </w:tc>
        <w:tc>
          <w:tcPr>
            <w:tcW w:w="1200" w:type="dxa"/>
            <w:vAlign w:val="bottom"/>
          </w:tcPr>
          <w:p>
            <w:pPr>
              <w:spacing w:after="0"/>
              <w:rPr>
                <w:sz w:val="17"/>
                <w:szCs w:val="17"/>
                <w:color w:val="auto"/>
              </w:rPr>
            </w:pPr>
          </w:p>
        </w:tc>
        <w:tc>
          <w:tcPr>
            <w:tcW w:w="2380" w:type="dxa"/>
            <w:vAlign w:val="bottom"/>
            <w:gridSpan w:val="2"/>
          </w:tcPr>
          <w:p>
            <w:pPr>
              <w:jc w:val="right"/>
              <w:ind w:right="249"/>
              <w:spacing w:after="0"/>
              <w:rPr>
                <w:sz w:val="20"/>
                <w:szCs w:val="20"/>
                <w:color w:val="auto"/>
              </w:rPr>
            </w:pPr>
            <w:r>
              <w:rPr>
                <w:rFonts w:ascii="Arial" w:cs="Arial" w:eastAsia="Arial" w:hAnsi="Arial"/>
                <w:sz w:val="14"/>
                <w:szCs w:val="14"/>
                <w:b w:val="1"/>
                <w:bCs w:val="1"/>
                <w:color w:val="0C3471"/>
              </w:rPr>
              <w:t>Value of Initial Fixed $100</w:t>
            </w:r>
          </w:p>
        </w:tc>
        <w:tc>
          <w:tcPr>
            <w:tcW w:w="12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4"/>
        </w:trPr>
        <w:tc>
          <w:tcPr>
            <w:tcW w:w="720" w:type="dxa"/>
            <w:vAlign w:val="bottom"/>
          </w:tcPr>
          <w:p>
            <w:pPr>
              <w:spacing w:after="0"/>
              <w:rPr>
                <w:sz w:val="8"/>
                <w:szCs w:val="8"/>
                <w:color w:val="auto"/>
              </w:rPr>
            </w:pPr>
          </w:p>
        </w:tc>
        <w:tc>
          <w:tcPr>
            <w:tcW w:w="15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400" w:type="dxa"/>
            <w:vAlign w:val="bottom"/>
            <w:vMerge w:val="continue"/>
          </w:tcPr>
          <w:p>
            <w:pPr>
              <w:spacing w:after="0"/>
              <w:rPr>
                <w:sz w:val="8"/>
                <w:szCs w:val="8"/>
                <w:color w:val="auto"/>
              </w:rPr>
            </w:pPr>
          </w:p>
        </w:tc>
        <w:tc>
          <w:tcPr>
            <w:tcW w:w="1200" w:type="dxa"/>
            <w:vAlign w:val="bottom"/>
          </w:tcPr>
          <w:p>
            <w:pPr>
              <w:spacing w:after="0"/>
              <w:rPr>
                <w:sz w:val="8"/>
                <w:szCs w:val="8"/>
                <w:color w:val="auto"/>
              </w:rPr>
            </w:pPr>
          </w:p>
        </w:tc>
        <w:tc>
          <w:tcPr>
            <w:tcW w:w="2380" w:type="dxa"/>
            <w:vAlign w:val="bottom"/>
            <w:gridSpan w:val="2"/>
            <w:vMerge w:val="restart"/>
          </w:tcPr>
          <w:p>
            <w:pPr>
              <w:jc w:val="right"/>
              <w:ind w:right="389"/>
              <w:spacing w:after="0"/>
              <w:rPr>
                <w:sz w:val="20"/>
                <w:szCs w:val="20"/>
                <w:color w:val="auto"/>
              </w:rPr>
            </w:pPr>
            <w:r>
              <w:rPr>
                <w:rFonts w:ascii="Arial" w:cs="Arial" w:eastAsia="Arial" w:hAnsi="Arial"/>
                <w:sz w:val="14"/>
                <w:szCs w:val="14"/>
                <w:b w:val="1"/>
                <w:bCs w:val="1"/>
                <w:color w:val="0C3471"/>
              </w:rPr>
              <w:t>Investment based on:</w:t>
            </w:r>
          </w:p>
        </w:tc>
        <w:tc>
          <w:tcPr>
            <w:tcW w:w="1240" w:type="dxa"/>
            <w:vAlign w:val="bottom"/>
          </w:tcPr>
          <w:p>
            <w:pPr>
              <w:spacing w:after="0"/>
              <w:rPr>
                <w:sz w:val="8"/>
                <w:szCs w:val="8"/>
                <w:color w:val="auto"/>
              </w:rPr>
            </w:pPr>
          </w:p>
        </w:tc>
        <w:tc>
          <w:tcPr>
            <w:tcW w:w="1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6"/>
        </w:trPr>
        <w:tc>
          <w:tcPr>
            <w:tcW w:w="720" w:type="dxa"/>
            <w:vAlign w:val="bottom"/>
          </w:tcPr>
          <w:p>
            <w:pPr>
              <w:spacing w:after="0"/>
              <w:rPr>
                <w:sz w:val="9"/>
                <w:szCs w:val="9"/>
                <w:color w:val="auto"/>
              </w:rPr>
            </w:pPr>
          </w:p>
        </w:tc>
        <w:tc>
          <w:tcPr>
            <w:tcW w:w="1560" w:type="dxa"/>
            <w:vAlign w:val="bottom"/>
            <w:vMerge w:val="restart"/>
          </w:tcPr>
          <w:p>
            <w:pPr>
              <w:jc w:val="right"/>
              <w:ind w:right="111"/>
              <w:spacing w:after="0"/>
              <w:rPr>
                <w:sz w:val="20"/>
                <w:szCs w:val="20"/>
                <w:color w:val="auto"/>
              </w:rPr>
            </w:pPr>
            <w:r>
              <w:rPr>
                <w:rFonts w:ascii="Arial" w:cs="Arial" w:eastAsia="Arial" w:hAnsi="Arial"/>
                <w:sz w:val="14"/>
                <w:szCs w:val="14"/>
                <w:b w:val="1"/>
                <w:bCs w:val="1"/>
                <w:color w:val="auto"/>
              </w:rPr>
              <w:t>Summary</w:t>
            </w:r>
          </w:p>
        </w:tc>
        <w:tc>
          <w:tcPr>
            <w:tcW w:w="1340" w:type="dxa"/>
            <w:vAlign w:val="bottom"/>
          </w:tcPr>
          <w:p>
            <w:pPr>
              <w:spacing w:after="0"/>
              <w:rPr>
                <w:sz w:val="9"/>
                <w:szCs w:val="9"/>
                <w:color w:val="auto"/>
              </w:rPr>
            </w:pPr>
          </w:p>
        </w:tc>
        <w:tc>
          <w:tcPr>
            <w:tcW w:w="140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rPr>
              <w:t>Summary</w:t>
            </w:r>
          </w:p>
        </w:tc>
        <w:tc>
          <w:tcPr>
            <w:tcW w:w="1200" w:type="dxa"/>
            <w:vAlign w:val="bottom"/>
          </w:tcPr>
          <w:p>
            <w:pPr>
              <w:spacing w:after="0"/>
              <w:rPr>
                <w:sz w:val="9"/>
                <w:szCs w:val="9"/>
                <w:color w:val="auto"/>
              </w:rPr>
            </w:pPr>
          </w:p>
        </w:tc>
        <w:tc>
          <w:tcPr>
            <w:tcW w:w="2380" w:type="dxa"/>
            <w:vAlign w:val="bottom"/>
            <w:tcBorders>
              <w:bottom w:val="single" w:sz="8" w:color="CED6E3"/>
            </w:tcBorders>
            <w:gridSpan w:val="2"/>
            <w:vMerge w:val="continue"/>
          </w:tcPr>
          <w:p>
            <w:pPr>
              <w:spacing w:after="0"/>
              <w:rPr>
                <w:sz w:val="9"/>
                <w:szCs w:val="9"/>
                <w:color w:val="auto"/>
              </w:rPr>
            </w:pPr>
          </w:p>
        </w:tc>
        <w:tc>
          <w:tcPr>
            <w:tcW w:w="1240" w:type="dxa"/>
            <w:vAlign w:val="bottom"/>
          </w:tcPr>
          <w:p>
            <w:pPr>
              <w:spacing w:after="0"/>
              <w:rPr>
                <w:sz w:val="9"/>
                <w:szCs w:val="9"/>
                <w:color w:val="auto"/>
              </w:rPr>
            </w:pPr>
          </w:p>
        </w:tc>
        <w:tc>
          <w:tcPr>
            <w:tcW w:w="1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5"/>
        </w:trPr>
        <w:tc>
          <w:tcPr>
            <w:tcW w:w="720" w:type="dxa"/>
            <w:vAlign w:val="bottom"/>
          </w:tcPr>
          <w:p>
            <w:pPr>
              <w:spacing w:after="0"/>
              <w:rPr>
                <w:sz w:val="3"/>
                <w:szCs w:val="3"/>
                <w:color w:val="auto"/>
              </w:rPr>
            </w:pPr>
          </w:p>
        </w:tc>
        <w:tc>
          <w:tcPr>
            <w:tcW w:w="1560" w:type="dxa"/>
            <w:vAlign w:val="bottom"/>
            <w:vMerge w:val="continue"/>
          </w:tcPr>
          <w:p>
            <w:pPr>
              <w:spacing w:after="0"/>
              <w:rPr>
                <w:sz w:val="3"/>
                <w:szCs w:val="3"/>
                <w:color w:val="auto"/>
              </w:rPr>
            </w:pPr>
          </w:p>
        </w:tc>
        <w:tc>
          <w:tcPr>
            <w:tcW w:w="1340" w:type="dxa"/>
            <w:vAlign w:val="bottom"/>
          </w:tcPr>
          <w:p>
            <w:pPr>
              <w:spacing w:after="0"/>
              <w:rPr>
                <w:sz w:val="3"/>
                <w:szCs w:val="3"/>
                <w:color w:val="auto"/>
              </w:rPr>
            </w:pPr>
          </w:p>
        </w:tc>
        <w:tc>
          <w:tcPr>
            <w:tcW w:w="1400" w:type="dxa"/>
            <w:vAlign w:val="bottom"/>
            <w:vMerge w:val="continue"/>
          </w:tcPr>
          <w:p>
            <w:pPr>
              <w:spacing w:after="0"/>
              <w:rPr>
                <w:sz w:val="3"/>
                <w:szCs w:val="3"/>
                <w:color w:val="auto"/>
              </w:rPr>
            </w:pPr>
          </w:p>
        </w:tc>
        <w:tc>
          <w:tcPr>
            <w:tcW w:w="12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4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720" w:type="dxa"/>
            <w:vAlign w:val="bottom"/>
          </w:tcPr>
          <w:p>
            <w:pPr>
              <w:spacing w:after="0"/>
              <w:rPr>
                <w:sz w:val="14"/>
                <w:szCs w:val="14"/>
                <w:color w:val="auto"/>
              </w:rPr>
            </w:pPr>
          </w:p>
        </w:tc>
        <w:tc>
          <w:tcPr>
            <w:tcW w:w="1560" w:type="dxa"/>
            <w:vAlign w:val="bottom"/>
          </w:tcPr>
          <w:p>
            <w:pPr>
              <w:jc w:val="right"/>
              <w:ind w:right="111"/>
              <w:spacing w:after="0"/>
              <w:rPr>
                <w:sz w:val="20"/>
                <w:szCs w:val="20"/>
                <w:color w:val="auto"/>
              </w:rPr>
            </w:pPr>
            <w:r>
              <w:rPr>
                <w:rFonts w:ascii="Arial" w:cs="Arial" w:eastAsia="Arial" w:hAnsi="Arial"/>
                <w:sz w:val="14"/>
                <w:szCs w:val="14"/>
                <w:b w:val="1"/>
                <w:bCs w:val="1"/>
                <w:color w:val="auto"/>
              </w:rPr>
              <w:t>Compensation</w:t>
            </w:r>
          </w:p>
        </w:tc>
        <w:tc>
          <w:tcPr>
            <w:tcW w:w="1340" w:type="dxa"/>
            <w:vAlign w:val="bottom"/>
          </w:tcPr>
          <w:p>
            <w:pPr>
              <w:spacing w:after="0"/>
              <w:rPr>
                <w:sz w:val="14"/>
                <w:szCs w:val="14"/>
                <w:color w:val="auto"/>
              </w:rPr>
            </w:pPr>
          </w:p>
        </w:tc>
        <w:tc>
          <w:tcPr>
            <w:tcW w:w="1400" w:type="dxa"/>
            <w:vAlign w:val="bottom"/>
          </w:tcPr>
          <w:p>
            <w:pPr>
              <w:jc w:val="right"/>
              <w:ind w:right="131"/>
              <w:spacing w:after="0"/>
              <w:rPr>
                <w:sz w:val="20"/>
                <w:szCs w:val="20"/>
                <w:color w:val="auto"/>
              </w:rPr>
            </w:pPr>
            <w:r>
              <w:rPr>
                <w:rFonts w:ascii="Arial" w:cs="Arial" w:eastAsia="Arial" w:hAnsi="Arial"/>
                <w:sz w:val="14"/>
                <w:szCs w:val="14"/>
                <w:b w:val="1"/>
                <w:bCs w:val="1"/>
                <w:color w:val="auto"/>
              </w:rPr>
              <w:t>Compensation</w:t>
            </w: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rPr>
              <w:t>Average</w:t>
            </w:r>
          </w:p>
        </w:tc>
        <w:tc>
          <w:tcPr>
            <w:tcW w:w="13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Peer Group</w:t>
            </w:r>
          </w:p>
        </w:tc>
        <w:tc>
          <w:tcPr>
            <w:tcW w:w="12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720" w:type="dxa"/>
            <w:vAlign w:val="bottom"/>
          </w:tcPr>
          <w:p>
            <w:pPr>
              <w:spacing w:after="0"/>
              <w:rPr>
                <w:sz w:val="15"/>
                <w:szCs w:val="15"/>
                <w:color w:val="auto"/>
              </w:rPr>
            </w:pPr>
          </w:p>
        </w:tc>
        <w:tc>
          <w:tcPr>
            <w:tcW w:w="1560" w:type="dxa"/>
            <w:vAlign w:val="bottom"/>
          </w:tcPr>
          <w:p>
            <w:pPr>
              <w:jc w:val="right"/>
              <w:ind w:right="111"/>
              <w:spacing w:after="0"/>
              <w:rPr>
                <w:sz w:val="20"/>
                <w:szCs w:val="20"/>
                <w:color w:val="auto"/>
              </w:rPr>
            </w:pPr>
            <w:r>
              <w:rPr>
                <w:rFonts w:ascii="Arial" w:cs="Arial" w:eastAsia="Arial" w:hAnsi="Arial"/>
                <w:sz w:val="14"/>
                <w:szCs w:val="14"/>
                <w:b w:val="1"/>
                <w:bCs w:val="1"/>
                <w:color w:val="auto"/>
              </w:rPr>
              <w:t>Table Total</w:t>
            </w:r>
          </w:p>
        </w:tc>
        <w:tc>
          <w:tcPr>
            <w:tcW w:w="1340" w:type="dxa"/>
            <w:vAlign w:val="bottom"/>
          </w:tcPr>
          <w:p>
            <w:pPr>
              <w:jc w:val="right"/>
              <w:ind w:right="89"/>
              <w:spacing w:after="0"/>
              <w:rPr>
                <w:sz w:val="20"/>
                <w:szCs w:val="20"/>
                <w:color w:val="auto"/>
              </w:rPr>
            </w:pPr>
            <w:r>
              <w:rPr>
                <w:rFonts w:ascii="Arial" w:cs="Arial" w:eastAsia="Arial" w:hAnsi="Arial"/>
                <w:sz w:val="14"/>
                <w:szCs w:val="14"/>
                <w:b w:val="1"/>
                <w:bCs w:val="1"/>
                <w:color w:val="auto"/>
              </w:rPr>
              <w:t>Compensation</w:t>
            </w:r>
          </w:p>
        </w:tc>
        <w:tc>
          <w:tcPr>
            <w:tcW w:w="1400" w:type="dxa"/>
            <w:vAlign w:val="bottom"/>
          </w:tcPr>
          <w:p>
            <w:pPr>
              <w:jc w:val="right"/>
              <w:ind w:right="131"/>
              <w:spacing w:after="0"/>
              <w:rPr>
                <w:sz w:val="20"/>
                <w:szCs w:val="20"/>
                <w:color w:val="auto"/>
              </w:rPr>
            </w:pPr>
            <w:r>
              <w:rPr>
                <w:rFonts w:ascii="Arial" w:cs="Arial" w:eastAsia="Arial" w:hAnsi="Arial"/>
                <w:sz w:val="14"/>
                <w:szCs w:val="14"/>
                <w:b w:val="1"/>
                <w:bCs w:val="1"/>
                <w:color w:val="auto"/>
              </w:rPr>
              <w:t>Table Total</w:t>
            </w: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rPr>
              <w:t>Compensation</w:t>
            </w:r>
          </w:p>
        </w:tc>
        <w:tc>
          <w:tcPr>
            <w:tcW w:w="1340" w:type="dxa"/>
            <w:vAlign w:val="bottom"/>
          </w:tcPr>
          <w:p>
            <w:pPr>
              <w:jc w:val="right"/>
              <w:ind w:right="109"/>
              <w:spacing w:after="0"/>
              <w:rPr>
                <w:sz w:val="20"/>
                <w:szCs w:val="20"/>
                <w:color w:val="auto"/>
              </w:rPr>
            </w:pPr>
            <w:r>
              <w:rPr>
                <w:rFonts w:ascii="Arial" w:cs="Arial" w:eastAsia="Arial" w:hAnsi="Arial"/>
                <w:sz w:val="14"/>
                <w:szCs w:val="14"/>
                <w:b w:val="1"/>
                <w:bCs w:val="1"/>
                <w:color w:val="auto"/>
              </w:rPr>
              <w:t>Total</w:t>
            </w: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Total</w:t>
            </w:r>
          </w:p>
        </w:tc>
        <w:tc>
          <w:tcPr>
            <w:tcW w:w="124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b w:val="1"/>
                <w:bCs w:val="1"/>
                <w:color w:val="auto"/>
              </w:rPr>
              <w:t>Company-Wide</w:t>
            </w:r>
          </w:p>
        </w:tc>
        <w:tc>
          <w:tcPr>
            <w:tcW w:w="0" w:type="dxa"/>
            <w:vAlign w:val="bottom"/>
          </w:tcPr>
          <w:p>
            <w:pPr>
              <w:spacing w:after="0"/>
              <w:rPr>
                <w:sz w:val="1"/>
                <w:szCs w:val="1"/>
                <w:color w:val="auto"/>
              </w:rPr>
            </w:pPr>
          </w:p>
        </w:tc>
      </w:tr>
      <w:tr>
        <w:trPr>
          <w:trHeight w:val="176"/>
        </w:trPr>
        <w:tc>
          <w:tcPr>
            <w:tcW w:w="720" w:type="dxa"/>
            <w:vAlign w:val="bottom"/>
          </w:tcPr>
          <w:p>
            <w:pPr>
              <w:spacing w:after="0"/>
              <w:rPr>
                <w:sz w:val="15"/>
                <w:szCs w:val="15"/>
                <w:color w:val="auto"/>
              </w:rPr>
            </w:pPr>
          </w:p>
        </w:tc>
        <w:tc>
          <w:tcPr>
            <w:tcW w:w="1560" w:type="dxa"/>
            <w:vAlign w:val="bottom"/>
          </w:tcPr>
          <w:p>
            <w:pPr>
              <w:jc w:val="right"/>
              <w:ind w:right="111"/>
              <w:spacing w:after="0"/>
              <w:rPr>
                <w:sz w:val="20"/>
                <w:szCs w:val="20"/>
                <w:color w:val="auto"/>
              </w:rPr>
            </w:pPr>
            <w:r>
              <w:rPr>
                <w:rFonts w:ascii="Arial" w:cs="Arial" w:eastAsia="Arial" w:hAnsi="Arial"/>
                <w:sz w:val="14"/>
                <w:szCs w:val="14"/>
                <w:b w:val="1"/>
                <w:bCs w:val="1"/>
                <w:color w:val="auto"/>
              </w:rPr>
              <w:t>Compensation</w:t>
            </w:r>
          </w:p>
        </w:tc>
        <w:tc>
          <w:tcPr>
            <w:tcW w:w="1340" w:type="dxa"/>
            <w:vAlign w:val="bottom"/>
          </w:tcPr>
          <w:p>
            <w:pPr>
              <w:jc w:val="right"/>
              <w:ind w:right="89"/>
              <w:spacing w:after="0"/>
              <w:rPr>
                <w:sz w:val="20"/>
                <w:szCs w:val="20"/>
                <w:color w:val="auto"/>
              </w:rPr>
            </w:pPr>
            <w:r>
              <w:rPr>
                <w:rFonts w:ascii="Arial" w:cs="Arial" w:eastAsia="Arial" w:hAnsi="Arial"/>
                <w:sz w:val="14"/>
                <w:szCs w:val="14"/>
                <w:b w:val="1"/>
                <w:bCs w:val="1"/>
                <w:color w:val="auto"/>
              </w:rPr>
              <w:t>Actually Paid</w:t>
            </w:r>
          </w:p>
        </w:tc>
        <w:tc>
          <w:tcPr>
            <w:tcW w:w="1400" w:type="dxa"/>
            <w:vAlign w:val="bottom"/>
          </w:tcPr>
          <w:p>
            <w:pPr>
              <w:jc w:val="right"/>
              <w:ind w:right="131"/>
              <w:spacing w:after="0"/>
              <w:rPr>
                <w:sz w:val="20"/>
                <w:szCs w:val="20"/>
                <w:color w:val="auto"/>
              </w:rPr>
            </w:pPr>
            <w:r>
              <w:rPr>
                <w:rFonts w:ascii="Arial" w:cs="Arial" w:eastAsia="Arial" w:hAnsi="Arial"/>
                <w:sz w:val="14"/>
                <w:szCs w:val="14"/>
                <w:b w:val="1"/>
                <w:bCs w:val="1"/>
                <w:color w:val="auto"/>
              </w:rPr>
              <w:t>Compensation</w:t>
            </w: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rPr>
              <w:t>Actually Paid</w:t>
            </w:r>
          </w:p>
        </w:tc>
        <w:tc>
          <w:tcPr>
            <w:tcW w:w="1340" w:type="dxa"/>
            <w:vAlign w:val="bottom"/>
          </w:tcPr>
          <w:p>
            <w:pPr>
              <w:jc w:val="right"/>
              <w:ind w:right="109"/>
              <w:spacing w:after="0"/>
              <w:rPr>
                <w:sz w:val="20"/>
                <w:szCs w:val="20"/>
                <w:color w:val="auto"/>
              </w:rPr>
            </w:pPr>
            <w:r>
              <w:rPr>
                <w:rFonts w:ascii="Arial" w:cs="Arial" w:eastAsia="Arial" w:hAnsi="Arial"/>
                <w:sz w:val="14"/>
                <w:szCs w:val="14"/>
                <w:b w:val="1"/>
                <w:bCs w:val="1"/>
                <w:color w:val="auto"/>
              </w:rPr>
              <w:t>Shareholder</w:t>
            </w: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Shareholder</w:t>
            </w:r>
          </w:p>
        </w:tc>
        <w:tc>
          <w:tcPr>
            <w:tcW w:w="124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b w:val="1"/>
                <w:bCs w:val="1"/>
                <w:color w:val="auto"/>
              </w:rPr>
              <w:t>Adjusted Operating</w:t>
            </w:r>
          </w:p>
        </w:tc>
        <w:tc>
          <w:tcPr>
            <w:tcW w:w="0" w:type="dxa"/>
            <w:vAlign w:val="bottom"/>
          </w:tcPr>
          <w:p>
            <w:pPr>
              <w:spacing w:after="0"/>
              <w:rPr>
                <w:sz w:val="1"/>
                <w:szCs w:val="1"/>
                <w:color w:val="auto"/>
              </w:rPr>
            </w:pPr>
          </w:p>
        </w:tc>
      </w:tr>
      <w:tr>
        <w:trPr>
          <w:trHeight w:val="173"/>
        </w:trPr>
        <w:tc>
          <w:tcPr>
            <w:tcW w:w="720" w:type="dxa"/>
            <w:vAlign w:val="bottom"/>
          </w:tcPr>
          <w:p>
            <w:pPr>
              <w:spacing w:after="0"/>
              <w:rPr>
                <w:sz w:val="15"/>
                <w:szCs w:val="15"/>
                <w:color w:val="auto"/>
              </w:rPr>
            </w:pPr>
          </w:p>
        </w:tc>
        <w:tc>
          <w:tcPr>
            <w:tcW w:w="1560" w:type="dxa"/>
            <w:vAlign w:val="bottom"/>
          </w:tcPr>
          <w:p>
            <w:pPr>
              <w:jc w:val="right"/>
              <w:ind w:right="111"/>
              <w:spacing w:after="0"/>
              <w:rPr>
                <w:sz w:val="20"/>
                <w:szCs w:val="20"/>
                <w:color w:val="auto"/>
              </w:rPr>
            </w:pPr>
            <w:r>
              <w:rPr>
                <w:rFonts w:ascii="Arial" w:cs="Arial" w:eastAsia="Arial" w:hAnsi="Arial"/>
                <w:sz w:val="14"/>
                <w:szCs w:val="14"/>
                <w:b w:val="1"/>
                <w:bCs w:val="1"/>
                <w:color w:val="auto"/>
              </w:rPr>
              <w:t>for CEO</w:t>
            </w:r>
          </w:p>
        </w:tc>
        <w:tc>
          <w:tcPr>
            <w:tcW w:w="1340" w:type="dxa"/>
            <w:vAlign w:val="bottom"/>
          </w:tcPr>
          <w:p>
            <w:pPr>
              <w:jc w:val="right"/>
              <w:ind w:right="89"/>
              <w:spacing w:after="0"/>
              <w:rPr>
                <w:sz w:val="20"/>
                <w:szCs w:val="20"/>
                <w:color w:val="auto"/>
              </w:rPr>
            </w:pPr>
            <w:r>
              <w:rPr>
                <w:rFonts w:ascii="Arial" w:cs="Arial" w:eastAsia="Arial" w:hAnsi="Arial"/>
                <w:sz w:val="14"/>
                <w:szCs w:val="14"/>
                <w:b w:val="1"/>
                <w:bCs w:val="1"/>
                <w:color w:val="auto"/>
              </w:rPr>
              <w:t>to CEO</w:t>
            </w:r>
          </w:p>
        </w:tc>
        <w:tc>
          <w:tcPr>
            <w:tcW w:w="1400" w:type="dxa"/>
            <w:vAlign w:val="bottom"/>
          </w:tcPr>
          <w:p>
            <w:pPr>
              <w:jc w:val="right"/>
              <w:ind w:right="131"/>
              <w:spacing w:after="0"/>
              <w:rPr>
                <w:sz w:val="20"/>
                <w:szCs w:val="20"/>
                <w:color w:val="auto"/>
              </w:rPr>
            </w:pPr>
            <w:r>
              <w:rPr>
                <w:rFonts w:ascii="Arial" w:cs="Arial" w:eastAsia="Arial" w:hAnsi="Arial"/>
                <w:sz w:val="14"/>
                <w:szCs w:val="14"/>
                <w:b w:val="1"/>
                <w:bCs w:val="1"/>
                <w:color w:val="auto"/>
              </w:rPr>
              <w:t>for Other NEOs</w:t>
            </w: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rPr>
              <w:t>to Other NEOs</w:t>
            </w:r>
          </w:p>
        </w:tc>
        <w:tc>
          <w:tcPr>
            <w:tcW w:w="1340" w:type="dxa"/>
            <w:vAlign w:val="bottom"/>
          </w:tcPr>
          <w:p>
            <w:pPr>
              <w:jc w:val="right"/>
              <w:ind w:right="109"/>
              <w:spacing w:after="0"/>
              <w:rPr>
                <w:sz w:val="20"/>
                <w:szCs w:val="20"/>
                <w:color w:val="auto"/>
              </w:rPr>
            </w:pPr>
            <w:r>
              <w:rPr>
                <w:rFonts w:ascii="Arial" w:cs="Arial" w:eastAsia="Arial" w:hAnsi="Arial"/>
                <w:sz w:val="14"/>
                <w:szCs w:val="14"/>
                <w:b w:val="1"/>
                <w:bCs w:val="1"/>
                <w:color w:val="auto"/>
              </w:rPr>
              <w:t>Return</w:t>
            </w: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Return</w:t>
            </w: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Net Income</w:t>
            </w:r>
          </w:p>
        </w:tc>
        <w:tc>
          <w:tcPr>
            <w:tcW w:w="1400" w:type="dxa"/>
            <w:vAlign w:val="bottom"/>
          </w:tcPr>
          <w:p>
            <w:pPr>
              <w:jc w:val="right"/>
              <w:spacing w:after="0"/>
              <w:rPr>
                <w:sz w:val="20"/>
                <w:szCs w:val="20"/>
                <w:color w:val="auto"/>
              </w:rPr>
            </w:pPr>
            <w:r>
              <w:rPr>
                <w:rFonts w:ascii="Arial" w:cs="Arial" w:eastAsia="Arial" w:hAnsi="Arial"/>
                <w:sz w:val="14"/>
                <w:szCs w:val="14"/>
                <w:b w:val="1"/>
                <w:bCs w:val="1"/>
                <w:color w:val="auto"/>
              </w:rPr>
              <w:t>Income</w:t>
            </w:r>
          </w:p>
        </w:tc>
        <w:tc>
          <w:tcPr>
            <w:tcW w:w="0" w:type="dxa"/>
            <w:vAlign w:val="bottom"/>
          </w:tcPr>
          <w:p>
            <w:pPr>
              <w:spacing w:after="0"/>
              <w:rPr>
                <w:sz w:val="1"/>
                <w:szCs w:val="1"/>
                <w:color w:val="auto"/>
              </w:rPr>
            </w:pPr>
          </w:p>
        </w:tc>
      </w:tr>
      <w:tr>
        <w:trPr>
          <w:trHeight w:val="214"/>
        </w:trPr>
        <w:tc>
          <w:tcPr>
            <w:tcW w:w="720" w:type="dxa"/>
            <w:vAlign w:val="bottom"/>
            <w:tcBorders>
              <w:bottom w:val="single" w:sz="8" w:color="0C3471"/>
            </w:tcBorders>
          </w:tcPr>
          <w:p>
            <w:pPr>
              <w:ind w:left="20"/>
              <w:spacing w:after="0"/>
              <w:rPr>
                <w:sz w:val="20"/>
                <w:szCs w:val="20"/>
                <w:color w:val="auto"/>
              </w:rPr>
            </w:pPr>
            <w:r>
              <w:rPr>
                <w:rFonts w:ascii="Arial" w:cs="Arial" w:eastAsia="Arial" w:hAnsi="Arial"/>
                <w:sz w:val="14"/>
                <w:szCs w:val="14"/>
                <w:b w:val="1"/>
                <w:bCs w:val="1"/>
                <w:color w:val="auto"/>
              </w:rPr>
              <w:t>Year</w:t>
            </w:r>
          </w:p>
        </w:tc>
        <w:tc>
          <w:tcPr>
            <w:tcW w:w="1560" w:type="dxa"/>
            <w:vAlign w:val="bottom"/>
            <w:tcBorders>
              <w:bottom w:val="single" w:sz="8" w:color="0C3471"/>
            </w:tcBorders>
          </w:tcPr>
          <w:p>
            <w:pPr>
              <w:jc w:val="right"/>
              <w:ind w:right="111"/>
              <w:spacing w:after="0" w:line="214" w:lineRule="exact"/>
              <w:rPr>
                <w:sz w:val="20"/>
                <w:szCs w:val="20"/>
                <w:color w:val="auto"/>
              </w:rPr>
            </w:pPr>
            <w:r>
              <w:rPr>
                <w:rFonts w:ascii="Arial" w:cs="Arial" w:eastAsia="Arial" w:hAnsi="Arial"/>
                <w:sz w:val="24"/>
                <w:szCs w:val="24"/>
                <w:b w:val="1"/>
                <w:bCs w:val="1"/>
                <w:color w:val="auto"/>
                <w:vertAlign w:val="subscript"/>
              </w:rPr>
              <w:t>($)</w:t>
            </w:r>
            <w:r>
              <w:rPr>
                <w:rFonts w:ascii="Arial" w:cs="Arial" w:eastAsia="Arial" w:hAnsi="Arial"/>
                <w:sz w:val="9"/>
                <w:szCs w:val="9"/>
                <w:b w:val="1"/>
                <w:bCs w:val="1"/>
                <w:color w:val="auto"/>
              </w:rPr>
              <w:t>(1)(2)</w:t>
            </w:r>
          </w:p>
        </w:tc>
        <w:tc>
          <w:tcPr>
            <w:tcW w:w="1340" w:type="dxa"/>
            <w:vAlign w:val="bottom"/>
            <w:tcBorders>
              <w:bottom w:val="single" w:sz="8" w:color="0C3471"/>
            </w:tcBorders>
          </w:tcPr>
          <w:p>
            <w:pPr>
              <w:jc w:val="right"/>
              <w:ind w:right="89"/>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8"/>
                <w:szCs w:val="18"/>
                <w:b w:val="1"/>
                <w:bCs w:val="1"/>
                <w:color w:val="auto"/>
                <w:vertAlign w:val="superscript"/>
              </w:rPr>
              <w:t>(3)</w:t>
            </w:r>
          </w:p>
        </w:tc>
        <w:tc>
          <w:tcPr>
            <w:tcW w:w="1400" w:type="dxa"/>
            <w:vAlign w:val="bottom"/>
            <w:tcBorders>
              <w:bottom w:val="single" w:sz="8" w:color="0C3471"/>
            </w:tcBorders>
          </w:tcPr>
          <w:p>
            <w:pPr>
              <w:jc w:val="right"/>
              <w:ind w:right="131"/>
              <w:spacing w:after="0" w:line="214" w:lineRule="exact"/>
              <w:rPr>
                <w:sz w:val="20"/>
                <w:szCs w:val="20"/>
                <w:color w:val="auto"/>
              </w:rPr>
            </w:pPr>
            <w:r>
              <w:rPr>
                <w:rFonts w:ascii="Arial" w:cs="Arial" w:eastAsia="Arial" w:hAnsi="Arial"/>
                <w:sz w:val="24"/>
                <w:szCs w:val="24"/>
                <w:b w:val="1"/>
                <w:bCs w:val="1"/>
                <w:color w:val="auto"/>
                <w:vertAlign w:val="subscript"/>
              </w:rPr>
              <w:t>($)</w:t>
            </w:r>
            <w:r>
              <w:rPr>
                <w:rFonts w:ascii="Arial" w:cs="Arial" w:eastAsia="Arial" w:hAnsi="Arial"/>
                <w:sz w:val="9"/>
                <w:szCs w:val="9"/>
                <w:b w:val="1"/>
                <w:bCs w:val="1"/>
                <w:color w:val="auto"/>
              </w:rPr>
              <w:t>(1)(2)</w:t>
            </w:r>
          </w:p>
        </w:tc>
        <w:tc>
          <w:tcPr>
            <w:tcW w:w="1200" w:type="dxa"/>
            <w:vAlign w:val="bottom"/>
            <w:tcBorders>
              <w:bottom w:val="single" w:sz="8" w:color="0C3471"/>
            </w:tcBorders>
          </w:tcPr>
          <w:p>
            <w:pPr>
              <w:jc w:val="right"/>
              <w:spacing w:after="0" w:line="214" w:lineRule="exact"/>
              <w:rPr>
                <w:sz w:val="20"/>
                <w:szCs w:val="20"/>
                <w:color w:val="auto"/>
              </w:rPr>
            </w:pPr>
            <w:r>
              <w:rPr>
                <w:rFonts w:ascii="Arial" w:cs="Arial" w:eastAsia="Arial" w:hAnsi="Arial"/>
                <w:sz w:val="24"/>
                <w:szCs w:val="24"/>
                <w:b w:val="1"/>
                <w:bCs w:val="1"/>
                <w:color w:val="auto"/>
                <w:vertAlign w:val="subscript"/>
              </w:rPr>
              <w:t>($)</w:t>
            </w:r>
            <w:r>
              <w:rPr>
                <w:rFonts w:ascii="Arial" w:cs="Arial" w:eastAsia="Arial" w:hAnsi="Arial"/>
                <w:sz w:val="9"/>
                <w:szCs w:val="9"/>
                <w:b w:val="1"/>
                <w:bCs w:val="1"/>
                <w:color w:val="auto"/>
              </w:rPr>
              <w:t>(2)(3)</w:t>
            </w:r>
          </w:p>
        </w:tc>
        <w:tc>
          <w:tcPr>
            <w:tcW w:w="1340" w:type="dxa"/>
            <w:vAlign w:val="bottom"/>
            <w:tcBorders>
              <w:bottom w:val="single" w:sz="8" w:color="0C3471"/>
            </w:tcBorders>
          </w:tcPr>
          <w:p>
            <w:pPr>
              <w:jc w:val="right"/>
              <w:ind w:right="109"/>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8"/>
                <w:szCs w:val="18"/>
                <w:b w:val="1"/>
                <w:bCs w:val="1"/>
                <w:color w:val="auto"/>
                <w:vertAlign w:val="superscript"/>
              </w:rPr>
              <w:t>(4)</w:t>
            </w:r>
          </w:p>
        </w:tc>
        <w:tc>
          <w:tcPr>
            <w:tcW w:w="1040" w:type="dxa"/>
            <w:vAlign w:val="bottom"/>
            <w:tcBorders>
              <w:bottom w:val="single" w:sz="8" w:color="0C3471"/>
            </w:tcBorders>
          </w:tcPr>
          <w:p>
            <w:pPr>
              <w:jc w:val="right"/>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8"/>
                <w:szCs w:val="18"/>
                <w:b w:val="1"/>
                <w:bCs w:val="1"/>
                <w:color w:val="auto"/>
                <w:vertAlign w:val="superscript"/>
              </w:rPr>
              <w:t>(5)</w:t>
            </w:r>
          </w:p>
        </w:tc>
        <w:tc>
          <w:tcPr>
            <w:tcW w:w="1240" w:type="dxa"/>
            <w:vAlign w:val="bottom"/>
            <w:tcBorders>
              <w:bottom w:val="single" w:sz="8" w:color="0C3471"/>
            </w:tcBorders>
          </w:tcPr>
          <w:p>
            <w:pPr>
              <w:jc w:val="right"/>
              <w:spacing w:after="0"/>
              <w:rPr>
                <w:sz w:val="20"/>
                <w:szCs w:val="20"/>
                <w:color w:val="auto"/>
              </w:rPr>
            </w:pPr>
            <w:r>
              <w:rPr>
                <w:rFonts w:ascii="Arial" w:cs="Arial" w:eastAsia="Arial" w:hAnsi="Arial"/>
                <w:sz w:val="14"/>
                <w:szCs w:val="14"/>
                <w:b w:val="1"/>
                <w:bCs w:val="1"/>
                <w:color w:val="auto"/>
              </w:rPr>
              <w:t>($)</w:t>
            </w:r>
          </w:p>
        </w:tc>
        <w:tc>
          <w:tcPr>
            <w:tcW w:w="1400" w:type="dxa"/>
            <w:vAlign w:val="bottom"/>
            <w:tcBorders>
              <w:bottom w:val="single" w:sz="8" w:color="0C3471"/>
            </w:tcBorders>
          </w:tcPr>
          <w:p>
            <w:pPr>
              <w:jc w:val="right"/>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8"/>
                <w:szCs w:val="18"/>
                <w:b w:val="1"/>
                <w:bCs w:val="1"/>
                <w:color w:val="auto"/>
                <w:vertAlign w:val="superscript"/>
              </w:rPr>
              <w:t>(6)</w:t>
            </w:r>
          </w:p>
        </w:tc>
        <w:tc>
          <w:tcPr>
            <w:tcW w:w="0" w:type="dxa"/>
            <w:vAlign w:val="bottom"/>
          </w:tcPr>
          <w:p>
            <w:pPr>
              <w:spacing w:after="0"/>
              <w:rPr>
                <w:sz w:val="1"/>
                <w:szCs w:val="1"/>
                <w:color w:val="auto"/>
              </w:rPr>
            </w:pPr>
          </w:p>
        </w:tc>
      </w:tr>
      <w:tr>
        <w:trPr>
          <w:trHeight w:val="201"/>
        </w:trPr>
        <w:tc>
          <w:tcPr>
            <w:tcW w:w="720" w:type="dxa"/>
            <w:vAlign w:val="bottom"/>
          </w:tcPr>
          <w:p>
            <w:pPr>
              <w:ind w:left="20"/>
              <w:spacing w:after="0"/>
              <w:rPr>
                <w:sz w:val="20"/>
                <w:szCs w:val="20"/>
                <w:color w:val="auto"/>
              </w:rPr>
            </w:pPr>
            <w:r>
              <w:rPr>
                <w:rFonts w:ascii="Arial" w:cs="Arial" w:eastAsia="Arial" w:hAnsi="Arial"/>
                <w:sz w:val="14"/>
                <w:szCs w:val="14"/>
                <w:color w:val="auto"/>
              </w:rPr>
              <w:t>2025</w:t>
            </w:r>
          </w:p>
        </w:tc>
        <w:tc>
          <w:tcPr>
            <w:tcW w:w="1560" w:type="dxa"/>
            <w:vAlign w:val="bottom"/>
          </w:tcPr>
          <w:p>
            <w:pPr>
              <w:jc w:val="right"/>
              <w:ind w:right="171"/>
              <w:spacing w:after="0"/>
              <w:rPr>
                <w:sz w:val="20"/>
                <w:szCs w:val="20"/>
                <w:color w:val="auto"/>
              </w:rPr>
            </w:pPr>
            <w:r>
              <w:rPr>
                <w:rFonts w:ascii="Arial" w:cs="Arial" w:eastAsia="Arial" w:hAnsi="Arial"/>
                <w:sz w:val="14"/>
                <w:szCs w:val="14"/>
                <w:color w:val="auto"/>
              </w:rPr>
              <w:t>11,374,255</w:t>
            </w:r>
          </w:p>
        </w:tc>
        <w:tc>
          <w:tcPr>
            <w:tcW w:w="1340" w:type="dxa"/>
            <w:vAlign w:val="bottom"/>
          </w:tcPr>
          <w:p>
            <w:pPr>
              <w:jc w:val="right"/>
              <w:ind w:right="129"/>
              <w:spacing w:after="0"/>
              <w:rPr>
                <w:sz w:val="20"/>
                <w:szCs w:val="20"/>
                <w:color w:val="auto"/>
              </w:rPr>
            </w:pPr>
            <w:r>
              <w:rPr>
                <w:rFonts w:ascii="Arial" w:cs="Arial" w:eastAsia="Arial" w:hAnsi="Arial"/>
                <w:sz w:val="14"/>
                <w:szCs w:val="14"/>
                <w:color w:val="auto"/>
              </w:rPr>
              <w:t>14,499,234</w:t>
            </w:r>
          </w:p>
        </w:tc>
        <w:tc>
          <w:tcPr>
            <w:tcW w:w="1400" w:type="dxa"/>
            <w:vAlign w:val="bottom"/>
          </w:tcPr>
          <w:p>
            <w:pPr>
              <w:jc w:val="right"/>
              <w:ind w:right="171"/>
              <w:spacing w:after="0"/>
              <w:rPr>
                <w:sz w:val="20"/>
                <w:szCs w:val="20"/>
                <w:color w:val="auto"/>
              </w:rPr>
            </w:pPr>
            <w:r>
              <w:rPr>
                <w:rFonts w:ascii="Arial" w:cs="Arial" w:eastAsia="Arial" w:hAnsi="Arial"/>
                <w:sz w:val="14"/>
                <w:szCs w:val="14"/>
                <w:color w:val="auto"/>
              </w:rPr>
              <w:t>2,844,203</w:t>
            </w:r>
          </w:p>
        </w:tc>
        <w:tc>
          <w:tcPr>
            <w:tcW w:w="1200" w:type="dxa"/>
            <w:vAlign w:val="bottom"/>
          </w:tcPr>
          <w:p>
            <w:pPr>
              <w:jc w:val="right"/>
              <w:spacing w:after="0"/>
              <w:rPr>
                <w:sz w:val="20"/>
                <w:szCs w:val="20"/>
                <w:color w:val="auto"/>
              </w:rPr>
            </w:pPr>
            <w:r>
              <w:rPr>
                <w:rFonts w:ascii="Arial" w:cs="Arial" w:eastAsia="Arial" w:hAnsi="Arial"/>
                <w:sz w:val="14"/>
                <w:szCs w:val="14"/>
                <w:color w:val="auto"/>
              </w:rPr>
              <w:t>3,607,821</w:t>
            </w:r>
          </w:p>
        </w:tc>
        <w:tc>
          <w:tcPr>
            <w:tcW w:w="1340" w:type="dxa"/>
            <w:vAlign w:val="bottom"/>
          </w:tcPr>
          <w:p>
            <w:pPr>
              <w:jc w:val="right"/>
              <w:ind w:right="149"/>
              <w:spacing w:after="0"/>
              <w:rPr>
                <w:sz w:val="20"/>
                <w:szCs w:val="20"/>
                <w:color w:val="auto"/>
              </w:rPr>
            </w:pPr>
            <w:r>
              <w:rPr>
                <w:rFonts w:ascii="Arial" w:cs="Arial" w:eastAsia="Arial" w:hAnsi="Arial"/>
                <w:sz w:val="14"/>
                <w:szCs w:val="14"/>
                <w:color w:val="auto"/>
              </w:rPr>
              <w:t>209.48</w:t>
            </w:r>
          </w:p>
        </w:tc>
        <w:tc>
          <w:tcPr>
            <w:tcW w:w="1040" w:type="dxa"/>
            <w:vAlign w:val="bottom"/>
          </w:tcPr>
          <w:p>
            <w:pPr>
              <w:jc w:val="right"/>
              <w:ind w:right="9"/>
              <w:spacing w:after="0"/>
              <w:rPr>
                <w:sz w:val="20"/>
                <w:szCs w:val="20"/>
                <w:color w:val="auto"/>
              </w:rPr>
            </w:pPr>
            <w:r>
              <w:rPr>
                <w:rFonts w:ascii="Arial" w:cs="Arial" w:eastAsia="Arial" w:hAnsi="Arial"/>
                <w:sz w:val="14"/>
                <w:szCs w:val="14"/>
                <w:color w:val="auto"/>
              </w:rPr>
              <w:t>200.35</w:t>
            </w:r>
          </w:p>
        </w:tc>
        <w:tc>
          <w:tcPr>
            <w:tcW w:w="1240" w:type="dxa"/>
            <w:vAlign w:val="bottom"/>
          </w:tcPr>
          <w:p>
            <w:pPr>
              <w:jc w:val="right"/>
              <w:ind w:right="49"/>
              <w:spacing w:after="0"/>
              <w:rPr>
                <w:sz w:val="20"/>
                <w:szCs w:val="20"/>
                <w:color w:val="auto"/>
              </w:rPr>
            </w:pPr>
            <w:r>
              <w:rPr>
                <w:rFonts w:ascii="Arial" w:cs="Arial" w:eastAsia="Arial" w:hAnsi="Arial"/>
                <w:sz w:val="14"/>
                <w:szCs w:val="14"/>
                <w:color w:val="auto"/>
              </w:rPr>
              <w:t>653,800,000</w:t>
            </w:r>
          </w:p>
        </w:tc>
        <w:tc>
          <w:tcPr>
            <w:tcW w:w="1400" w:type="dxa"/>
            <w:vAlign w:val="bottom"/>
          </w:tcPr>
          <w:p>
            <w:pPr>
              <w:jc w:val="right"/>
              <w:spacing w:after="0"/>
              <w:rPr>
                <w:sz w:val="20"/>
                <w:szCs w:val="20"/>
                <w:color w:val="auto"/>
              </w:rPr>
            </w:pPr>
            <w:r>
              <w:rPr>
                <w:rFonts w:ascii="Arial" w:cs="Arial" w:eastAsia="Arial" w:hAnsi="Arial"/>
                <w:sz w:val="14"/>
                <w:szCs w:val="14"/>
                <w:color w:val="auto"/>
              </w:rPr>
              <w:t>1,053,500,000</w:t>
            </w:r>
          </w:p>
        </w:tc>
        <w:tc>
          <w:tcPr>
            <w:tcW w:w="0" w:type="dxa"/>
            <w:vAlign w:val="bottom"/>
          </w:tcPr>
          <w:p>
            <w:pPr>
              <w:spacing w:after="0"/>
              <w:rPr>
                <w:sz w:val="1"/>
                <w:szCs w:val="1"/>
                <w:color w:val="auto"/>
              </w:rPr>
            </w:pPr>
          </w:p>
        </w:tc>
      </w:tr>
      <w:tr>
        <w:trPr>
          <w:trHeight w:val="22"/>
        </w:trPr>
        <w:tc>
          <w:tcPr>
            <w:tcW w:w="720" w:type="dxa"/>
            <w:vAlign w:val="bottom"/>
            <w:tcBorders>
              <w:bottom w:val="single" w:sz="8" w:color="BCBEC0"/>
            </w:tcBorders>
          </w:tcPr>
          <w:p>
            <w:pPr>
              <w:spacing w:after="0" w:line="20" w:lineRule="exact"/>
              <w:rPr>
                <w:sz w:val="1"/>
                <w:szCs w:val="1"/>
                <w:color w:val="auto"/>
              </w:rPr>
            </w:pPr>
          </w:p>
        </w:tc>
        <w:tc>
          <w:tcPr>
            <w:tcW w:w="1560" w:type="dxa"/>
            <w:vAlign w:val="bottom"/>
            <w:tcBorders>
              <w:bottom w:val="single" w:sz="8" w:color="BCBEC0"/>
            </w:tcBorders>
          </w:tcPr>
          <w:p>
            <w:pPr>
              <w:spacing w:after="0" w:line="20" w:lineRule="exact"/>
              <w:rPr>
                <w:sz w:val="1"/>
                <w:szCs w:val="1"/>
                <w:color w:val="auto"/>
              </w:rPr>
            </w:pPr>
          </w:p>
        </w:tc>
        <w:tc>
          <w:tcPr>
            <w:tcW w:w="1340" w:type="dxa"/>
            <w:vAlign w:val="bottom"/>
            <w:tcBorders>
              <w:bottom w:val="single" w:sz="8" w:color="BCBEC0"/>
            </w:tcBorders>
          </w:tcPr>
          <w:p>
            <w:pPr>
              <w:spacing w:after="0" w:line="20" w:lineRule="exact"/>
              <w:rPr>
                <w:sz w:val="1"/>
                <w:szCs w:val="1"/>
                <w:color w:val="auto"/>
              </w:rPr>
            </w:pPr>
          </w:p>
        </w:tc>
        <w:tc>
          <w:tcPr>
            <w:tcW w:w="1400" w:type="dxa"/>
            <w:vAlign w:val="bottom"/>
            <w:tcBorders>
              <w:bottom w:val="single" w:sz="8" w:color="BCBEC0"/>
            </w:tcBorders>
          </w:tcPr>
          <w:p>
            <w:pPr>
              <w:spacing w:after="0" w:line="20" w:lineRule="exact"/>
              <w:rPr>
                <w:sz w:val="1"/>
                <w:szCs w:val="1"/>
                <w:color w:val="auto"/>
              </w:rPr>
            </w:pPr>
          </w:p>
        </w:tc>
        <w:tc>
          <w:tcPr>
            <w:tcW w:w="1200" w:type="dxa"/>
            <w:vAlign w:val="bottom"/>
            <w:tcBorders>
              <w:bottom w:val="single" w:sz="8" w:color="BCBEC0"/>
            </w:tcBorders>
          </w:tcPr>
          <w:p>
            <w:pPr>
              <w:spacing w:after="0" w:line="20" w:lineRule="exact"/>
              <w:rPr>
                <w:sz w:val="1"/>
                <w:szCs w:val="1"/>
                <w:color w:val="auto"/>
              </w:rPr>
            </w:pPr>
          </w:p>
        </w:tc>
        <w:tc>
          <w:tcPr>
            <w:tcW w:w="1340" w:type="dxa"/>
            <w:vAlign w:val="bottom"/>
            <w:tcBorders>
              <w:bottom w:val="single" w:sz="8" w:color="BCBEC0"/>
            </w:tcBorders>
          </w:tcPr>
          <w:p>
            <w:pPr>
              <w:spacing w:after="0" w:line="20" w:lineRule="exact"/>
              <w:rPr>
                <w:sz w:val="1"/>
                <w:szCs w:val="1"/>
                <w:color w:val="auto"/>
              </w:rPr>
            </w:pPr>
          </w:p>
        </w:tc>
        <w:tc>
          <w:tcPr>
            <w:tcW w:w="1040" w:type="dxa"/>
            <w:vAlign w:val="bottom"/>
            <w:tcBorders>
              <w:bottom w:val="single" w:sz="8" w:color="BCBEC0"/>
            </w:tcBorders>
          </w:tcPr>
          <w:p>
            <w:pPr>
              <w:spacing w:after="0" w:line="20" w:lineRule="exact"/>
              <w:rPr>
                <w:sz w:val="1"/>
                <w:szCs w:val="1"/>
                <w:color w:val="auto"/>
              </w:rPr>
            </w:pPr>
          </w:p>
        </w:tc>
        <w:tc>
          <w:tcPr>
            <w:tcW w:w="1240" w:type="dxa"/>
            <w:vAlign w:val="bottom"/>
            <w:tcBorders>
              <w:bottom w:val="single" w:sz="8" w:color="BCBEC0"/>
            </w:tcBorders>
          </w:tcPr>
          <w:p>
            <w:pPr>
              <w:spacing w:after="0" w:line="20" w:lineRule="exact"/>
              <w:rPr>
                <w:sz w:val="1"/>
                <w:szCs w:val="1"/>
                <w:color w:val="auto"/>
              </w:rPr>
            </w:pPr>
          </w:p>
        </w:tc>
        <w:tc>
          <w:tcPr>
            <w:tcW w:w="1400" w:type="dxa"/>
            <w:vAlign w:val="bottom"/>
            <w:tcBorders>
              <w:bottom w:val="single" w:sz="8" w:color="BCBEC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2"/>
        </w:trPr>
        <w:tc>
          <w:tcPr>
            <w:tcW w:w="720" w:type="dxa"/>
            <w:vAlign w:val="bottom"/>
          </w:tcPr>
          <w:p>
            <w:pPr>
              <w:ind w:left="20"/>
              <w:spacing w:after="0"/>
              <w:rPr>
                <w:sz w:val="20"/>
                <w:szCs w:val="20"/>
                <w:color w:val="auto"/>
              </w:rPr>
            </w:pPr>
            <w:r>
              <w:rPr>
                <w:rFonts w:ascii="Arial" w:cs="Arial" w:eastAsia="Arial" w:hAnsi="Arial"/>
                <w:sz w:val="14"/>
                <w:szCs w:val="14"/>
                <w:color w:val="auto"/>
              </w:rPr>
              <w:t>2024</w:t>
            </w:r>
          </w:p>
        </w:tc>
        <w:tc>
          <w:tcPr>
            <w:tcW w:w="1560" w:type="dxa"/>
            <w:vAlign w:val="bottom"/>
          </w:tcPr>
          <w:p>
            <w:pPr>
              <w:jc w:val="right"/>
              <w:ind w:right="171"/>
              <w:spacing w:after="0"/>
              <w:rPr>
                <w:sz w:val="20"/>
                <w:szCs w:val="20"/>
                <w:color w:val="auto"/>
              </w:rPr>
            </w:pPr>
            <w:r>
              <w:rPr>
                <w:rFonts w:ascii="Arial" w:cs="Arial" w:eastAsia="Arial" w:hAnsi="Arial"/>
                <w:sz w:val="14"/>
                <w:szCs w:val="14"/>
                <w:color w:val="auto"/>
              </w:rPr>
              <w:t>10,769,964</w:t>
            </w:r>
          </w:p>
        </w:tc>
        <w:tc>
          <w:tcPr>
            <w:tcW w:w="1340" w:type="dxa"/>
            <w:vAlign w:val="bottom"/>
          </w:tcPr>
          <w:p>
            <w:pPr>
              <w:jc w:val="right"/>
              <w:ind w:right="129"/>
              <w:spacing w:after="0"/>
              <w:rPr>
                <w:sz w:val="20"/>
                <w:szCs w:val="20"/>
                <w:color w:val="auto"/>
              </w:rPr>
            </w:pPr>
            <w:r>
              <w:rPr>
                <w:rFonts w:ascii="Arial" w:cs="Arial" w:eastAsia="Arial" w:hAnsi="Arial"/>
                <w:sz w:val="14"/>
                <w:szCs w:val="14"/>
                <w:color w:val="auto"/>
              </w:rPr>
              <w:t>22,763,473</w:t>
            </w:r>
          </w:p>
        </w:tc>
        <w:tc>
          <w:tcPr>
            <w:tcW w:w="1400" w:type="dxa"/>
            <w:vAlign w:val="bottom"/>
          </w:tcPr>
          <w:p>
            <w:pPr>
              <w:jc w:val="right"/>
              <w:ind w:right="171"/>
              <w:spacing w:after="0"/>
              <w:rPr>
                <w:sz w:val="20"/>
                <w:szCs w:val="20"/>
                <w:color w:val="auto"/>
              </w:rPr>
            </w:pPr>
            <w:r>
              <w:rPr>
                <w:rFonts w:ascii="Arial" w:cs="Arial" w:eastAsia="Arial" w:hAnsi="Arial"/>
                <w:sz w:val="14"/>
                <w:szCs w:val="14"/>
                <w:color w:val="auto"/>
              </w:rPr>
              <w:t>2,784,507</w:t>
            </w:r>
          </w:p>
        </w:tc>
        <w:tc>
          <w:tcPr>
            <w:tcW w:w="1200" w:type="dxa"/>
            <w:vAlign w:val="bottom"/>
          </w:tcPr>
          <w:p>
            <w:pPr>
              <w:jc w:val="right"/>
              <w:spacing w:after="0"/>
              <w:rPr>
                <w:sz w:val="20"/>
                <w:szCs w:val="20"/>
                <w:color w:val="auto"/>
              </w:rPr>
            </w:pPr>
            <w:r>
              <w:rPr>
                <w:rFonts w:ascii="Arial" w:cs="Arial" w:eastAsia="Arial" w:hAnsi="Arial"/>
                <w:sz w:val="14"/>
                <w:szCs w:val="14"/>
                <w:color w:val="auto"/>
              </w:rPr>
              <w:t>5,431,476</w:t>
            </w:r>
          </w:p>
        </w:tc>
        <w:tc>
          <w:tcPr>
            <w:tcW w:w="1340" w:type="dxa"/>
            <w:vAlign w:val="bottom"/>
          </w:tcPr>
          <w:p>
            <w:pPr>
              <w:jc w:val="right"/>
              <w:ind w:right="149"/>
              <w:spacing w:after="0"/>
              <w:rPr>
                <w:sz w:val="20"/>
                <w:szCs w:val="20"/>
                <w:color w:val="auto"/>
              </w:rPr>
            </w:pPr>
            <w:r>
              <w:rPr>
                <w:rFonts w:ascii="Arial" w:cs="Arial" w:eastAsia="Arial" w:hAnsi="Arial"/>
                <w:sz w:val="14"/>
                <w:szCs w:val="14"/>
                <w:color w:val="auto"/>
              </w:rPr>
              <w:t>200.41</w:t>
            </w:r>
          </w:p>
        </w:tc>
        <w:tc>
          <w:tcPr>
            <w:tcW w:w="1040" w:type="dxa"/>
            <w:vAlign w:val="bottom"/>
          </w:tcPr>
          <w:p>
            <w:pPr>
              <w:jc w:val="right"/>
              <w:ind w:right="9"/>
              <w:spacing w:after="0"/>
              <w:rPr>
                <w:sz w:val="20"/>
                <w:szCs w:val="20"/>
                <w:color w:val="auto"/>
              </w:rPr>
            </w:pPr>
            <w:r>
              <w:rPr>
                <w:rFonts w:ascii="Arial" w:cs="Arial" w:eastAsia="Arial" w:hAnsi="Arial"/>
                <w:sz w:val="14"/>
                <w:szCs w:val="14"/>
                <w:color w:val="auto"/>
              </w:rPr>
              <w:t>168.50</w:t>
            </w:r>
          </w:p>
        </w:tc>
        <w:tc>
          <w:tcPr>
            <w:tcW w:w="1240" w:type="dxa"/>
            <w:vAlign w:val="bottom"/>
          </w:tcPr>
          <w:p>
            <w:pPr>
              <w:jc w:val="right"/>
              <w:ind w:right="49"/>
              <w:spacing w:after="0"/>
              <w:rPr>
                <w:sz w:val="20"/>
                <w:szCs w:val="20"/>
                <w:color w:val="auto"/>
              </w:rPr>
            </w:pPr>
            <w:r>
              <w:rPr>
                <w:rFonts w:ascii="Arial" w:cs="Arial" w:eastAsia="Arial" w:hAnsi="Arial"/>
                <w:sz w:val="14"/>
                <w:szCs w:val="14"/>
                <w:color w:val="auto"/>
              </w:rPr>
              <w:t>625,400,000</w:t>
            </w:r>
          </w:p>
        </w:tc>
        <w:tc>
          <w:tcPr>
            <w:tcW w:w="1400" w:type="dxa"/>
            <w:vAlign w:val="bottom"/>
          </w:tcPr>
          <w:p>
            <w:pPr>
              <w:jc w:val="right"/>
              <w:spacing w:after="0"/>
              <w:rPr>
                <w:sz w:val="20"/>
                <w:szCs w:val="20"/>
                <w:color w:val="auto"/>
              </w:rPr>
            </w:pPr>
            <w:r>
              <w:rPr>
                <w:rFonts w:ascii="Arial" w:cs="Arial" w:eastAsia="Arial" w:hAnsi="Arial"/>
                <w:sz w:val="14"/>
                <w:szCs w:val="14"/>
                <w:color w:val="auto"/>
              </w:rPr>
              <w:t>959,200,000</w:t>
            </w:r>
          </w:p>
        </w:tc>
        <w:tc>
          <w:tcPr>
            <w:tcW w:w="0" w:type="dxa"/>
            <w:vAlign w:val="bottom"/>
          </w:tcPr>
          <w:p>
            <w:pPr>
              <w:spacing w:after="0"/>
              <w:rPr>
                <w:sz w:val="1"/>
                <w:szCs w:val="1"/>
                <w:color w:val="auto"/>
              </w:rPr>
            </w:pPr>
          </w:p>
        </w:tc>
      </w:tr>
      <w:tr>
        <w:trPr>
          <w:trHeight w:val="22"/>
        </w:trPr>
        <w:tc>
          <w:tcPr>
            <w:tcW w:w="720" w:type="dxa"/>
            <w:vAlign w:val="bottom"/>
            <w:tcBorders>
              <w:bottom w:val="single" w:sz="8" w:color="BCBEC0"/>
            </w:tcBorders>
          </w:tcPr>
          <w:p>
            <w:pPr>
              <w:spacing w:after="0" w:line="20" w:lineRule="exact"/>
              <w:rPr>
                <w:sz w:val="1"/>
                <w:szCs w:val="1"/>
                <w:color w:val="auto"/>
              </w:rPr>
            </w:pPr>
          </w:p>
        </w:tc>
        <w:tc>
          <w:tcPr>
            <w:tcW w:w="1560" w:type="dxa"/>
            <w:vAlign w:val="bottom"/>
            <w:tcBorders>
              <w:bottom w:val="single" w:sz="8" w:color="BCBEC0"/>
            </w:tcBorders>
          </w:tcPr>
          <w:p>
            <w:pPr>
              <w:spacing w:after="0" w:line="20" w:lineRule="exact"/>
              <w:rPr>
                <w:sz w:val="1"/>
                <w:szCs w:val="1"/>
                <w:color w:val="auto"/>
              </w:rPr>
            </w:pPr>
          </w:p>
        </w:tc>
        <w:tc>
          <w:tcPr>
            <w:tcW w:w="1340" w:type="dxa"/>
            <w:vAlign w:val="bottom"/>
            <w:tcBorders>
              <w:bottom w:val="single" w:sz="8" w:color="BCBEC0"/>
            </w:tcBorders>
          </w:tcPr>
          <w:p>
            <w:pPr>
              <w:spacing w:after="0" w:line="20" w:lineRule="exact"/>
              <w:rPr>
                <w:sz w:val="1"/>
                <w:szCs w:val="1"/>
                <w:color w:val="auto"/>
              </w:rPr>
            </w:pPr>
          </w:p>
        </w:tc>
        <w:tc>
          <w:tcPr>
            <w:tcW w:w="1400" w:type="dxa"/>
            <w:vAlign w:val="bottom"/>
            <w:tcBorders>
              <w:bottom w:val="single" w:sz="8" w:color="BCBEC0"/>
            </w:tcBorders>
          </w:tcPr>
          <w:p>
            <w:pPr>
              <w:spacing w:after="0" w:line="20" w:lineRule="exact"/>
              <w:rPr>
                <w:sz w:val="1"/>
                <w:szCs w:val="1"/>
                <w:color w:val="auto"/>
              </w:rPr>
            </w:pPr>
          </w:p>
        </w:tc>
        <w:tc>
          <w:tcPr>
            <w:tcW w:w="1200" w:type="dxa"/>
            <w:vAlign w:val="bottom"/>
            <w:tcBorders>
              <w:bottom w:val="single" w:sz="8" w:color="BCBEC0"/>
            </w:tcBorders>
          </w:tcPr>
          <w:p>
            <w:pPr>
              <w:spacing w:after="0" w:line="20" w:lineRule="exact"/>
              <w:rPr>
                <w:sz w:val="1"/>
                <w:szCs w:val="1"/>
                <w:color w:val="auto"/>
              </w:rPr>
            </w:pPr>
          </w:p>
        </w:tc>
        <w:tc>
          <w:tcPr>
            <w:tcW w:w="1340" w:type="dxa"/>
            <w:vAlign w:val="bottom"/>
            <w:tcBorders>
              <w:bottom w:val="single" w:sz="8" w:color="BCBEC0"/>
            </w:tcBorders>
          </w:tcPr>
          <w:p>
            <w:pPr>
              <w:spacing w:after="0" w:line="20" w:lineRule="exact"/>
              <w:rPr>
                <w:sz w:val="1"/>
                <w:szCs w:val="1"/>
                <w:color w:val="auto"/>
              </w:rPr>
            </w:pPr>
          </w:p>
        </w:tc>
        <w:tc>
          <w:tcPr>
            <w:tcW w:w="1040" w:type="dxa"/>
            <w:vAlign w:val="bottom"/>
            <w:tcBorders>
              <w:bottom w:val="single" w:sz="8" w:color="BCBEC0"/>
            </w:tcBorders>
          </w:tcPr>
          <w:p>
            <w:pPr>
              <w:spacing w:after="0" w:line="20" w:lineRule="exact"/>
              <w:rPr>
                <w:sz w:val="1"/>
                <w:szCs w:val="1"/>
                <w:color w:val="auto"/>
              </w:rPr>
            </w:pPr>
          </w:p>
        </w:tc>
        <w:tc>
          <w:tcPr>
            <w:tcW w:w="1240" w:type="dxa"/>
            <w:vAlign w:val="bottom"/>
            <w:tcBorders>
              <w:bottom w:val="single" w:sz="8" w:color="BCBEC0"/>
            </w:tcBorders>
          </w:tcPr>
          <w:p>
            <w:pPr>
              <w:spacing w:after="0" w:line="20" w:lineRule="exact"/>
              <w:rPr>
                <w:sz w:val="1"/>
                <w:szCs w:val="1"/>
                <w:color w:val="auto"/>
              </w:rPr>
            </w:pPr>
          </w:p>
        </w:tc>
        <w:tc>
          <w:tcPr>
            <w:tcW w:w="1400" w:type="dxa"/>
            <w:vAlign w:val="bottom"/>
            <w:tcBorders>
              <w:bottom w:val="single" w:sz="8" w:color="BCBEC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720" w:type="dxa"/>
            <w:vAlign w:val="bottom"/>
          </w:tcPr>
          <w:p>
            <w:pPr>
              <w:ind w:left="20"/>
              <w:spacing w:after="0"/>
              <w:rPr>
                <w:sz w:val="20"/>
                <w:szCs w:val="20"/>
                <w:color w:val="auto"/>
              </w:rPr>
            </w:pPr>
            <w:r>
              <w:rPr>
                <w:rFonts w:ascii="Arial" w:cs="Arial" w:eastAsia="Arial" w:hAnsi="Arial"/>
                <w:sz w:val="14"/>
                <w:szCs w:val="14"/>
                <w:color w:val="auto"/>
              </w:rPr>
              <w:t>2023</w:t>
            </w:r>
          </w:p>
        </w:tc>
        <w:tc>
          <w:tcPr>
            <w:tcW w:w="1560" w:type="dxa"/>
            <w:vAlign w:val="bottom"/>
          </w:tcPr>
          <w:p>
            <w:pPr>
              <w:jc w:val="right"/>
              <w:ind w:right="171"/>
              <w:spacing w:after="0"/>
              <w:rPr>
                <w:sz w:val="20"/>
                <w:szCs w:val="20"/>
                <w:color w:val="auto"/>
              </w:rPr>
            </w:pPr>
            <w:r>
              <w:rPr>
                <w:rFonts w:ascii="Arial" w:cs="Arial" w:eastAsia="Arial" w:hAnsi="Arial"/>
                <w:sz w:val="14"/>
                <w:szCs w:val="14"/>
                <w:color w:val="auto"/>
              </w:rPr>
              <w:t>10,008,469</w:t>
            </w:r>
          </w:p>
        </w:tc>
        <w:tc>
          <w:tcPr>
            <w:tcW w:w="1340" w:type="dxa"/>
            <w:vAlign w:val="bottom"/>
          </w:tcPr>
          <w:p>
            <w:pPr>
              <w:jc w:val="right"/>
              <w:ind w:right="129"/>
              <w:spacing w:after="0"/>
              <w:rPr>
                <w:sz w:val="20"/>
                <w:szCs w:val="20"/>
                <w:color w:val="auto"/>
              </w:rPr>
            </w:pPr>
            <w:r>
              <w:rPr>
                <w:rFonts w:ascii="Arial" w:cs="Arial" w:eastAsia="Arial" w:hAnsi="Arial"/>
                <w:sz w:val="14"/>
                <w:szCs w:val="14"/>
                <w:color w:val="auto"/>
              </w:rPr>
              <w:t>17,893,209</w:t>
            </w:r>
          </w:p>
        </w:tc>
        <w:tc>
          <w:tcPr>
            <w:tcW w:w="1400" w:type="dxa"/>
            <w:vAlign w:val="bottom"/>
          </w:tcPr>
          <w:p>
            <w:pPr>
              <w:jc w:val="right"/>
              <w:ind w:right="171"/>
              <w:spacing w:after="0"/>
              <w:rPr>
                <w:sz w:val="20"/>
                <w:szCs w:val="20"/>
                <w:color w:val="auto"/>
              </w:rPr>
            </w:pPr>
            <w:r>
              <w:rPr>
                <w:rFonts w:ascii="Arial" w:cs="Arial" w:eastAsia="Arial" w:hAnsi="Arial"/>
                <w:sz w:val="14"/>
                <w:szCs w:val="14"/>
                <w:color w:val="auto"/>
              </w:rPr>
              <w:t>2,722,854</w:t>
            </w:r>
          </w:p>
        </w:tc>
        <w:tc>
          <w:tcPr>
            <w:tcW w:w="1200" w:type="dxa"/>
            <w:vAlign w:val="bottom"/>
          </w:tcPr>
          <w:p>
            <w:pPr>
              <w:jc w:val="right"/>
              <w:spacing w:after="0"/>
              <w:rPr>
                <w:sz w:val="20"/>
                <w:szCs w:val="20"/>
                <w:color w:val="auto"/>
              </w:rPr>
            </w:pPr>
            <w:r>
              <w:rPr>
                <w:rFonts w:ascii="Arial" w:cs="Arial" w:eastAsia="Arial" w:hAnsi="Arial"/>
                <w:sz w:val="14"/>
                <w:szCs w:val="14"/>
                <w:color w:val="auto"/>
              </w:rPr>
              <w:t>4,497,393</w:t>
            </w:r>
          </w:p>
        </w:tc>
        <w:tc>
          <w:tcPr>
            <w:tcW w:w="1340" w:type="dxa"/>
            <w:vAlign w:val="bottom"/>
          </w:tcPr>
          <w:p>
            <w:pPr>
              <w:jc w:val="right"/>
              <w:ind w:right="149"/>
              <w:spacing w:after="0"/>
              <w:rPr>
                <w:sz w:val="20"/>
                <w:szCs w:val="20"/>
                <w:color w:val="auto"/>
              </w:rPr>
            </w:pPr>
            <w:r>
              <w:rPr>
                <w:rFonts w:ascii="Arial" w:cs="Arial" w:eastAsia="Arial" w:hAnsi="Arial"/>
                <w:sz w:val="14"/>
                <w:szCs w:val="14"/>
                <w:color w:val="auto"/>
              </w:rPr>
              <w:t>143.15</w:t>
            </w:r>
          </w:p>
        </w:tc>
        <w:tc>
          <w:tcPr>
            <w:tcW w:w="1040" w:type="dxa"/>
            <w:vAlign w:val="bottom"/>
          </w:tcPr>
          <w:p>
            <w:pPr>
              <w:jc w:val="right"/>
              <w:ind w:right="9"/>
              <w:spacing w:after="0"/>
              <w:rPr>
                <w:sz w:val="20"/>
                <w:szCs w:val="20"/>
                <w:color w:val="auto"/>
              </w:rPr>
            </w:pPr>
            <w:r>
              <w:rPr>
                <w:rFonts w:ascii="Arial" w:cs="Arial" w:eastAsia="Arial" w:hAnsi="Arial"/>
                <w:sz w:val="14"/>
                <w:szCs w:val="14"/>
                <w:color w:val="auto"/>
              </w:rPr>
              <w:t>134.45</w:t>
            </w:r>
          </w:p>
        </w:tc>
        <w:tc>
          <w:tcPr>
            <w:tcW w:w="1240" w:type="dxa"/>
            <w:vAlign w:val="bottom"/>
          </w:tcPr>
          <w:p>
            <w:pPr>
              <w:jc w:val="right"/>
              <w:ind w:right="49"/>
              <w:spacing w:after="0"/>
              <w:rPr>
                <w:sz w:val="20"/>
                <w:szCs w:val="20"/>
                <w:color w:val="auto"/>
              </w:rPr>
            </w:pPr>
            <w:r>
              <w:rPr>
                <w:rFonts w:ascii="Arial" w:cs="Arial" w:eastAsia="Arial" w:hAnsi="Arial"/>
                <w:sz w:val="14"/>
                <w:szCs w:val="14"/>
                <w:color w:val="auto"/>
              </w:rPr>
              <w:t>622,700,000</w:t>
            </w:r>
          </w:p>
        </w:tc>
        <w:tc>
          <w:tcPr>
            <w:tcW w:w="1400" w:type="dxa"/>
            <w:vAlign w:val="bottom"/>
          </w:tcPr>
          <w:p>
            <w:pPr>
              <w:jc w:val="right"/>
              <w:spacing w:after="0"/>
              <w:rPr>
                <w:sz w:val="20"/>
                <w:szCs w:val="20"/>
                <w:color w:val="auto"/>
              </w:rPr>
            </w:pPr>
            <w:r>
              <w:rPr>
                <w:rFonts w:ascii="Arial" w:cs="Arial" w:eastAsia="Arial" w:hAnsi="Arial"/>
                <w:sz w:val="14"/>
                <w:szCs w:val="14"/>
                <w:color w:val="auto"/>
              </w:rPr>
              <w:t>855,100,000</w:t>
            </w:r>
          </w:p>
        </w:tc>
        <w:tc>
          <w:tcPr>
            <w:tcW w:w="0" w:type="dxa"/>
            <w:vAlign w:val="bottom"/>
          </w:tcPr>
          <w:p>
            <w:pPr>
              <w:spacing w:after="0"/>
              <w:rPr>
                <w:sz w:val="1"/>
                <w:szCs w:val="1"/>
                <w:color w:val="auto"/>
              </w:rPr>
            </w:pPr>
          </w:p>
        </w:tc>
      </w:tr>
      <w:tr>
        <w:trPr>
          <w:trHeight w:val="22"/>
        </w:trPr>
        <w:tc>
          <w:tcPr>
            <w:tcW w:w="720" w:type="dxa"/>
            <w:vAlign w:val="bottom"/>
            <w:tcBorders>
              <w:bottom w:val="single" w:sz="8" w:color="BCBEC0"/>
            </w:tcBorders>
          </w:tcPr>
          <w:p>
            <w:pPr>
              <w:spacing w:after="0" w:line="20" w:lineRule="exact"/>
              <w:rPr>
                <w:sz w:val="1"/>
                <w:szCs w:val="1"/>
                <w:color w:val="auto"/>
              </w:rPr>
            </w:pPr>
          </w:p>
        </w:tc>
        <w:tc>
          <w:tcPr>
            <w:tcW w:w="1560" w:type="dxa"/>
            <w:vAlign w:val="bottom"/>
            <w:tcBorders>
              <w:bottom w:val="single" w:sz="8" w:color="BCBEC0"/>
            </w:tcBorders>
          </w:tcPr>
          <w:p>
            <w:pPr>
              <w:spacing w:after="0" w:line="20" w:lineRule="exact"/>
              <w:rPr>
                <w:sz w:val="1"/>
                <w:szCs w:val="1"/>
                <w:color w:val="auto"/>
              </w:rPr>
            </w:pPr>
          </w:p>
        </w:tc>
        <w:tc>
          <w:tcPr>
            <w:tcW w:w="1340" w:type="dxa"/>
            <w:vAlign w:val="bottom"/>
            <w:tcBorders>
              <w:bottom w:val="single" w:sz="8" w:color="BCBEC0"/>
            </w:tcBorders>
          </w:tcPr>
          <w:p>
            <w:pPr>
              <w:spacing w:after="0" w:line="20" w:lineRule="exact"/>
              <w:rPr>
                <w:sz w:val="1"/>
                <w:szCs w:val="1"/>
                <w:color w:val="auto"/>
              </w:rPr>
            </w:pPr>
          </w:p>
        </w:tc>
        <w:tc>
          <w:tcPr>
            <w:tcW w:w="1400" w:type="dxa"/>
            <w:vAlign w:val="bottom"/>
            <w:tcBorders>
              <w:bottom w:val="single" w:sz="8" w:color="BCBEC0"/>
            </w:tcBorders>
          </w:tcPr>
          <w:p>
            <w:pPr>
              <w:spacing w:after="0" w:line="20" w:lineRule="exact"/>
              <w:rPr>
                <w:sz w:val="1"/>
                <w:szCs w:val="1"/>
                <w:color w:val="auto"/>
              </w:rPr>
            </w:pPr>
          </w:p>
        </w:tc>
        <w:tc>
          <w:tcPr>
            <w:tcW w:w="1200" w:type="dxa"/>
            <w:vAlign w:val="bottom"/>
            <w:tcBorders>
              <w:bottom w:val="single" w:sz="8" w:color="BCBEC0"/>
            </w:tcBorders>
          </w:tcPr>
          <w:p>
            <w:pPr>
              <w:spacing w:after="0" w:line="20" w:lineRule="exact"/>
              <w:rPr>
                <w:sz w:val="1"/>
                <w:szCs w:val="1"/>
                <w:color w:val="auto"/>
              </w:rPr>
            </w:pPr>
          </w:p>
        </w:tc>
        <w:tc>
          <w:tcPr>
            <w:tcW w:w="1340" w:type="dxa"/>
            <w:vAlign w:val="bottom"/>
            <w:tcBorders>
              <w:bottom w:val="single" w:sz="8" w:color="BCBEC0"/>
            </w:tcBorders>
          </w:tcPr>
          <w:p>
            <w:pPr>
              <w:spacing w:after="0" w:line="20" w:lineRule="exact"/>
              <w:rPr>
                <w:sz w:val="1"/>
                <w:szCs w:val="1"/>
                <w:color w:val="auto"/>
              </w:rPr>
            </w:pPr>
          </w:p>
        </w:tc>
        <w:tc>
          <w:tcPr>
            <w:tcW w:w="1040" w:type="dxa"/>
            <w:vAlign w:val="bottom"/>
            <w:tcBorders>
              <w:bottom w:val="single" w:sz="8" w:color="BCBEC0"/>
            </w:tcBorders>
          </w:tcPr>
          <w:p>
            <w:pPr>
              <w:spacing w:after="0" w:line="20" w:lineRule="exact"/>
              <w:rPr>
                <w:sz w:val="1"/>
                <w:szCs w:val="1"/>
                <w:color w:val="auto"/>
              </w:rPr>
            </w:pPr>
          </w:p>
        </w:tc>
        <w:tc>
          <w:tcPr>
            <w:tcW w:w="1240" w:type="dxa"/>
            <w:vAlign w:val="bottom"/>
            <w:tcBorders>
              <w:bottom w:val="single" w:sz="8" w:color="BCBEC0"/>
            </w:tcBorders>
          </w:tcPr>
          <w:p>
            <w:pPr>
              <w:spacing w:after="0" w:line="20" w:lineRule="exact"/>
              <w:rPr>
                <w:sz w:val="1"/>
                <w:szCs w:val="1"/>
                <w:color w:val="auto"/>
              </w:rPr>
            </w:pPr>
          </w:p>
        </w:tc>
        <w:tc>
          <w:tcPr>
            <w:tcW w:w="1400" w:type="dxa"/>
            <w:vAlign w:val="bottom"/>
            <w:tcBorders>
              <w:bottom w:val="single" w:sz="8" w:color="BCBEC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2"/>
        </w:trPr>
        <w:tc>
          <w:tcPr>
            <w:tcW w:w="720" w:type="dxa"/>
            <w:vAlign w:val="bottom"/>
          </w:tcPr>
          <w:p>
            <w:pPr>
              <w:ind w:left="20"/>
              <w:spacing w:after="0"/>
              <w:rPr>
                <w:sz w:val="20"/>
                <w:szCs w:val="20"/>
                <w:color w:val="auto"/>
              </w:rPr>
            </w:pPr>
            <w:r>
              <w:rPr>
                <w:rFonts w:ascii="Arial" w:cs="Arial" w:eastAsia="Arial" w:hAnsi="Arial"/>
                <w:sz w:val="14"/>
                <w:szCs w:val="14"/>
                <w:color w:val="auto"/>
              </w:rPr>
              <w:t>2022</w:t>
            </w:r>
          </w:p>
        </w:tc>
        <w:tc>
          <w:tcPr>
            <w:tcW w:w="1560" w:type="dxa"/>
            <w:vAlign w:val="bottom"/>
          </w:tcPr>
          <w:p>
            <w:pPr>
              <w:jc w:val="right"/>
              <w:ind w:right="171"/>
              <w:spacing w:after="0"/>
              <w:rPr>
                <w:sz w:val="20"/>
                <w:szCs w:val="20"/>
                <w:color w:val="auto"/>
              </w:rPr>
            </w:pPr>
            <w:r>
              <w:rPr>
                <w:rFonts w:ascii="Arial" w:cs="Arial" w:eastAsia="Arial" w:hAnsi="Arial"/>
                <w:sz w:val="14"/>
                <w:szCs w:val="14"/>
                <w:color w:val="auto"/>
              </w:rPr>
              <w:t>7,783,265</w:t>
            </w:r>
          </w:p>
        </w:tc>
        <w:tc>
          <w:tcPr>
            <w:tcW w:w="1340" w:type="dxa"/>
            <w:vAlign w:val="bottom"/>
          </w:tcPr>
          <w:p>
            <w:pPr>
              <w:jc w:val="right"/>
              <w:ind w:right="89"/>
              <w:spacing w:after="0"/>
              <w:rPr>
                <w:sz w:val="20"/>
                <w:szCs w:val="20"/>
                <w:color w:val="auto"/>
              </w:rPr>
            </w:pPr>
            <w:r>
              <w:rPr>
                <w:rFonts w:ascii="Arial" w:cs="Arial" w:eastAsia="Arial" w:hAnsi="Arial"/>
                <w:sz w:val="14"/>
                <w:szCs w:val="14"/>
                <w:color w:val="auto"/>
              </w:rPr>
              <w:t>(1,944,891)</w:t>
            </w:r>
          </w:p>
        </w:tc>
        <w:tc>
          <w:tcPr>
            <w:tcW w:w="1400" w:type="dxa"/>
            <w:vAlign w:val="bottom"/>
          </w:tcPr>
          <w:p>
            <w:pPr>
              <w:jc w:val="right"/>
              <w:ind w:right="171"/>
              <w:spacing w:after="0"/>
              <w:rPr>
                <w:sz w:val="20"/>
                <w:szCs w:val="20"/>
                <w:color w:val="auto"/>
              </w:rPr>
            </w:pPr>
            <w:r>
              <w:rPr>
                <w:rFonts w:ascii="Arial" w:cs="Arial" w:eastAsia="Arial" w:hAnsi="Arial"/>
                <w:sz w:val="14"/>
                <w:szCs w:val="14"/>
                <w:color w:val="auto"/>
              </w:rPr>
              <w:t>2,053,323</w:t>
            </w:r>
          </w:p>
        </w:tc>
        <w:tc>
          <w:tcPr>
            <w:tcW w:w="1200" w:type="dxa"/>
            <w:vAlign w:val="bottom"/>
          </w:tcPr>
          <w:p>
            <w:pPr>
              <w:jc w:val="right"/>
              <w:spacing w:after="0"/>
              <w:rPr>
                <w:sz w:val="20"/>
                <w:szCs w:val="20"/>
                <w:color w:val="auto"/>
              </w:rPr>
            </w:pPr>
            <w:r>
              <w:rPr>
                <w:rFonts w:ascii="Arial" w:cs="Arial" w:eastAsia="Arial" w:hAnsi="Arial"/>
                <w:sz w:val="14"/>
                <w:szCs w:val="14"/>
                <w:color w:val="auto"/>
              </w:rPr>
              <w:t>206,764</w:t>
            </w:r>
          </w:p>
        </w:tc>
        <w:tc>
          <w:tcPr>
            <w:tcW w:w="1340" w:type="dxa"/>
            <w:vAlign w:val="bottom"/>
          </w:tcPr>
          <w:p>
            <w:pPr>
              <w:jc w:val="right"/>
              <w:ind w:right="149"/>
              <w:spacing w:after="0"/>
              <w:rPr>
                <w:sz w:val="20"/>
                <w:szCs w:val="20"/>
                <w:color w:val="auto"/>
              </w:rPr>
            </w:pPr>
            <w:r>
              <w:rPr>
                <w:rFonts w:ascii="Arial" w:cs="Arial" w:eastAsia="Arial" w:hAnsi="Arial"/>
                <w:sz w:val="14"/>
                <w:szCs w:val="14"/>
                <w:color w:val="auto"/>
              </w:rPr>
              <w:t>87.20</w:t>
            </w:r>
          </w:p>
        </w:tc>
        <w:tc>
          <w:tcPr>
            <w:tcW w:w="1040" w:type="dxa"/>
            <w:vAlign w:val="bottom"/>
          </w:tcPr>
          <w:p>
            <w:pPr>
              <w:jc w:val="right"/>
              <w:ind w:right="9"/>
              <w:spacing w:after="0"/>
              <w:rPr>
                <w:sz w:val="20"/>
                <w:szCs w:val="20"/>
                <w:color w:val="auto"/>
              </w:rPr>
            </w:pPr>
            <w:r>
              <w:rPr>
                <w:rFonts w:ascii="Arial" w:cs="Arial" w:eastAsia="Arial" w:hAnsi="Arial"/>
                <w:sz w:val="14"/>
                <w:szCs w:val="14"/>
                <w:color w:val="auto"/>
              </w:rPr>
              <w:t>103.08</w:t>
            </w:r>
          </w:p>
        </w:tc>
        <w:tc>
          <w:tcPr>
            <w:tcW w:w="1240" w:type="dxa"/>
            <w:vAlign w:val="bottom"/>
          </w:tcPr>
          <w:p>
            <w:pPr>
              <w:jc w:val="right"/>
              <w:ind w:right="49"/>
              <w:spacing w:after="0"/>
              <w:rPr>
                <w:sz w:val="20"/>
                <w:szCs w:val="20"/>
                <w:color w:val="auto"/>
              </w:rPr>
            </w:pPr>
            <w:r>
              <w:rPr>
                <w:rFonts w:ascii="Arial" w:cs="Arial" w:eastAsia="Arial" w:hAnsi="Arial"/>
                <w:sz w:val="14"/>
                <w:szCs w:val="14"/>
                <w:color w:val="auto"/>
              </w:rPr>
              <w:t>480,900,000</w:t>
            </w:r>
          </w:p>
        </w:tc>
        <w:tc>
          <w:tcPr>
            <w:tcW w:w="1400" w:type="dxa"/>
            <w:vAlign w:val="bottom"/>
          </w:tcPr>
          <w:p>
            <w:pPr>
              <w:jc w:val="right"/>
              <w:spacing w:after="0"/>
              <w:rPr>
                <w:sz w:val="20"/>
                <w:szCs w:val="20"/>
                <w:color w:val="auto"/>
              </w:rPr>
            </w:pPr>
            <w:r>
              <w:rPr>
                <w:rFonts w:ascii="Arial" w:cs="Arial" w:eastAsia="Arial" w:hAnsi="Arial"/>
                <w:sz w:val="14"/>
                <w:szCs w:val="14"/>
                <w:color w:val="auto"/>
              </w:rPr>
              <w:t>767,700,000</w:t>
            </w:r>
          </w:p>
        </w:tc>
        <w:tc>
          <w:tcPr>
            <w:tcW w:w="0" w:type="dxa"/>
            <w:vAlign w:val="bottom"/>
          </w:tcPr>
          <w:p>
            <w:pPr>
              <w:spacing w:after="0"/>
              <w:rPr>
                <w:sz w:val="1"/>
                <w:szCs w:val="1"/>
                <w:color w:val="auto"/>
              </w:rPr>
            </w:pPr>
          </w:p>
        </w:tc>
      </w:tr>
      <w:tr>
        <w:trPr>
          <w:trHeight w:val="22"/>
        </w:trPr>
        <w:tc>
          <w:tcPr>
            <w:tcW w:w="720" w:type="dxa"/>
            <w:vAlign w:val="bottom"/>
            <w:tcBorders>
              <w:bottom w:val="single" w:sz="8" w:color="BCBEC0"/>
            </w:tcBorders>
          </w:tcPr>
          <w:p>
            <w:pPr>
              <w:spacing w:after="0" w:line="20" w:lineRule="exact"/>
              <w:rPr>
                <w:sz w:val="1"/>
                <w:szCs w:val="1"/>
                <w:color w:val="auto"/>
              </w:rPr>
            </w:pPr>
          </w:p>
        </w:tc>
        <w:tc>
          <w:tcPr>
            <w:tcW w:w="1560" w:type="dxa"/>
            <w:vAlign w:val="bottom"/>
            <w:tcBorders>
              <w:bottom w:val="single" w:sz="8" w:color="BCBEC0"/>
            </w:tcBorders>
          </w:tcPr>
          <w:p>
            <w:pPr>
              <w:spacing w:after="0" w:line="20" w:lineRule="exact"/>
              <w:rPr>
                <w:sz w:val="1"/>
                <w:szCs w:val="1"/>
                <w:color w:val="auto"/>
              </w:rPr>
            </w:pPr>
          </w:p>
        </w:tc>
        <w:tc>
          <w:tcPr>
            <w:tcW w:w="1340" w:type="dxa"/>
            <w:vAlign w:val="bottom"/>
            <w:tcBorders>
              <w:bottom w:val="single" w:sz="8" w:color="BCBEC0"/>
            </w:tcBorders>
          </w:tcPr>
          <w:p>
            <w:pPr>
              <w:spacing w:after="0" w:line="20" w:lineRule="exact"/>
              <w:rPr>
                <w:sz w:val="1"/>
                <w:szCs w:val="1"/>
                <w:color w:val="auto"/>
              </w:rPr>
            </w:pPr>
          </w:p>
        </w:tc>
        <w:tc>
          <w:tcPr>
            <w:tcW w:w="1400" w:type="dxa"/>
            <w:vAlign w:val="bottom"/>
            <w:tcBorders>
              <w:bottom w:val="single" w:sz="8" w:color="BCBEC0"/>
            </w:tcBorders>
          </w:tcPr>
          <w:p>
            <w:pPr>
              <w:spacing w:after="0" w:line="20" w:lineRule="exact"/>
              <w:rPr>
                <w:sz w:val="1"/>
                <w:szCs w:val="1"/>
                <w:color w:val="auto"/>
              </w:rPr>
            </w:pPr>
          </w:p>
        </w:tc>
        <w:tc>
          <w:tcPr>
            <w:tcW w:w="1200" w:type="dxa"/>
            <w:vAlign w:val="bottom"/>
            <w:tcBorders>
              <w:bottom w:val="single" w:sz="8" w:color="BCBEC0"/>
            </w:tcBorders>
          </w:tcPr>
          <w:p>
            <w:pPr>
              <w:spacing w:after="0" w:line="20" w:lineRule="exact"/>
              <w:rPr>
                <w:sz w:val="1"/>
                <w:szCs w:val="1"/>
                <w:color w:val="auto"/>
              </w:rPr>
            </w:pPr>
          </w:p>
        </w:tc>
        <w:tc>
          <w:tcPr>
            <w:tcW w:w="1340" w:type="dxa"/>
            <w:vAlign w:val="bottom"/>
            <w:tcBorders>
              <w:bottom w:val="single" w:sz="8" w:color="BCBEC0"/>
            </w:tcBorders>
          </w:tcPr>
          <w:p>
            <w:pPr>
              <w:spacing w:after="0" w:line="20" w:lineRule="exact"/>
              <w:rPr>
                <w:sz w:val="1"/>
                <w:szCs w:val="1"/>
                <w:color w:val="auto"/>
              </w:rPr>
            </w:pPr>
          </w:p>
        </w:tc>
        <w:tc>
          <w:tcPr>
            <w:tcW w:w="1040" w:type="dxa"/>
            <w:vAlign w:val="bottom"/>
            <w:tcBorders>
              <w:bottom w:val="single" w:sz="8" w:color="BCBEC0"/>
            </w:tcBorders>
          </w:tcPr>
          <w:p>
            <w:pPr>
              <w:spacing w:after="0" w:line="20" w:lineRule="exact"/>
              <w:rPr>
                <w:sz w:val="1"/>
                <w:szCs w:val="1"/>
                <w:color w:val="auto"/>
              </w:rPr>
            </w:pPr>
          </w:p>
        </w:tc>
        <w:tc>
          <w:tcPr>
            <w:tcW w:w="1240" w:type="dxa"/>
            <w:vAlign w:val="bottom"/>
            <w:tcBorders>
              <w:bottom w:val="single" w:sz="8" w:color="BCBEC0"/>
            </w:tcBorders>
          </w:tcPr>
          <w:p>
            <w:pPr>
              <w:spacing w:after="0" w:line="20" w:lineRule="exact"/>
              <w:rPr>
                <w:sz w:val="1"/>
                <w:szCs w:val="1"/>
                <w:color w:val="auto"/>
              </w:rPr>
            </w:pPr>
          </w:p>
        </w:tc>
        <w:tc>
          <w:tcPr>
            <w:tcW w:w="1400" w:type="dxa"/>
            <w:vAlign w:val="bottom"/>
            <w:tcBorders>
              <w:bottom w:val="single" w:sz="8" w:color="BCBEC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720" w:type="dxa"/>
            <w:vAlign w:val="bottom"/>
          </w:tcPr>
          <w:p>
            <w:pPr>
              <w:ind w:left="20"/>
              <w:spacing w:after="0"/>
              <w:rPr>
                <w:sz w:val="20"/>
                <w:szCs w:val="20"/>
                <w:color w:val="auto"/>
              </w:rPr>
            </w:pPr>
            <w:r>
              <w:rPr>
                <w:rFonts w:ascii="Arial" w:cs="Arial" w:eastAsia="Arial" w:hAnsi="Arial"/>
                <w:sz w:val="14"/>
                <w:szCs w:val="14"/>
                <w:color w:val="auto"/>
              </w:rPr>
              <w:t>2021</w:t>
            </w:r>
          </w:p>
        </w:tc>
        <w:tc>
          <w:tcPr>
            <w:tcW w:w="1560" w:type="dxa"/>
            <w:vAlign w:val="bottom"/>
          </w:tcPr>
          <w:p>
            <w:pPr>
              <w:jc w:val="right"/>
              <w:ind w:right="171"/>
              <w:spacing w:after="0"/>
              <w:rPr>
                <w:sz w:val="20"/>
                <w:szCs w:val="20"/>
                <w:color w:val="auto"/>
              </w:rPr>
            </w:pPr>
            <w:r>
              <w:rPr>
                <w:rFonts w:ascii="Arial" w:cs="Arial" w:eastAsia="Arial" w:hAnsi="Arial"/>
                <w:sz w:val="14"/>
                <w:szCs w:val="14"/>
                <w:color w:val="auto"/>
              </w:rPr>
              <w:t>9,429,546</w:t>
            </w:r>
          </w:p>
        </w:tc>
        <w:tc>
          <w:tcPr>
            <w:tcW w:w="1340" w:type="dxa"/>
            <w:vAlign w:val="bottom"/>
          </w:tcPr>
          <w:p>
            <w:pPr>
              <w:jc w:val="right"/>
              <w:ind w:right="129"/>
              <w:spacing w:after="0"/>
              <w:rPr>
                <w:sz w:val="20"/>
                <w:szCs w:val="20"/>
                <w:color w:val="auto"/>
              </w:rPr>
            </w:pPr>
            <w:r>
              <w:rPr>
                <w:rFonts w:ascii="Arial" w:cs="Arial" w:eastAsia="Arial" w:hAnsi="Arial"/>
                <w:sz w:val="14"/>
                <w:szCs w:val="14"/>
                <w:color w:val="auto"/>
              </w:rPr>
              <w:t>22,765,163</w:t>
            </w:r>
          </w:p>
        </w:tc>
        <w:tc>
          <w:tcPr>
            <w:tcW w:w="1400" w:type="dxa"/>
            <w:vAlign w:val="bottom"/>
          </w:tcPr>
          <w:p>
            <w:pPr>
              <w:jc w:val="right"/>
              <w:ind w:right="171"/>
              <w:spacing w:after="0"/>
              <w:rPr>
                <w:sz w:val="20"/>
                <w:szCs w:val="20"/>
                <w:color w:val="auto"/>
              </w:rPr>
            </w:pPr>
            <w:r>
              <w:rPr>
                <w:rFonts w:ascii="Arial" w:cs="Arial" w:eastAsia="Arial" w:hAnsi="Arial"/>
                <w:sz w:val="14"/>
                <w:szCs w:val="14"/>
                <w:color w:val="auto"/>
              </w:rPr>
              <w:t>2,756,991</w:t>
            </w:r>
          </w:p>
        </w:tc>
        <w:tc>
          <w:tcPr>
            <w:tcW w:w="1200" w:type="dxa"/>
            <w:vAlign w:val="bottom"/>
          </w:tcPr>
          <w:p>
            <w:pPr>
              <w:jc w:val="right"/>
              <w:spacing w:after="0"/>
              <w:rPr>
                <w:sz w:val="20"/>
                <w:szCs w:val="20"/>
                <w:color w:val="auto"/>
              </w:rPr>
            </w:pPr>
            <w:r>
              <w:rPr>
                <w:rFonts w:ascii="Arial" w:cs="Arial" w:eastAsia="Arial" w:hAnsi="Arial"/>
                <w:sz w:val="14"/>
                <w:szCs w:val="14"/>
                <w:color w:val="auto"/>
              </w:rPr>
              <w:t>5,517,160</w:t>
            </w:r>
          </w:p>
        </w:tc>
        <w:tc>
          <w:tcPr>
            <w:tcW w:w="1340" w:type="dxa"/>
            <w:vAlign w:val="bottom"/>
          </w:tcPr>
          <w:p>
            <w:pPr>
              <w:jc w:val="right"/>
              <w:ind w:right="149"/>
              <w:spacing w:after="0"/>
              <w:rPr>
                <w:sz w:val="20"/>
                <w:szCs w:val="20"/>
                <w:color w:val="auto"/>
              </w:rPr>
            </w:pPr>
            <w:r>
              <w:rPr>
                <w:rFonts w:ascii="Arial" w:cs="Arial" w:eastAsia="Arial" w:hAnsi="Arial"/>
                <w:sz w:val="14"/>
                <w:szCs w:val="14"/>
                <w:color w:val="auto"/>
              </w:rPr>
              <w:t>139.24</w:t>
            </w:r>
          </w:p>
        </w:tc>
        <w:tc>
          <w:tcPr>
            <w:tcW w:w="1040" w:type="dxa"/>
            <w:vAlign w:val="bottom"/>
          </w:tcPr>
          <w:p>
            <w:pPr>
              <w:jc w:val="right"/>
              <w:ind w:right="9"/>
              <w:spacing w:after="0"/>
              <w:rPr>
                <w:sz w:val="20"/>
                <w:szCs w:val="20"/>
                <w:color w:val="auto"/>
              </w:rPr>
            </w:pPr>
            <w:r>
              <w:rPr>
                <w:rFonts w:ascii="Arial" w:cs="Arial" w:eastAsia="Arial" w:hAnsi="Arial"/>
                <w:sz w:val="14"/>
                <w:szCs w:val="14"/>
                <w:color w:val="auto"/>
              </w:rPr>
              <w:t>127.89</w:t>
            </w:r>
          </w:p>
        </w:tc>
        <w:tc>
          <w:tcPr>
            <w:tcW w:w="1240" w:type="dxa"/>
            <w:vAlign w:val="bottom"/>
          </w:tcPr>
          <w:p>
            <w:pPr>
              <w:jc w:val="right"/>
              <w:ind w:right="49"/>
              <w:spacing w:after="0"/>
              <w:rPr>
                <w:sz w:val="20"/>
                <w:szCs w:val="20"/>
                <w:color w:val="auto"/>
              </w:rPr>
            </w:pPr>
            <w:r>
              <w:rPr>
                <w:rFonts w:ascii="Arial" w:cs="Arial" w:eastAsia="Arial" w:hAnsi="Arial"/>
                <w:sz w:val="14"/>
                <w:szCs w:val="14"/>
                <w:color w:val="auto"/>
              </w:rPr>
              <w:t>553,000,000</w:t>
            </w:r>
          </w:p>
        </w:tc>
        <w:tc>
          <w:tcPr>
            <w:tcW w:w="1400" w:type="dxa"/>
            <w:vAlign w:val="bottom"/>
          </w:tcPr>
          <w:p>
            <w:pPr>
              <w:jc w:val="right"/>
              <w:spacing w:after="0"/>
              <w:rPr>
                <w:sz w:val="20"/>
                <w:szCs w:val="20"/>
                <w:color w:val="auto"/>
              </w:rPr>
            </w:pPr>
            <w:r>
              <w:rPr>
                <w:rFonts w:ascii="Arial" w:cs="Arial" w:eastAsia="Arial" w:hAnsi="Arial"/>
                <w:sz w:val="14"/>
                <w:szCs w:val="14"/>
                <w:color w:val="auto"/>
              </w:rPr>
              <w:t>685,900,000</w:t>
            </w:r>
          </w:p>
        </w:tc>
        <w:tc>
          <w:tcPr>
            <w:tcW w:w="0" w:type="dxa"/>
            <w:vAlign w:val="bottom"/>
          </w:tcPr>
          <w:p>
            <w:pPr>
              <w:spacing w:after="0"/>
              <w:rPr>
                <w:sz w:val="1"/>
                <w:szCs w:val="1"/>
                <w:color w:val="auto"/>
              </w:rPr>
            </w:pPr>
          </w:p>
        </w:tc>
      </w:tr>
      <w:tr>
        <w:trPr>
          <w:trHeight w:val="22"/>
        </w:trPr>
        <w:tc>
          <w:tcPr>
            <w:tcW w:w="720" w:type="dxa"/>
            <w:vAlign w:val="bottom"/>
            <w:tcBorders>
              <w:bottom w:val="single" w:sz="8" w:color="0C3471"/>
            </w:tcBorders>
          </w:tcPr>
          <w:p>
            <w:pPr>
              <w:spacing w:after="0" w:line="20" w:lineRule="exact"/>
              <w:rPr>
                <w:sz w:val="1"/>
                <w:szCs w:val="1"/>
                <w:color w:val="auto"/>
              </w:rPr>
            </w:pPr>
          </w:p>
        </w:tc>
        <w:tc>
          <w:tcPr>
            <w:tcW w:w="1560" w:type="dxa"/>
            <w:vAlign w:val="bottom"/>
            <w:tcBorders>
              <w:bottom w:val="single" w:sz="8" w:color="0C3471"/>
            </w:tcBorders>
          </w:tcPr>
          <w:p>
            <w:pPr>
              <w:spacing w:after="0" w:line="20" w:lineRule="exact"/>
              <w:rPr>
                <w:sz w:val="1"/>
                <w:szCs w:val="1"/>
                <w:color w:val="auto"/>
              </w:rPr>
            </w:pPr>
          </w:p>
        </w:tc>
        <w:tc>
          <w:tcPr>
            <w:tcW w:w="1340" w:type="dxa"/>
            <w:vAlign w:val="bottom"/>
            <w:tcBorders>
              <w:bottom w:val="single" w:sz="8" w:color="0C3471"/>
            </w:tcBorders>
          </w:tcPr>
          <w:p>
            <w:pPr>
              <w:spacing w:after="0" w:line="20" w:lineRule="exact"/>
              <w:rPr>
                <w:sz w:val="1"/>
                <w:szCs w:val="1"/>
                <w:color w:val="auto"/>
              </w:rPr>
            </w:pPr>
          </w:p>
        </w:tc>
        <w:tc>
          <w:tcPr>
            <w:tcW w:w="1400" w:type="dxa"/>
            <w:vAlign w:val="bottom"/>
            <w:tcBorders>
              <w:bottom w:val="single" w:sz="8" w:color="0C3471"/>
            </w:tcBorders>
          </w:tcPr>
          <w:p>
            <w:pPr>
              <w:spacing w:after="0" w:line="20" w:lineRule="exact"/>
              <w:rPr>
                <w:sz w:val="1"/>
                <w:szCs w:val="1"/>
                <w:color w:val="auto"/>
              </w:rPr>
            </w:pPr>
          </w:p>
        </w:tc>
        <w:tc>
          <w:tcPr>
            <w:tcW w:w="1200" w:type="dxa"/>
            <w:vAlign w:val="bottom"/>
            <w:tcBorders>
              <w:bottom w:val="single" w:sz="8" w:color="0C3471"/>
            </w:tcBorders>
          </w:tcPr>
          <w:p>
            <w:pPr>
              <w:spacing w:after="0" w:line="20" w:lineRule="exact"/>
              <w:rPr>
                <w:sz w:val="1"/>
                <w:szCs w:val="1"/>
                <w:color w:val="auto"/>
              </w:rPr>
            </w:pPr>
          </w:p>
        </w:tc>
        <w:tc>
          <w:tcPr>
            <w:tcW w:w="1340" w:type="dxa"/>
            <w:vAlign w:val="bottom"/>
            <w:tcBorders>
              <w:bottom w:val="single" w:sz="8" w:color="0C3471"/>
            </w:tcBorders>
          </w:tcPr>
          <w:p>
            <w:pPr>
              <w:spacing w:after="0" w:line="20" w:lineRule="exact"/>
              <w:rPr>
                <w:sz w:val="1"/>
                <w:szCs w:val="1"/>
                <w:color w:val="auto"/>
              </w:rPr>
            </w:pPr>
          </w:p>
        </w:tc>
        <w:tc>
          <w:tcPr>
            <w:tcW w:w="1040" w:type="dxa"/>
            <w:vAlign w:val="bottom"/>
            <w:tcBorders>
              <w:bottom w:val="single" w:sz="8" w:color="0C3471"/>
            </w:tcBorders>
          </w:tcPr>
          <w:p>
            <w:pPr>
              <w:spacing w:after="0" w:line="20" w:lineRule="exact"/>
              <w:rPr>
                <w:sz w:val="1"/>
                <w:szCs w:val="1"/>
                <w:color w:val="auto"/>
              </w:rPr>
            </w:pPr>
          </w:p>
        </w:tc>
        <w:tc>
          <w:tcPr>
            <w:tcW w:w="1240" w:type="dxa"/>
            <w:vAlign w:val="bottom"/>
            <w:tcBorders>
              <w:bottom w:val="single" w:sz="8" w:color="0C3471"/>
            </w:tcBorders>
          </w:tcPr>
          <w:p>
            <w:pPr>
              <w:spacing w:after="0" w:line="20" w:lineRule="exact"/>
              <w:rPr>
                <w:sz w:val="1"/>
                <w:szCs w:val="1"/>
                <w:color w:val="auto"/>
              </w:rPr>
            </w:pPr>
          </w:p>
        </w:tc>
        <w:tc>
          <w:tcPr>
            <w:tcW w:w="1400" w:type="dxa"/>
            <w:vAlign w:val="bottom"/>
            <w:tcBorders>
              <w:bottom w:val="single" w:sz="8" w:color="0C3471"/>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ind w:left="200" w:right="200" w:hanging="192"/>
        <w:spacing w:after="0" w:line="239" w:lineRule="auto"/>
        <w:tabs>
          <w:tab w:leader="none" w:pos="228" w:val="left"/>
        </w:tabs>
        <w:numPr>
          <w:ilvl w:val="0"/>
          <w:numId w:val="141"/>
        </w:numPr>
        <w:rPr>
          <w:rFonts w:ascii="Arial" w:cs="Arial" w:eastAsia="Arial" w:hAnsi="Arial"/>
          <w:sz w:val="19"/>
          <w:szCs w:val="19"/>
          <w:color w:val="auto"/>
          <w:vertAlign w:val="superscript"/>
        </w:rPr>
      </w:pPr>
      <w:r>
        <w:rPr>
          <w:rFonts w:ascii="Arial" w:cs="Arial" w:eastAsia="Arial" w:hAnsi="Arial"/>
          <w:sz w:val="14"/>
          <w:szCs w:val="14"/>
          <w:color w:val="auto"/>
        </w:rPr>
        <w:t>The amounts shown in columns (b) and (d) reflect “Total Compensation” from the Summary Compensation Table (“SCT”) for each year shown. See the SCT and the notes thereto for the compensation elements included in Total Compensation for each year.</w:t>
      </w:r>
    </w:p>
    <w:p>
      <w:pPr>
        <w:spacing w:after="0" w:line="67" w:lineRule="exact"/>
        <w:rPr>
          <w:rFonts w:ascii="Arial" w:cs="Arial" w:eastAsia="Arial" w:hAnsi="Arial"/>
          <w:sz w:val="19"/>
          <w:szCs w:val="19"/>
          <w:color w:val="auto"/>
          <w:vertAlign w:val="superscript"/>
        </w:rPr>
      </w:pPr>
    </w:p>
    <w:p>
      <w:pPr>
        <w:ind w:left="200" w:right="400" w:hanging="192"/>
        <w:spacing w:after="0" w:line="239" w:lineRule="auto"/>
        <w:tabs>
          <w:tab w:leader="none" w:pos="214" w:val="left"/>
        </w:tabs>
        <w:numPr>
          <w:ilvl w:val="0"/>
          <w:numId w:val="141"/>
        </w:numPr>
        <w:rPr>
          <w:rFonts w:ascii="Arial" w:cs="Arial" w:eastAsia="Arial" w:hAnsi="Arial"/>
          <w:sz w:val="19"/>
          <w:szCs w:val="19"/>
          <w:color w:val="auto"/>
          <w:vertAlign w:val="superscript"/>
        </w:rPr>
      </w:pPr>
      <w:r>
        <w:rPr>
          <w:rFonts w:ascii="Arial" w:cs="Arial" w:eastAsia="Arial" w:hAnsi="Arial"/>
          <w:sz w:val="14"/>
          <w:szCs w:val="14"/>
          <w:color w:val="auto"/>
        </w:rPr>
        <w:t>For 2025, the CEO was John Stauch and the Other NEOs were Robert Fishman, Executive Vice President and Chief Financial Officer; Jerome Pedretti, Executive Vice President &amp; CEO, Pool; De’Mon Wiggins, Executive Vice President and President, Flow; and Adrian Chiu, Executive Vice President and President, Water Solutions.</w:t>
      </w:r>
    </w:p>
    <w:p>
      <w:pPr>
        <w:spacing w:after="0" w:line="108" w:lineRule="exact"/>
        <w:rPr>
          <w:rFonts w:ascii="Arial" w:cs="Arial" w:eastAsia="Arial" w:hAnsi="Arial"/>
          <w:sz w:val="19"/>
          <w:szCs w:val="19"/>
          <w:color w:val="auto"/>
          <w:vertAlign w:val="superscript"/>
        </w:rPr>
      </w:pPr>
    </w:p>
    <w:p>
      <w:pPr>
        <w:jc w:val="both"/>
        <w:ind w:left="200" w:right="340"/>
        <w:spacing w:after="0" w:line="293" w:lineRule="auto"/>
        <w:rPr>
          <w:rFonts w:ascii="Arial" w:cs="Arial" w:eastAsia="Arial" w:hAnsi="Arial"/>
          <w:sz w:val="19"/>
          <w:szCs w:val="19"/>
          <w:color w:val="auto"/>
          <w:vertAlign w:val="superscript"/>
        </w:rPr>
      </w:pPr>
      <w:r>
        <w:rPr>
          <w:rFonts w:ascii="Arial" w:cs="Arial" w:eastAsia="Arial" w:hAnsi="Arial"/>
          <w:sz w:val="14"/>
          <w:szCs w:val="14"/>
          <w:color w:val="auto"/>
        </w:rPr>
        <w:t>For 2024, the CEO was John Stauch and the Other NEOs were Robert Fishman, Executive Vice President, Chief Financial Officer and Chief Accounting Officer; Jerome Pedretti, Executive Vice President &amp; CEO, Pool; De’Mon Wiggins, Executive Vice President and President, Flow; and Karla Robertson, former Executive Vice President, Chief Sustainability Officer, General Counsel and Secretary.</w:t>
      </w:r>
    </w:p>
    <w:p>
      <w:pPr>
        <w:spacing w:after="0" w:line="44" w:lineRule="exact"/>
        <w:rPr>
          <w:rFonts w:ascii="Arial" w:cs="Arial" w:eastAsia="Arial" w:hAnsi="Arial"/>
          <w:sz w:val="19"/>
          <w:szCs w:val="19"/>
          <w:color w:val="auto"/>
          <w:vertAlign w:val="superscript"/>
        </w:rPr>
      </w:pPr>
    </w:p>
    <w:p>
      <w:pPr>
        <w:ind w:left="200" w:right="160"/>
        <w:spacing w:after="0" w:line="293" w:lineRule="auto"/>
        <w:rPr>
          <w:rFonts w:ascii="Arial" w:cs="Arial" w:eastAsia="Arial" w:hAnsi="Arial"/>
          <w:sz w:val="19"/>
          <w:szCs w:val="19"/>
          <w:color w:val="auto"/>
          <w:vertAlign w:val="superscript"/>
        </w:rPr>
      </w:pPr>
      <w:r>
        <w:rPr>
          <w:rFonts w:ascii="Arial" w:cs="Arial" w:eastAsia="Arial" w:hAnsi="Arial"/>
          <w:sz w:val="14"/>
          <w:szCs w:val="14"/>
          <w:color w:val="auto"/>
        </w:rPr>
        <w:t>For 2023, the CEO was John Stauch and the Other NEOs were Robert Fishman, Executive Vice President, Chief Financial Officer and Chief Accounting Officer; Tanya Hooper, Executive Vice President and Chief Human Resources Officer; Jerome Pedretti, Executive Vice President &amp; CEO, Pool; and Adrian Chiu, Executive Vice President and President, Water Solutions.</w:t>
      </w:r>
    </w:p>
    <w:p>
      <w:pPr>
        <w:spacing w:after="0" w:line="71" w:lineRule="exact"/>
        <w:rPr>
          <w:rFonts w:ascii="Arial" w:cs="Arial" w:eastAsia="Arial" w:hAnsi="Arial"/>
          <w:sz w:val="19"/>
          <w:szCs w:val="19"/>
          <w:color w:val="auto"/>
          <w:vertAlign w:val="superscript"/>
        </w:rPr>
      </w:pPr>
    </w:p>
    <w:p>
      <w:pPr>
        <w:ind w:left="200" w:right="120"/>
        <w:spacing w:after="0" w:line="296" w:lineRule="auto"/>
        <w:rPr>
          <w:rFonts w:ascii="Arial" w:cs="Arial" w:eastAsia="Arial" w:hAnsi="Arial"/>
          <w:sz w:val="19"/>
          <w:szCs w:val="19"/>
          <w:color w:val="auto"/>
          <w:vertAlign w:val="superscript"/>
        </w:rPr>
      </w:pPr>
      <w:r>
        <w:rPr>
          <w:rFonts w:ascii="Arial" w:cs="Arial" w:eastAsia="Arial" w:hAnsi="Arial"/>
          <w:sz w:val="14"/>
          <w:szCs w:val="14"/>
          <w:color w:val="auto"/>
        </w:rPr>
        <w:t>For 2022, the CEO was John Stauch and the Other NEOs were Robert Fishman, Executive Vice President, Chief Financial Officer and Chief Accounting Officer; Karla Robertson, former Executive Vice President, Chief Sustainability Officer, General Counsel and Secretary; Jerome Pedretti, previously Executive Vice President &amp; President, IFT; Steve Pilla, Executive Vice President, Chief Supply Chain Officer and Chief Transformation Officer; and Mario D’Ovidio, former Executive Vice President &amp; President, Consumer Solutions.</w:t>
      </w:r>
    </w:p>
    <w:p>
      <w:pPr>
        <w:spacing w:after="0" w:line="69" w:lineRule="exact"/>
        <w:rPr>
          <w:rFonts w:ascii="Arial" w:cs="Arial" w:eastAsia="Arial" w:hAnsi="Arial"/>
          <w:sz w:val="19"/>
          <w:szCs w:val="19"/>
          <w:color w:val="auto"/>
          <w:vertAlign w:val="superscript"/>
        </w:rPr>
      </w:pPr>
    </w:p>
    <w:p>
      <w:pPr>
        <w:ind w:left="200" w:right="160"/>
        <w:spacing w:after="0" w:line="293" w:lineRule="auto"/>
        <w:rPr>
          <w:rFonts w:ascii="Arial" w:cs="Arial" w:eastAsia="Arial" w:hAnsi="Arial"/>
          <w:sz w:val="19"/>
          <w:szCs w:val="19"/>
          <w:color w:val="auto"/>
          <w:vertAlign w:val="superscript"/>
        </w:rPr>
      </w:pPr>
      <w:r>
        <w:rPr>
          <w:rFonts w:ascii="Arial" w:cs="Arial" w:eastAsia="Arial" w:hAnsi="Arial"/>
          <w:sz w:val="14"/>
          <w:szCs w:val="14"/>
          <w:color w:val="auto"/>
        </w:rPr>
        <w:t>For 2021, the CEO was John Stauch and the Other NEOs were Robert Fishman, Executive Vice President, Chief Financial Officer and Chief Accounting Officer; Karla Robertson, former Executive Vice President, Chief Sustainability Officer, General Counsel and Secretary; Jerome Pedretti, previously Executive Vice President &amp; President IFT; and Mario D’Ovidio, former Executive Vice President &amp; President, Consumer Solutions.</w:t>
      </w:r>
    </w:p>
    <w:p>
      <w:pPr>
        <w:spacing w:after="0" w:line="71" w:lineRule="exact"/>
        <w:rPr>
          <w:rFonts w:ascii="Arial" w:cs="Arial" w:eastAsia="Arial" w:hAnsi="Arial"/>
          <w:sz w:val="19"/>
          <w:szCs w:val="19"/>
          <w:color w:val="auto"/>
          <w:vertAlign w:val="superscript"/>
        </w:rPr>
      </w:pPr>
    </w:p>
    <w:p>
      <w:pPr>
        <w:ind w:left="200" w:right="180" w:hanging="192"/>
        <w:spacing w:after="0" w:line="239" w:lineRule="auto"/>
        <w:tabs>
          <w:tab w:leader="none" w:pos="214" w:val="left"/>
        </w:tabs>
        <w:numPr>
          <w:ilvl w:val="0"/>
          <w:numId w:val="141"/>
        </w:numPr>
        <w:rPr>
          <w:rFonts w:ascii="Arial" w:cs="Arial" w:eastAsia="Arial" w:hAnsi="Arial"/>
          <w:sz w:val="19"/>
          <w:szCs w:val="19"/>
          <w:color w:val="auto"/>
          <w:vertAlign w:val="superscript"/>
        </w:rPr>
      </w:pPr>
      <w:r>
        <w:rPr>
          <w:rFonts w:ascii="Arial" w:cs="Arial" w:eastAsia="Arial" w:hAnsi="Arial"/>
          <w:sz w:val="14"/>
          <w:szCs w:val="14"/>
          <w:color w:val="auto"/>
        </w:rPr>
        <w:t>To calculate Compensation Actually Paid, adjustments were made to the “Total Compensation” reported in the SCT for the change in pension value and the value of equity awards, as follows: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10780" w:type="dxa"/>
            <w:vAlign w:val="bottom"/>
          </w:tcPr>
          <w:p>
            <w:pPr>
              <w:ind w:left="8260"/>
              <w:spacing w:after="0"/>
              <w:rPr>
                <w:sz w:val="20"/>
                <w:szCs w:val="20"/>
                <w:color w:val="auto"/>
              </w:rPr>
            </w:pPr>
            <w:r>
              <w:rPr>
                <w:rFonts w:ascii="Arial" w:cs="Arial" w:eastAsia="Arial" w:hAnsi="Arial"/>
                <w:sz w:val="16"/>
                <w:szCs w:val="16"/>
                <w:b w:val="1"/>
                <w:bCs w:val="1"/>
                <w:color w:val="auto"/>
              </w:rPr>
              <w:t xml:space="preserve">2026 Proxy Statement </w:t>
            </w:r>
            <w:r>
              <w:rPr>
                <w:rFonts w:ascii="Arial" w:cs="Arial" w:eastAsia="Arial" w:hAnsi="Arial"/>
                <w:sz w:val="16"/>
                <w:szCs w:val="16"/>
                <w:b w:val="1"/>
                <w:bCs w:val="1"/>
                <w:color w:val="0C3471"/>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Pentair</w:t>
            </w:r>
          </w:p>
        </w:tc>
        <w:tc>
          <w:tcPr>
            <w:tcW w:w="460" w:type="dxa"/>
            <w:vAlign w:val="bottom"/>
          </w:tcPr>
          <w:p>
            <w:pPr>
              <w:jc w:val="right"/>
              <w:spacing w:after="0"/>
              <w:rPr>
                <w:sz w:val="20"/>
                <w:szCs w:val="20"/>
                <w:color w:val="auto"/>
              </w:rPr>
            </w:pPr>
            <w:r>
              <w:rPr>
                <w:rFonts w:ascii="Arial" w:cs="Arial" w:eastAsia="Arial" w:hAnsi="Arial"/>
                <w:sz w:val="16"/>
                <w:szCs w:val="16"/>
                <w:b w:val="1"/>
                <w:bCs w:val="1"/>
                <w:color w:val="auto"/>
              </w:rPr>
              <w:t>71</w:t>
            </w:r>
          </w:p>
        </w:tc>
      </w:tr>
      <w:tr>
        <w:trPr>
          <w:trHeight w:val="325"/>
        </w:trPr>
        <w:tc>
          <w:tcPr>
            <w:tcW w:w="107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52" w:right="339" w:bottom="1440" w:gutter="0" w:footer="0" w:header="0"/>
        </w:sectPr>
      </w:pPr>
    </w:p>
    <w:bookmarkStart w:id="73" w:name="page74"/>
    <w:bookmarkEnd w:id="73"/>
    <w:p>
      <w:pPr>
        <w:ind w:left="36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216535</wp:posOffset>
            </wp:positionH>
            <wp:positionV relativeFrom="page">
              <wp:posOffset>106045</wp:posOffset>
            </wp:positionV>
            <wp:extent cx="102870" cy="11176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clrChange>
                        <a:clrFrom>
                          <a:srgbClr val="FFFFFF"/>
                        </a:clrFrom>
                        <a:clrTo>
                          <a:srgbClr val="FFFFFF">
                            <a:alpha val="0"/>
                          </a:srgbClr>
                        </a:clrTo>
                      </a:clrChange>
                      <a:extLst>
                        <a:ext uri="{28A0092B-C50C-407E-A947-70E740481C1C}"/>
                      </a:extLst>
                    </a:blip>
                    <a:srcRect/>
                    <a:stretch>
                      <a:fillRect/>
                    </a:stretch>
                  </pic:blipFill>
                  <pic:spPr bwMode="auto">
                    <a:xfrm>
                      <a:off x="0" y="0"/>
                      <a:ext cx="102870" cy="111760"/>
                    </a:xfrm>
                    <a:prstGeom prst="rect">
                      <a:avLst/>
                    </a:prstGeom>
                    <a:noFill/>
                  </pic:spPr>
                </pic:pic>
              </a:graphicData>
            </a:graphic>
          </wp:anchor>
        </w:drawing>
        <w:t>Pay Versus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2025 Adjustments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300" w:type="dxa"/>
            <w:vAlign w:val="bottom"/>
          </w:tcPr>
          <w:p>
            <w:pPr>
              <w:spacing w:after="0"/>
              <w:rPr>
                <w:sz w:val="15"/>
                <w:szCs w:val="15"/>
                <w:color w:val="auto"/>
              </w:rPr>
            </w:pPr>
          </w:p>
        </w:tc>
        <w:tc>
          <w:tcPr>
            <w:tcW w:w="140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CEO</w:t>
            </w:r>
          </w:p>
        </w:tc>
        <w:tc>
          <w:tcPr>
            <w:tcW w:w="1540" w:type="dxa"/>
            <w:vAlign w:val="bottom"/>
          </w:tcPr>
          <w:p>
            <w:pPr>
              <w:jc w:val="right"/>
              <w:spacing w:after="0"/>
              <w:rPr>
                <w:sz w:val="20"/>
                <w:szCs w:val="20"/>
                <w:color w:val="auto"/>
              </w:rPr>
            </w:pPr>
            <w:r>
              <w:rPr>
                <w:rFonts w:ascii="Arial" w:cs="Arial" w:eastAsia="Arial" w:hAnsi="Arial"/>
                <w:sz w:val="14"/>
                <w:szCs w:val="14"/>
                <w:b w:val="1"/>
                <w:bCs w:val="1"/>
                <w:color w:val="auto"/>
              </w:rPr>
              <w:t>Average of Other</w:t>
            </w:r>
          </w:p>
        </w:tc>
        <w:tc>
          <w:tcPr>
            <w:tcW w:w="0" w:type="dxa"/>
            <w:vAlign w:val="bottom"/>
          </w:tcPr>
          <w:p>
            <w:pPr>
              <w:spacing w:after="0"/>
              <w:rPr>
                <w:sz w:val="1"/>
                <w:szCs w:val="1"/>
                <w:color w:val="auto"/>
              </w:rPr>
            </w:pPr>
          </w:p>
        </w:tc>
      </w:tr>
      <w:tr>
        <w:trPr>
          <w:trHeight w:val="162"/>
        </w:trPr>
        <w:tc>
          <w:tcPr>
            <w:tcW w:w="830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540" w:type="dxa"/>
            <w:vAlign w:val="bottom"/>
          </w:tcPr>
          <w:p>
            <w:pPr>
              <w:jc w:val="right"/>
              <w:spacing w:after="0"/>
              <w:rPr>
                <w:sz w:val="20"/>
                <w:szCs w:val="20"/>
                <w:color w:val="auto"/>
              </w:rPr>
            </w:pPr>
            <w:r>
              <w:rPr>
                <w:rFonts w:ascii="Arial" w:cs="Arial" w:eastAsia="Arial" w:hAnsi="Arial"/>
                <w:sz w:val="14"/>
                <w:szCs w:val="14"/>
                <w:b w:val="1"/>
                <w:bCs w:val="1"/>
                <w:color w:val="auto"/>
              </w:rPr>
              <w:t>NEOs</w:t>
            </w:r>
          </w:p>
        </w:tc>
        <w:tc>
          <w:tcPr>
            <w:tcW w:w="0" w:type="dxa"/>
            <w:vAlign w:val="bottom"/>
          </w:tcPr>
          <w:p>
            <w:pPr>
              <w:spacing w:after="0"/>
              <w:rPr>
                <w:sz w:val="1"/>
                <w:szCs w:val="1"/>
                <w:color w:val="auto"/>
              </w:rPr>
            </w:pPr>
          </w:p>
        </w:tc>
      </w:tr>
      <w:tr>
        <w:trPr>
          <w:trHeight w:val="211"/>
        </w:trPr>
        <w:tc>
          <w:tcPr>
            <w:tcW w:w="8300" w:type="dxa"/>
            <w:vAlign w:val="bottom"/>
            <w:tcBorders>
              <w:bottom w:val="single" w:sz="8" w:color="0C3471"/>
            </w:tcBorders>
          </w:tcPr>
          <w:p>
            <w:pPr>
              <w:ind w:left="20"/>
              <w:spacing w:after="0"/>
              <w:rPr>
                <w:sz w:val="20"/>
                <w:szCs w:val="20"/>
                <w:color w:val="auto"/>
              </w:rPr>
            </w:pPr>
            <w:r>
              <w:rPr>
                <w:rFonts w:ascii="Arial" w:cs="Arial" w:eastAsia="Arial" w:hAnsi="Arial"/>
                <w:sz w:val="14"/>
                <w:szCs w:val="14"/>
                <w:b w:val="1"/>
                <w:bCs w:val="1"/>
                <w:color w:val="auto"/>
              </w:rPr>
              <w:t>Adjustments</w:t>
            </w:r>
          </w:p>
        </w:tc>
        <w:tc>
          <w:tcPr>
            <w:tcW w:w="1400" w:type="dxa"/>
            <w:vAlign w:val="bottom"/>
            <w:tcBorders>
              <w:bottom w:val="single" w:sz="8" w:color="0C3471"/>
            </w:tcBorders>
          </w:tcPr>
          <w:p>
            <w:pPr>
              <w:jc w:val="right"/>
              <w:ind w:right="268"/>
              <w:spacing w:after="0"/>
              <w:rPr>
                <w:sz w:val="20"/>
                <w:szCs w:val="20"/>
                <w:color w:val="auto"/>
              </w:rPr>
            </w:pPr>
            <w:r>
              <w:rPr>
                <w:rFonts w:ascii="Arial" w:cs="Arial" w:eastAsia="Arial" w:hAnsi="Arial"/>
                <w:sz w:val="14"/>
                <w:szCs w:val="14"/>
                <w:b w:val="1"/>
                <w:bCs w:val="1"/>
                <w:color w:val="auto"/>
              </w:rPr>
              <w:t>($)</w:t>
            </w:r>
          </w:p>
        </w:tc>
        <w:tc>
          <w:tcPr>
            <w:tcW w:w="1540" w:type="dxa"/>
            <w:vAlign w:val="bottom"/>
            <w:tcBorders>
              <w:bottom w:val="single" w:sz="8" w:color="0C3471"/>
            </w:tcBorders>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18"/>
        </w:trPr>
        <w:tc>
          <w:tcPr>
            <w:tcW w:w="8300" w:type="dxa"/>
            <w:vAlign w:val="bottom"/>
            <w:tcBorders>
              <w:bottom w:val="single" w:sz="8" w:color="BCBEC0"/>
            </w:tcBorders>
          </w:tcPr>
          <w:p>
            <w:pPr>
              <w:ind w:left="20"/>
              <w:spacing w:after="0"/>
              <w:rPr>
                <w:sz w:val="20"/>
                <w:szCs w:val="20"/>
                <w:color w:val="auto"/>
              </w:rPr>
            </w:pPr>
            <w:r>
              <w:rPr>
                <w:rFonts w:ascii="Arial" w:cs="Arial" w:eastAsia="Arial" w:hAnsi="Arial"/>
                <w:sz w:val="14"/>
                <w:szCs w:val="14"/>
                <w:b w:val="1"/>
                <w:bCs w:val="1"/>
                <w:color w:val="auto"/>
              </w:rPr>
              <w:t>Total Compensation from SCT</w:t>
            </w:r>
          </w:p>
        </w:tc>
        <w:tc>
          <w:tcPr>
            <w:tcW w:w="1400" w:type="dxa"/>
            <w:vAlign w:val="bottom"/>
            <w:tcBorders>
              <w:bottom w:val="single" w:sz="8" w:color="BCBEC0"/>
            </w:tcBorders>
          </w:tcPr>
          <w:p>
            <w:pPr>
              <w:jc w:val="right"/>
              <w:ind w:right="308"/>
              <w:spacing w:after="0"/>
              <w:rPr>
                <w:sz w:val="20"/>
                <w:szCs w:val="20"/>
                <w:color w:val="auto"/>
              </w:rPr>
            </w:pPr>
            <w:r>
              <w:rPr>
                <w:rFonts w:ascii="Arial" w:cs="Arial" w:eastAsia="Arial" w:hAnsi="Arial"/>
                <w:sz w:val="14"/>
                <w:szCs w:val="14"/>
                <w:b w:val="1"/>
                <w:bCs w:val="1"/>
                <w:color w:val="auto"/>
              </w:rPr>
              <w:t>11,374,255</w:t>
            </w:r>
          </w:p>
        </w:tc>
        <w:tc>
          <w:tcPr>
            <w:tcW w:w="1540" w:type="dxa"/>
            <w:vAlign w:val="bottom"/>
            <w:tcBorders>
              <w:bottom w:val="single" w:sz="8" w:color="BCBEC0"/>
            </w:tcBorders>
          </w:tcPr>
          <w:p>
            <w:pPr>
              <w:jc w:val="right"/>
              <w:spacing w:after="0"/>
              <w:rPr>
                <w:sz w:val="20"/>
                <w:szCs w:val="20"/>
                <w:color w:val="auto"/>
              </w:rPr>
            </w:pPr>
            <w:r>
              <w:rPr>
                <w:rFonts w:ascii="Arial" w:cs="Arial" w:eastAsia="Arial" w:hAnsi="Arial"/>
                <w:sz w:val="14"/>
                <w:szCs w:val="14"/>
                <w:b w:val="1"/>
                <w:bCs w:val="1"/>
                <w:color w:val="auto"/>
              </w:rPr>
              <w:t>2,844,203</w:t>
            </w:r>
          </w:p>
        </w:tc>
        <w:tc>
          <w:tcPr>
            <w:tcW w:w="0" w:type="dxa"/>
            <w:vAlign w:val="bottom"/>
          </w:tcPr>
          <w:p>
            <w:pPr>
              <w:spacing w:after="0"/>
              <w:rPr>
                <w:sz w:val="1"/>
                <w:szCs w:val="1"/>
                <w:color w:val="auto"/>
              </w:rPr>
            </w:pPr>
          </w:p>
        </w:tc>
      </w:tr>
      <w:tr>
        <w:trPr>
          <w:trHeight w:val="296"/>
        </w:trPr>
        <w:tc>
          <w:tcPr>
            <w:tcW w:w="8300" w:type="dxa"/>
            <w:vAlign w:val="bottom"/>
          </w:tcPr>
          <w:p>
            <w:pPr>
              <w:ind w:left="20"/>
              <w:spacing w:after="0"/>
              <w:rPr>
                <w:sz w:val="20"/>
                <w:szCs w:val="20"/>
                <w:color w:val="auto"/>
              </w:rPr>
            </w:pPr>
            <w:r>
              <w:rPr>
                <w:rFonts w:ascii="Arial" w:cs="Arial" w:eastAsia="Arial" w:hAnsi="Arial"/>
                <w:sz w:val="14"/>
                <w:szCs w:val="14"/>
                <w:b w:val="1"/>
                <w:bCs w:val="1"/>
                <w:color w:val="auto"/>
              </w:rPr>
              <w:t>Adjustments for defined benefit and actuarial pension plans</w:t>
            </w:r>
            <w:r>
              <w:rPr>
                <w:rFonts w:ascii="Arial" w:cs="Arial" w:eastAsia="Arial" w:hAnsi="Arial"/>
                <w:sz w:val="18"/>
                <w:szCs w:val="18"/>
                <w:b w:val="1"/>
                <w:bCs w:val="1"/>
                <w:color w:val="auto"/>
                <w:vertAlign w:val="superscript"/>
              </w:rPr>
              <w:t>(a)</w:t>
            </w:r>
            <w:r>
              <w:rPr>
                <w:rFonts w:ascii="Arial" w:cs="Arial" w:eastAsia="Arial" w:hAnsi="Arial"/>
                <w:sz w:val="14"/>
                <w:szCs w:val="14"/>
                <w:b w:val="1"/>
                <w:bCs w:val="1"/>
                <w:color w:val="auto"/>
              </w:rPr>
              <w:t>:</w:t>
            </w:r>
          </w:p>
        </w:tc>
        <w:tc>
          <w:tcPr>
            <w:tcW w:w="1400" w:type="dxa"/>
            <w:vAlign w:val="bottom"/>
          </w:tcPr>
          <w:p>
            <w:pPr>
              <w:jc w:val="right"/>
              <w:ind w:right="268"/>
              <w:spacing w:after="0"/>
              <w:rPr>
                <w:sz w:val="20"/>
                <w:szCs w:val="20"/>
                <w:color w:val="auto"/>
              </w:rPr>
            </w:pPr>
            <w:r>
              <w:rPr>
                <w:rFonts w:ascii="Arial" w:cs="Arial" w:eastAsia="Arial" w:hAnsi="Arial"/>
                <w:sz w:val="14"/>
                <w:szCs w:val="14"/>
                <w:b w:val="1"/>
                <w:bCs w:val="1"/>
                <w:color w:val="auto"/>
              </w:rPr>
              <w:t>(1,164,571)</w:t>
            </w:r>
          </w:p>
        </w:tc>
        <w:tc>
          <w:tcPr>
            <w:tcW w:w="15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1"/>
        </w:trPr>
        <w:tc>
          <w:tcPr>
            <w:tcW w:w="8300" w:type="dxa"/>
            <w:vAlign w:val="bottom"/>
          </w:tcPr>
          <w:p>
            <w:pPr>
              <w:ind w:left="240"/>
              <w:spacing w:after="0"/>
              <w:rPr>
                <w:sz w:val="20"/>
                <w:szCs w:val="20"/>
                <w:color w:val="auto"/>
              </w:rPr>
            </w:pPr>
            <w:r>
              <w:rPr>
                <w:rFonts w:ascii="Arial" w:cs="Arial" w:eastAsia="Arial" w:hAnsi="Arial"/>
                <w:sz w:val="14"/>
                <w:szCs w:val="14"/>
                <w:color w:val="auto"/>
              </w:rPr>
              <w:t>Less, aggregate change in the actuarial present value of accumulated benefits under all defined benefit and pension plans</w:t>
            </w:r>
          </w:p>
        </w:tc>
        <w:tc>
          <w:tcPr>
            <w:tcW w:w="14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8300" w:type="dxa"/>
            <w:vAlign w:val="bottom"/>
          </w:tcPr>
          <w:p>
            <w:pPr>
              <w:ind w:left="240"/>
              <w:spacing w:after="0"/>
              <w:rPr>
                <w:sz w:val="20"/>
                <w:szCs w:val="20"/>
                <w:color w:val="auto"/>
              </w:rPr>
            </w:pPr>
            <w:r>
              <w:rPr>
                <w:rFonts w:ascii="Arial" w:cs="Arial" w:eastAsia="Arial" w:hAnsi="Arial"/>
                <w:sz w:val="14"/>
                <w:szCs w:val="14"/>
                <w:color w:val="auto"/>
              </w:rPr>
              <w:t>reported in the SCT</w:t>
            </w:r>
          </w:p>
        </w:tc>
        <w:tc>
          <w:tcPr>
            <w:tcW w:w="1400" w:type="dxa"/>
            <w:vAlign w:val="bottom"/>
          </w:tcPr>
          <w:p>
            <w:pPr>
              <w:jc w:val="right"/>
              <w:ind w:right="308"/>
              <w:spacing w:after="0"/>
              <w:rPr>
                <w:sz w:val="20"/>
                <w:szCs w:val="20"/>
                <w:color w:val="auto"/>
              </w:rPr>
            </w:pPr>
            <w:r>
              <w:rPr>
                <w:rFonts w:ascii="Arial" w:cs="Arial" w:eastAsia="Arial" w:hAnsi="Arial"/>
                <w:sz w:val="14"/>
                <w:szCs w:val="14"/>
                <w:color w:val="auto"/>
              </w:rPr>
              <w:t>1,605,908</w:t>
            </w:r>
          </w:p>
        </w:tc>
        <w:tc>
          <w:tcPr>
            <w:tcW w:w="15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9"/>
        </w:trPr>
        <w:tc>
          <w:tcPr>
            <w:tcW w:w="8300" w:type="dxa"/>
            <w:vAlign w:val="bottom"/>
          </w:tcPr>
          <w:p>
            <w:pPr>
              <w:ind w:left="240"/>
              <w:spacing w:after="0"/>
              <w:rPr>
                <w:sz w:val="20"/>
                <w:szCs w:val="20"/>
                <w:color w:val="auto"/>
              </w:rPr>
            </w:pPr>
            <w:r>
              <w:rPr>
                <w:rFonts w:ascii="Arial" w:cs="Arial" w:eastAsia="Arial" w:hAnsi="Arial"/>
                <w:sz w:val="14"/>
                <w:szCs w:val="14"/>
                <w:color w:val="auto"/>
              </w:rPr>
              <w:t>Plus, service cost</w:t>
            </w:r>
          </w:p>
        </w:tc>
        <w:tc>
          <w:tcPr>
            <w:tcW w:w="1400" w:type="dxa"/>
            <w:vAlign w:val="bottom"/>
          </w:tcPr>
          <w:p>
            <w:pPr>
              <w:jc w:val="right"/>
              <w:ind w:right="308"/>
              <w:spacing w:after="0"/>
              <w:rPr>
                <w:sz w:val="20"/>
                <w:szCs w:val="20"/>
                <w:color w:val="auto"/>
              </w:rPr>
            </w:pPr>
            <w:r>
              <w:rPr>
                <w:rFonts w:ascii="Arial" w:cs="Arial" w:eastAsia="Arial" w:hAnsi="Arial"/>
                <w:sz w:val="14"/>
                <w:szCs w:val="14"/>
                <w:color w:val="auto"/>
              </w:rPr>
              <w:t>441,337</w:t>
            </w:r>
          </w:p>
        </w:tc>
        <w:tc>
          <w:tcPr>
            <w:tcW w:w="15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
        </w:trPr>
        <w:tc>
          <w:tcPr>
            <w:tcW w:w="8300" w:type="dxa"/>
            <w:vAlign w:val="bottom"/>
            <w:tcBorders>
              <w:bottom w:val="single" w:sz="8" w:color="BCBEC0"/>
            </w:tcBorders>
          </w:tcPr>
          <w:p>
            <w:pPr>
              <w:spacing w:after="0" w:line="20" w:lineRule="exact"/>
              <w:rPr>
                <w:sz w:val="1"/>
                <w:szCs w:val="1"/>
                <w:color w:val="auto"/>
              </w:rPr>
            </w:pPr>
          </w:p>
        </w:tc>
        <w:tc>
          <w:tcPr>
            <w:tcW w:w="1400" w:type="dxa"/>
            <w:vAlign w:val="bottom"/>
            <w:tcBorders>
              <w:bottom w:val="single" w:sz="8" w:color="BCBEC0"/>
            </w:tcBorders>
          </w:tcPr>
          <w:p>
            <w:pPr>
              <w:spacing w:after="0" w:line="20" w:lineRule="exact"/>
              <w:rPr>
                <w:sz w:val="1"/>
                <w:szCs w:val="1"/>
                <w:color w:val="auto"/>
              </w:rPr>
            </w:pPr>
          </w:p>
        </w:tc>
        <w:tc>
          <w:tcPr>
            <w:tcW w:w="1540" w:type="dxa"/>
            <w:vAlign w:val="bottom"/>
            <w:tcBorders>
              <w:bottom w:val="single" w:sz="8" w:color="BCBEC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8"/>
        </w:trPr>
        <w:tc>
          <w:tcPr>
            <w:tcW w:w="8300" w:type="dxa"/>
            <w:vAlign w:val="bottom"/>
          </w:tcPr>
          <w:p>
            <w:pPr>
              <w:ind w:left="20"/>
              <w:spacing w:after="0"/>
              <w:rPr>
                <w:sz w:val="20"/>
                <w:szCs w:val="20"/>
                <w:color w:val="auto"/>
              </w:rPr>
            </w:pPr>
            <w:r>
              <w:rPr>
                <w:rFonts w:ascii="Arial" w:cs="Arial" w:eastAsia="Arial" w:hAnsi="Arial"/>
                <w:sz w:val="14"/>
                <w:szCs w:val="14"/>
                <w:b w:val="1"/>
                <w:bCs w:val="1"/>
                <w:color w:val="auto"/>
              </w:rPr>
              <w:t>Adjustments for stock and option awards:</w:t>
            </w:r>
          </w:p>
        </w:tc>
        <w:tc>
          <w:tcPr>
            <w:tcW w:w="1400" w:type="dxa"/>
            <w:vAlign w:val="bottom"/>
          </w:tcPr>
          <w:p>
            <w:pPr>
              <w:jc w:val="right"/>
              <w:ind w:right="308"/>
              <w:spacing w:after="0"/>
              <w:rPr>
                <w:sz w:val="20"/>
                <w:szCs w:val="20"/>
                <w:color w:val="auto"/>
              </w:rPr>
            </w:pPr>
            <w:r>
              <w:rPr>
                <w:rFonts w:ascii="Arial" w:cs="Arial" w:eastAsia="Arial" w:hAnsi="Arial"/>
                <w:sz w:val="14"/>
                <w:szCs w:val="14"/>
                <w:b w:val="1"/>
                <w:bCs w:val="1"/>
                <w:color w:val="auto"/>
              </w:rPr>
              <w:t>4,289,550</w:t>
            </w:r>
          </w:p>
        </w:tc>
        <w:tc>
          <w:tcPr>
            <w:tcW w:w="1540" w:type="dxa"/>
            <w:vAlign w:val="bottom"/>
          </w:tcPr>
          <w:p>
            <w:pPr>
              <w:jc w:val="right"/>
              <w:spacing w:after="0"/>
              <w:rPr>
                <w:sz w:val="20"/>
                <w:szCs w:val="20"/>
                <w:color w:val="auto"/>
              </w:rPr>
            </w:pPr>
            <w:r>
              <w:rPr>
                <w:rFonts w:ascii="Arial" w:cs="Arial" w:eastAsia="Arial" w:hAnsi="Arial"/>
                <w:sz w:val="14"/>
                <w:szCs w:val="14"/>
                <w:b w:val="1"/>
                <w:bCs w:val="1"/>
                <w:color w:val="auto"/>
              </w:rPr>
              <w:t>763,618</w:t>
            </w:r>
          </w:p>
        </w:tc>
        <w:tc>
          <w:tcPr>
            <w:tcW w:w="0" w:type="dxa"/>
            <w:vAlign w:val="bottom"/>
          </w:tcPr>
          <w:p>
            <w:pPr>
              <w:spacing w:after="0"/>
              <w:rPr>
                <w:sz w:val="1"/>
                <w:szCs w:val="1"/>
                <w:color w:val="auto"/>
              </w:rPr>
            </w:pPr>
          </w:p>
        </w:tc>
      </w:tr>
      <w:tr>
        <w:trPr>
          <w:trHeight w:val="223"/>
        </w:trPr>
        <w:tc>
          <w:tcPr>
            <w:tcW w:w="8300" w:type="dxa"/>
            <w:vAlign w:val="bottom"/>
          </w:tcPr>
          <w:p>
            <w:pPr>
              <w:ind w:left="240"/>
              <w:spacing w:after="0"/>
              <w:rPr>
                <w:sz w:val="20"/>
                <w:szCs w:val="20"/>
                <w:color w:val="auto"/>
              </w:rPr>
            </w:pPr>
            <w:r>
              <w:rPr>
                <w:rFonts w:ascii="Arial" w:cs="Arial" w:eastAsia="Arial" w:hAnsi="Arial"/>
                <w:sz w:val="14"/>
                <w:szCs w:val="14"/>
                <w:color w:val="auto"/>
              </w:rPr>
              <w:t>Less, value of “Stock Awards” and “Option Awards” reported in SCT</w:t>
            </w:r>
          </w:p>
        </w:tc>
        <w:tc>
          <w:tcPr>
            <w:tcW w:w="1400" w:type="dxa"/>
            <w:vAlign w:val="bottom"/>
          </w:tcPr>
          <w:p>
            <w:pPr>
              <w:jc w:val="right"/>
              <w:ind w:right="308"/>
              <w:spacing w:after="0"/>
              <w:rPr>
                <w:sz w:val="20"/>
                <w:szCs w:val="20"/>
                <w:color w:val="auto"/>
              </w:rPr>
            </w:pPr>
            <w:r>
              <w:rPr>
                <w:rFonts w:ascii="Arial" w:cs="Arial" w:eastAsia="Arial" w:hAnsi="Arial"/>
                <w:sz w:val="14"/>
                <w:szCs w:val="14"/>
                <w:color w:val="auto"/>
              </w:rPr>
              <w:t>6,800,005</w:t>
            </w:r>
          </w:p>
        </w:tc>
        <w:tc>
          <w:tcPr>
            <w:tcW w:w="1540" w:type="dxa"/>
            <w:vAlign w:val="bottom"/>
          </w:tcPr>
          <w:p>
            <w:pPr>
              <w:jc w:val="right"/>
              <w:spacing w:after="0"/>
              <w:rPr>
                <w:sz w:val="20"/>
                <w:szCs w:val="20"/>
                <w:color w:val="auto"/>
              </w:rPr>
            </w:pPr>
            <w:r>
              <w:rPr>
                <w:rFonts w:ascii="Arial" w:cs="Arial" w:eastAsia="Arial" w:hAnsi="Arial"/>
                <w:sz w:val="14"/>
                <w:szCs w:val="14"/>
                <w:color w:val="auto"/>
              </w:rPr>
              <w:t>1,512,512</w:t>
            </w:r>
          </w:p>
        </w:tc>
        <w:tc>
          <w:tcPr>
            <w:tcW w:w="0" w:type="dxa"/>
            <w:vAlign w:val="bottom"/>
          </w:tcPr>
          <w:p>
            <w:pPr>
              <w:spacing w:after="0"/>
              <w:rPr>
                <w:sz w:val="1"/>
                <w:szCs w:val="1"/>
                <w:color w:val="auto"/>
              </w:rPr>
            </w:pPr>
          </w:p>
        </w:tc>
      </w:tr>
      <w:tr>
        <w:trPr>
          <w:trHeight w:val="230"/>
        </w:trPr>
        <w:tc>
          <w:tcPr>
            <w:tcW w:w="8300" w:type="dxa"/>
            <w:vAlign w:val="bottom"/>
          </w:tcPr>
          <w:p>
            <w:pPr>
              <w:ind w:left="240"/>
              <w:spacing w:after="0"/>
              <w:rPr>
                <w:sz w:val="20"/>
                <w:szCs w:val="20"/>
                <w:color w:val="auto"/>
              </w:rPr>
            </w:pPr>
            <w:r>
              <w:rPr>
                <w:rFonts w:ascii="Arial" w:cs="Arial" w:eastAsia="Arial" w:hAnsi="Arial"/>
                <w:sz w:val="14"/>
                <w:szCs w:val="14"/>
                <w:color w:val="auto"/>
              </w:rPr>
              <w:t>Plus, year-end fair value of outstanding and unvested equity awards granted in fiscal year 2025</w:t>
            </w:r>
          </w:p>
        </w:tc>
        <w:tc>
          <w:tcPr>
            <w:tcW w:w="1400" w:type="dxa"/>
            <w:vAlign w:val="bottom"/>
          </w:tcPr>
          <w:p>
            <w:pPr>
              <w:jc w:val="right"/>
              <w:ind w:right="308"/>
              <w:spacing w:after="0"/>
              <w:rPr>
                <w:sz w:val="20"/>
                <w:szCs w:val="20"/>
                <w:color w:val="auto"/>
              </w:rPr>
            </w:pPr>
            <w:r>
              <w:rPr>
                <w:rFonts w:ascii="Arial" w:cs="Arial" w:eastAsia="Arial" w:hAnsi="Arial"/>
                <w:sz w:val="14"/>
                <w:szCs w:val="14"/>
                <w:color w:val="auto"/>
              </w:rPr>
              <w:t>9,287,109</w:t>
            </w:r>
          </w:p>
        </w:tc>
        <w:tc>
          <w:tcPr>
            <w:tcW w:w="1540" w:type="dxa"/>
            <w:vAlign w:val="bottom"/>
          </w:tcPr>
          <w:p>
            <w:pPr>
              <w:jc w:val="right"/>
              <w:spacing w:after="0"/>
              <w:rPr>
                <w:sz w:val="20"/>
                <w:szCs w:val="20"/>
                <w:color w:val="auto"/>
              </w:rPr>
            </w:pPr>
            <w:r>
              <w:rPr>
                <w:rFonts w:ascii="Arial" w:cs="Arial" w:eastAsia="Arial" w:hAnsi="Arial"/>
                <w:sz w:val="14"/>
                <w:szCs w:val="14"/>
                <w:color w:val="auto"/>
              </w:rPr>
              <w:t>1,891,945</w:t>
            </w:r>
          </w:p>
        </w:tc>
        <w:tc>
          <w:tcPr>
            <w:tcW w:w="0" w:type="dxa"/>
            <w:vAlign w:val="bottom"/>
          </w:tcPr>
          <w:p>
            <w:pPr>
              <w:spacing w:after="0"/>
              <w:rPr>
                <w:sz w:val="1"/>
                <w:szCs w:val="1"/>
                <w:color w:val="auto"/>
              </w:rPr>
            </w:pPr>
          </w:p>
        </w:tc>
      </w:tr>
      <w:tr>
        <w:trPr>
          <w:trHeight w:val="215"/>
        </w:trPr>
        <w:tc>
          <w:tcPr>
            <w:tcW w:w="8300" w:type="dxa"/>
            <w:vAlign w:val="bottom"/>
          </w:tcPr>
          <w:p>
            <w:pPr>
              <w:ind w:left="240"/>
              <w:spacing w:after="0"/>
              <w:rPr>
                <w:sz w:val="20"/>
                <w:szCs w:val="20"/>
                <w:color w:val="auto"/>
              </w:rPr>
            </w:pPr>
            <w:r>
              <w:rPr>
                <w:rFonts w:ascii="Arial" w:cs="Arial" w:eastAsia="Arial" w:hAnsi="Arial"/>
                <w:sz w:val="14"/>
                <w:szCs w:val="14"/>
                <w:color w:val="auto"/>
              </w:rPr>
              <w:t>Plus, the difference between the fair value of equity awards from the end of fiscal year 2024 to the end of fiscal year 2025</w:t>
            </w:r>
          </w:p>
        </w:tc>
        <w:tc>
          <w:tcPr>
            <w:tcW w:w="14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8300" w:type="dxa"/>
            <w:vAlign w:val="bottom"/>
          </w:tcPr>
          <w:p>
            <w:pPr>
              <w:ind w:left="240"/>
              <w:spacing w:after="0"/>
              <w:rPr>
                <w:sz w:val="20"/>
                <w:szCs w:val="20"/>
                <w:color w:val="auto"/>
              </w:rPr>
            </w:pPr>
            <w:r>
              <w:rPr>
                <w:rFonts w:ascii="Arial" w:cs="Arial" w:eastAsia="Arial" w:hAnsi="Arial"/>
                <w:sz w:val="14"/>
                <w:szCs w:val="14"/>
                <w:color w:val="auto"/>
              </w:rPr>
              <w:t>for awards granted in any prior fiscal year that are outstanding and unvested at year-end</w:t>
            </w:r>
          </w:p>
        </w:tc>
        <w:tc>
          <w:tcPr>
            <w:tcW w:w="1400" w:type="dxa"/>
            <w:vAlign w:val="bottom"/>
          </w:tcPr>
          <w:p>
            <w:pPr>
              <w:jc w:val="right"/>
              <w:ind w:right="308"/>
              <w:spacing w:after="0"/>
              <w:rPr>
                <w:sz w:val="20"/>
                <w:szCs w:val="20"/>
                <w:color w:val="auto"/>
              </w:rPr>
            </w:pPr>
            <w:r>
              <w:rPr>
                <w:rFonts w:ascii="Arial" w:cs="Arial" w:eastAsia="Arial" w:hAnsi="Arial"/>
                <w:sz w:val="14"/>
                <w:szCs w:val="14"/>
                <w:color w:val="auto"/>
              </w:rPr>
              <w:t>843,163</w:t>
            </w:r>
          </w:p>
        </w:tc>
        <w:tc>
          <w:tcPr>
            <w:tcW w:w="1540" w:type="dxa"/>
            <w:vAlign w:val="bottom"/>
          </w:tcPr>
          <w:p>
            <w:pPr>
              <w:jc w:val="right"/>
              <w:spacing w:after="0"/>
              <w:rPr>
                <w:sz w:val="20"/>
                <w:szCs w:val="20"/>
                <w:color w:val="auto"/>
              </w:rPr>
            </w:pPr>
            <w:r>
              <w:rPr>
                <w:rFonts w:ascii="Arial" w:cs="Arial" w:eastAsia="Arial" w:hAnsi="Arial"/>
                <w:sz w:val="14"/>
                <w:szCs w:val="14"/>
                <w:color w:val="auto"/>
              </w:rPr>
              <w:t>183,508</w:t>
            </w:r>
          </w:p>
        </w:tc>
        <w:tc>
          <w:tcPr>
            <w:tcW w:w="0" w:type="dxa"/>
            <w:vAlign w:val="bottom"/>
          </w:tcPr>
          <w:p>
            <w:pPr>
              <w:spacing w:after="0"/>
              <w:rPr>
                <w:sz w:val="1"/>
                <w:szCs w:val="1"/>
                <w:color w:val="auto"/>
              </w:rPr>
            </w:pPr>
          </w:p>
        </w:tc>
      </w:tr>
      <w:tr>
        <w:trPr>
          <w:trHeight w:val="215"/>
        </w:trPr>
        <w:tc>
          <w:tcPr>
            <w:tcW w:w="8300" w:type="dxa"/>
            <w:vAlign w:val="bottom"/>
          </w:tcPr>
          <w:p>
            <w:pPr>
              <w:ind w:left="240"/>
              <w:spacing w:after="0"/>
              <w:rPr>
                <w:sz w:val="20"/>
                <w:szCs w:val="20"/>
                <w:color w:val="auto"/>
              </w:rPr>
            </w:pPr>
            <w:r>
              <w:rPr>
                <w:rFonts w:ascii="Arial" w:cs="Arial" w:eastAsia="Arial" w:hAnsi="Arial"/>
                <w:sz w:val="14"/>
                <w:szCs w:val="14"/>
                <w:color w:val="auto"/>
              </w:rPr>
              <w:t>Plus, the change in fair value from the end of fiscal year 2024 to the vesting date for equity awards granted in any prior</w:t>
            </w:r>
          </w:p>
        </w:tc>
        <w:tc>
          <w:tcPr>
            <w:tcW w:w="14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8300" w:type="dxa"/>
            <w:vAlign w:val="bottom"/>
          </w:tcPr>
          <w:p>
            <w:pPr>
              <w:ind w:left="240"/>
              <w:spacing w:after="0"/>
              <w:rPr>
                <w:sz w:val="20"/>
                <w:szCs w:val="20"/>
                <w:color w:val="auto"/>
              </w:rPr>
            </w:pPr>
            <w:r>
              <w:rPr>
                <w:rFonts w:ascii="Arial" w:cs="Arial" w:eastAsia="Arial" w:hAnsi="Arial"/>
                <w:sz w:val="14"/>
                <w:szCs w:val="14"/>
                <w:color w:val="auto"/>
              </w:rPr>
              <w:t>fiscal year for which all applicable vesting conditions were satisfied during fiscal year 2025</w:t>
            </w:r>
          </w:p>
        </w:tc>
        <w:tc>
          <w:tcPr>
            <w:tcW w:w="1400" w:type="dxa"/>
            <w:vAlign w:val="bottom"/>
          </w:tcPr>
          <w:p>
            <w:pPr>
              <w:jc w:val="right"/>
              <w:ind w:right="308"/>
              <w:spacing w:after="0"/>
              <w:rPr>
                <w:sz w:val="20"/>
                <w:szCs w:val="20"/>
                <w:color w:val="auto"/>
              </w:rPr>
            </w:pPr>
            <w:r>
              <w:rPr>
                <w:rFonts w:ascii="Arial" w:cs="Arial" w:eastAsia="Arial" w:hAnsi="Arial"/>
                <w:sz w:val="14"/>
                <w:szCs w:val="14"/>
                <w:color w:val="auto"/>
              </w:rPr>
              <w:t>959,283</w:t>
            </w:r>
          </w:p>
        </w:tc>
        <w:tc>
          <w:tcPr>
            <w:tcW w:w="1540" w:type="dxa"/>
            <w:vAlign w:val="bottom"/>
          </w:tcPr>
          <w:p>
            <w:pPr>
              <w:jc w:val="right"/>
              <w:spacing w:after="0"/>
              <w:rPr>
                <w:sz w:val="20"/>
                <w:szCs w:val="20"/>
                <w:color w:val="auto"/>
              </w:rPr>
            </w:pPr>
            <w:r>
              <w:rPr>
                <w:rFonts w:ascii="Arial" w:cs="Arial" w:eastAsia="Arial" w:hAnsi="Arial"/>
                <w:sz w:val="14"/>
                <w:szCs w:val="14"/>
                <w:color w:val="auto"/>
              </w:rPr>
              <w:t>200,677</w:t>
            </w:r>
          </w:p>
        </w:tc>
        <w:tc>
          <w:tcPr>
            <w:tcW w:w="0" w:type="dxa"/>
            <w:vAlign w:val="bottom"/>
          </w:tcPr>
          <w:p>
            <w:pPr>
              <w:spacing w:after="0"/>
              <w:rPr>
                <w:sz w:val="1"/>
                <w:szCs w:val="1"/>
                <w:color w:val="auto"/>
              </w:rPr>
            </w:pPr>
          </w:p>
        </w:tc>
      </w:tr>
      <w:tr>
        <w:trPr>
          <w:trHeight w:val="22"/>
        </w:trPr>
        <w:tc>
          <w:tcPr>
            <w:tcW w:w="8300" w:type="dxa"/>
            <w:vAlign w:val="bottom"/>
            <w:tcBorders>
              <w:bottom w:val="single" w:sz="8" w:color="BCBEC0"/>
            </w:tcBorders>
          </w:tcPr>
          <w:p>
            <w:pPr>
              <w:spacing w:after="0" w:line="20" w:lineRule="exact"/>
              <w:rPr>
                <w:sz w:val="1"/>
                <w:szCs w:val="1"/>
                <w:color w:val="auto"/>
              </w:rPr>
            </w:pPr>
          </w:p>
        </w:tc>
        <w:tc>
          <w:tcPr>
            <w:tcW w:w="1400" w:type="dxa"/>
            <w:vAlign w:val="bottom"/>
            <w:tcBorders>
              <w:bottom w:val="single" w:sz="8" w:color="BCBEC0"/>
            </w:tcBorders>
          </w:tcPr>
          <w:p>
            <w:pPr>
              <w:spacing w:after="0" w:line="20" w:lineRule="exact"/>
              <w:rPr>
                <w:sz w:val="1"/>
                <w:szCs w:val="1"/>
                <w:color w:val="auto"/>
              </w:rPr>
            </w:pPr>
          </w:p>
        </w:tc>
        <w:tc>
          <w:tcPr>
            <w:tcW w:w="1540" w:type="dxa"/>
            <w:vAlign w:val="bottom"/>
            <w:tcBorders>
              <w:bottom w:val="single" w:sz="8" w:color="BCBEC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8300" w:type="dxa"/>
            <w:vAlign w:val="bottom"/>
            <w:tcBorders>
              <w:bottom w:val="single" w:sz="8" w:color="0C3471"/>
            </w:tcBorders>
          </w:tcPr>
          <w:p>
            <w:pPr>
              <w:ind w:left="20"/>
              <w:spacing w:after="0"/>
              <w:rPr>
                <w:sz w:val="20"/>
                <w:szCs w:val="20"/>
                <w:color w:val="auto"/>
              </w:rPr>
            </w:pPr>
            <w:r>
              <w:rPr>
                <w:rFonts w:ascii="Arial" w:cs="Arial" w:eastAsia="Arial" w:hAnsi="Arial"/>
                <w:sz w:val="14"/>
                <w:szCs w:val="14"/>
                <w:b w:val="1"/>
                <w:bCs w:val="1"/>
                <w:color w:val="auto"/>
              </w:rPr>
              <w:t xml:space="preserve">Compensation Actually Paid (as calculated) </w:t>
            </w:r>
            <w:r>
              <w:rPr>
                <w:rFonts w:ascii="Arial" w:cs="Arial" w:eastAsia="Arial" w:hAnsi="Arial"/>
                <w:sz w:val="18"/>
                <w:szCs w:val="18"/>
                <w:b w:val="1"/>
                <w:bCs w:val="1"/>
                <w:color w:val="auto"/>
                <w:vertAlign w:val="superscript"/>
              </w:rPr>
              <w:t>(b) (c)</w:t>
            </w:r>
          </w:p>
        </w:tc>
        <w:tc>
          <w:tcPr>
            <w:tcW w:w="1400" w:type="dxa"/>
            <w:vAlign w:val="bottom"/>
            <w:tcBorders>
              <w:bottom w:val="single" w:sz="8" w:color="0C3471"/>
            </w:tcBorders>
          </w:tcPr>
          <w:p>
            <w:pPr>
              <w:jc w:val="right"/>
              <w:ind w:right="308"/>
              <w:spacing w:after="0"/>
              <w:rPr>
                <w:sz w:val="20"/>
                <w:szCs w:val="20"/>
                <w:color w:val="auto"/>
              </w:rPr>
            </w:pPr>
            <w:r>
              <w:rPr>
                <w:rFonts w:ascii="Arial" w:cs="Arial" w:eastAsia="Arial" w:hAnsi="Arial"/>
                <w:sz w:val="14"/>
                <w:szCs w:val="14"/>
                <w:b w:val="1"/>
                <w:bCs w:val="1"/>
                <w:color w:val="auto"/>
              </w:rPr>
              <w:t>14,499,234</w:t>
            </w:r>
          </w:p>
        </w:tc>
        <w:tc>
          <w:tcPr>
            <w:tcW w:w="1540" w:type="dxa"/>
            <w:vAlign w:val="bottom"/>
            <w:tcBorders>
              <w:bottom w:val="single" w:sz="8" w:color="0C3471"/>
            </w:tcBorders>
          </w:tcPr>
          <w:p>
            <w:pPr>
              <w:jc w:val="right"/>
              <w:spacing w:after="0"/>
              <w:rPr>
                <w:sz w:val="20"/>
                <w:szCs w:val="20"/>
                <w:color w:val="auto"/>
              </w:rPr>
            </w:pPr>
            <w:r>
              <w:rPr>
                <w:rFonts w:ascii="Arial" w:cs="Arial" w:eastAsia="Arial" w:hAnsi="Arial"/>
                <w:sz w:val="14"/>
                <w:szCs w:val="14"/>
                <w:b w:val="1"/>
                <w:bCs w:val="1"/>
                <w:color w:val="auto"/>
              </w:rPr>
              <w:t>3,607,821</w:t>
            </w:r>
          </w:p>
        </w:tc>
        <w:tc>
          <w:tcPr>
            <w:tcW w:w="0" w:type="dxa"/>
            <w:vAlign w:val="bottom"/>
          </w:tcPr>
          <w:p>
            <w:pPr>
              <w:spacing w:after="0"/>
              <w:rPr>
                <w:sz w:val="1"/>
                <w:szCs w:val="1"/>
                <w:color w:val="auto"/>
              </w:rPr>
            </w:pPr>
          </w:p>
        </w:tc>
      </w:tr>
    </w:tbl>
    <w:p>
      <w:pPr>
        <w:spacing w:after="0" w:line="165" w:lineRule="exact"/>
        <w:rPr>
          <w:sz w:val="20"/>
          <w:szCs w:val="20"/>
          <w:color w:val="auto"/>
        </w:rPr>
      </w:pPr>
    </w:p>
    <w:p>
      <w:pPr>
        <w:ind w:left="420" w:hanging="218"/>
        <w:spacing w:after="0"/>
        <w:tabs>
          <w:tab w:leader="none" w:pos="420" w:val="left"/>
        </w:tabs>
        <w:numPr>
          <w:ilvl w:val="1"/>
          <w:numId w:val="142"/>
        </w:numPr>
        <w:rPr>
          <w:rFonts w:ascii="Arial" w:cs="Arial" w:eastAsia="Arial" w:hAnsi="Arial"/>
          <w:sz w:val="19"/>
          <w:szCs w:val="19"/>
          <w:color w:val="auto"/>
          <w:vertAlign w:val="superscript"/>
        </w:rPr>
      </w:pPr>
      <w:r>
        <w:rPr>
          <w:rFonts w:ascii="Arial" w:cs="Arial" w:eastAsia="Arial" w:hAnsi="Arial"/>
          <w:sz w:val="14"/>
          <w:szCs w:val="14"/>
          <w:color w:val="auto"/>
        </w:rPr>
        <w:t>For 2025, none of the Other NEOs participated in a pension plan.</w:t>
      </w:r>
    </w:p>
    <w:p>
      <w:pPr>
        <w:spacing w:after="0" w:line="78" w:lineRule="exact"/>
        <w:rPr>
          <w:rFonts w:ascii="Arial" w:cs="Arial" w:eastAsia="Arial" w:hAnsi="Arial"/>
          <w:sz w:val="19"/>
          <w:szCs w:val="19"/>
          <w:color w:val="auto"/>
          <w:vertAlign w:val="superscript"/>
        </w:rPr>
      </w:pPr>
    </w:p>
    <w:p>
      <w:pPr>
        <w:ind w:left="420" w:hanging="218"/>
        <w:spacing w:after="0"/>
        <w:tabs>
          <w:tab w:leader="none" w:pos="420" w:val="left"/>
        </w:tabs>
        <w:numPr>
          <w:ilvl w:val="1"/>
          <w:numId w:val="142"/>
        </w:numPr>
        <w:rPr>
          <w:rFonts w:ascii="Arial" w:cs="Arial" w:eastAsia="Arial" w:hAnsi="Arial"/>
          <w:sz w:val="19"/>
          <w:szCs w:val="19"/>
          <w:color w:val="auto"/>
          <w:vertAlign w:val="superscript"/>
        </w:rPr>
      </w:pPr>
      <w:r>
        <w:rPr>
          <w:rFonts w:ascii="Arial" w:cs="Arial" w:eastAsia="Arial" w:hAnsi="Arial"/>
          <w:sz w:val="14"/>
          <w:szCs w:val="14"/>
          <w:color w:val="auto"/>
        </w:rPr>
        <w:t>Compensation actually paid is calculated in accordance with the SEC methodology.</w:t>
      </w:r>
    </w:p>
    <w:p>
      <w:pPr>
        <w:spacing w:after="0" w:line="106" w:lineRule="exact"/>
        <w:rPr>
          <w:rFonts w:ascii="Arial" w:cs="Arial" w:eastAsia="Arial" w:hAnsi="Arial"/>
          <w:sz w:val="19"/>
          <w:szCs w:val="19"/>
          <w:color w:val="auto"/>
          <w:vertAlign w:val="superscript"/>
        </w:rPr>
      </w:pPr>
    </w:p>
    <w:p>
      <w:pPr>
        <w:ind w:left="400" w:right="300" w:hanging="198"/>
        <w:spacing w:after="0" w:line="249" w:lineRule="auto"/>
        <w:tabs>
          <w:tab w:leader="none" w:pos="409" w:val="left"/>
        </w:tabs>
        <w:numPr>
          <w:ilvl w:val="1"/>
          <w:numId w:val="142"/>
        </w:numPr>
        <w:rPr>
          <w:rFonts w:ascii="Arial" w:cs="Arial" w:eastAsia="Arial" w:hAnsi="Arial"/>
          <w:sz w:val="19"/>
          <w:szCs w:val="19"/>
          <w:color w:val="auto"/>
          <w:vertAlign w:val="superscript"/>
        </w:rPr>
      </w:pPr>
      <w:r>
        <w:rPr>
          <w:rFonts w:ascii="Arial" w:cs="Arial" w:eastAsia="Arial" w:hAnsi="Arial"/>
          <w:sz w:val="14"/>
          <w:szCs w:val="14"/>
          <w:color w:val="auto"/>
        </w:rPr>
        <w:t>Fair value of equity awards is computed in accordance with ASC 718. Assumptions used in the calculation of these amounts are included in note 13 to our audited financial statements for the year ended December 31, 2025 included in our Annual Report on Form 10-K filed with the SEC on February 24, 2026 and are adjusted for factors such as expected payout on performance share units and expected life for stock options as of the respective measurement dates.</w:t>
      </w:r>
    </w:p>
    <w:p>
      <w:pPr>
        <w:spacing w:after="0" w:line="100" w:lineRule="exact"/>
        <w:rPr>
          <w:rFonts w:ascii="Arial" w:cs="Arial" w:eastAsia="Arial" w:hAnsi="Arial"/>
          <w:sz w:val="19"/>
          <w:szCs w:val="19"/>
          <w:color w:val="auto"/>
          <w:vertAlign w:val="superscript"/>
        </w:rPr>
      </w:pPr>
    </w:p>
    <w:p>
      <w:pPr>
        <w:ind w:left="200" w:right="520" w:hanging="192"/>
        <w:spacing w:after="0" w:line="239" w:lineRule="auto"/>
        <w:tabs>
          <w:tab w:leader="none" w:pos="201" w:val="left"/>
        </w:tabs>
        <w:numPr>
          <w:ilvl w:val="0"/>
          <w:numId w:val="143"/>
        </w:numPr>
        <w:rPr>
          <w:rFonts w:ascii="Arial" w:cs="Arial" w:eastAsia="Arial" w:hAnsi="Arial"/>
          <w:sz w:val="19"/>
          <w:szCs w:val="19"/>
          <w:color w:val="auto"/>
          <w:vertAlign w:val="superscript"/>
        </w:rPr>
      </w:pPr>
      <w:r>
        <w:rPr>
          <w:rFonts w:ascii="Arial" w:cs="Arial" w:eastAsia="Arial" w:hAnsi="Arial"/>
          <w:sz w:val="14"/>
          <w:szCs w:val="14"/>
          <w:color w:val="auto"/>
        </w:rPr>
        <w:t>The table shows the cumulative total shareholder returns on our ordinary shares, assuming an investment of $100 on December 31, 2020, and the reinvestment of all dividends since that date to the last fiscal day of each applicable year.</w:t>
      </w:r>
    </w:p>
    <w:p>
      <w:pPr>
        <w:spacing w:after="0" w:line="67" w:lineRule="exact"/>
        <w:rPr>
          <w:rFonts w:ascii="Arial" w:cs="Arial" w:eastAsia="Arial" w:hAnsi="Arial"/>
          <w:sz w:val="19"/>
          <w:szCs w:val="19"/>
          <w:color w:val="auto"/>
          <w:vertAlign w:val="superscript"/>
        </w:rPr>
      </w:pPr>
    </w:p>
    <w:p>
      <w:pPr>
        <w:jc w:val="both"/>
        <w:ind w:left="200" w:right="540" w:hanging="192"/>
        <w:spacing w:after="0" w:line="260" w:lineRule="auto"/>
        <w:tabs>
          <w:tab w:leader="none" w:pos="214" w:val="left"/>
        </w:tabs>
        <w:numPr>
          <w:ilvl w:val="0"/>
          <w:numId w:val="143"/>
        </w:numPr>
        <w:rPr>
          <w:rFonts w:ascii="Arial" w:cs="Arial" w:eastAsia="Arial" w:hAnsi="Arial"/>
          <w:sz w:val="19"/>
          <w:szCs w:val="19"/>
          <w:color w:val="auto"/>
          <w:vertAlign w:val="superscript"/>
        </w:rPr>
      </w:pPr>
      <w:r>
        <w:rPr>
          <w:rFonts w:ascii="Arial" w:cs="Arial" w:eastAsia="Arial" w:hAnsi="Arial"/>
          <w:sz w:val="14"/>
          <w:szCs w:val="14"/>
          <w:color w:val="auto"/>
        </w:rPr>
        <w:t>Based on the size and diversity of our businesses as well as our market capitalization, we consider the S&amp;P 500 Industrials Index to be our peer group. The S&amp;P 500 Industrials Index is one of the industr</w:t>
      </w:r>
      <w:r>
        <w:rPr>
          <w:rFonts w:ascii="Arial" w:cs="Arial" w:eastAsia="Arial" w:hAnsi="Arial"/>
          <w:sz w:val="16"/>
          <w:szCs w:val="16"/>
          <w:color w:val="auto"/>
        </w:rPr>
        <w:t>y</w:t>
      </w:r>
      <w:r>
        <w:rPr>
          <w:rFonts w:ascii="Arial" w:cs="Arial" w:eastAsia="Arial" w:hAnsi="Arial"/>
          <w:sz w:val="14"/>
          <w:szCs w:val="14"/>
          <w:color w:val="auto"/>
        </w:rPr>
        <w:t xml:space="preserve"> indexes used in our performance graph in our Form 10-K. The peer group TSR shows the cumulative total shareholder returns assuming an investment of $100 on December 31, 2020 and the reinvestment of all dividends since that date to the last fiscal day of each applicable year.</w:t>
      </w:r>
    </w:p>
    <w:p>
      <w:pPr>
        <w:spacing w:after="0" w:line="22" w:lineRule="exact"/>
        <w:rPr>
          <w:rFonts w:ascii="Arial" w:cs="Arial" w:eastAsia="Arial" w:hAnsi="Arial"/>
          <w:sz w:val="19"/>
          <w:szCs w:val="19"/>
          <w:color w:val="auto"/>
          <w:vertAlign w:val="superscript"/>
        </w:rPr>
      </w:pPr>
    </w:p>
    <w:p>
      <w:pPr>
        <w:ind w:left="220" w:hanging="212"/>
        <w:spacing w:after="0"/>
        <w:tabs>
          <w:tab w:leader="none" w:pos="220" w:val="left"/>
        </w:tabs>
        <w:numPr>
          <w:ilvl w:val="0"/>
          <w:numId w:val="143"/>
        </w:numPr>
        <w:rPr>
          <w:rFonts w:ascii="Arial" w:cs="Arial" w:eastAsia="Arial" w:hAnsi="Arial"/>
          <w:sz w:val="19"/>
          <w:szCs w:val="19"/>
          <w:color w:val="auto"/>
          <w:vertAlign w:val="superscript"/>
        </w:rPr>
      </w:pPr>
      <w:r>
        <w:rPr>
          <w:rFonts w:ascii="Arial" w:cs="Arial" w:eastAsia="Arial" w:hAnsi="Arial"/>
          <w:sz w:val="14"/>
          <w:szCs w:val="14"/>
          <w:color w:val="auto"/>
        </w:rPr>
        <w:t>Our company selected metric is company-wide adjusted operating income. Refer to Appendix A for GAAP to Non GAAP Reconciliation.</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600" w:hanging="574"/>
        <w:spacing w:after="0"/>
        <w:tabs>
          <w:tab w:leader="none" w:pos="600" w:val="left"/>
        </w:tabs>
        <w:numPr>
          <w:ilvl w:val="0"/>
          <w:numId w:val="144"/>
        </w:numPr>
        <w:rPr>
          <w:rFonts w:ascii="Arial" w:cs="Arial" w:eastAsia="Arial" w:hAnsi="Arial"/>
          <w:sz w:val="16"/>
          <w:szCs w:val="16"/>
          <w:b w:val="1"/>
          <w:bCs w:val="1"/>
          <w:color w:val="auto"/>
        </w:rPr>
      </w:pPr>
      <w:r>
        <w:rPr>
          <w:rFonts w:ascii="Arial" w:cs="Arial" w:eastAsia="Arial" w:hAnsi="Arial"/>
          <w:sz w:val="16"/>
          <w:szCs w:val="16"/>
          <w:color w:val="auto"/>
        </w:rPr>
        <w:t xml:space="preserve">Pentair </w:t>
      </w:r>
      <w:r>
        <w:rPr>
          <w:rFonts w:ascii="Arial" w:cs="Arial" w:eastAsia="Arial" w:hAnsi="Arial"/>
          <w:sz w:val="16"/>
          <w:szCs w:val="16"/>
          <w:b w:val="1"/>
          <w:bCs w:val="1"/>
          <w:color w:val="0C3471"/>
        </w:rPr>
        <w:t>|</w:t>
      </w:r>
      <w:r>
        <w:rPr>
          <w:rFonts w:ascii="Arial" w:cs="Arial" w:eastAsia="Arial" w:hAnsi="Arial"/>
          <w:sz w:val="16"/>
          <w:szCs w:val="16"/>
          <w:color w:val="auto"/>
        </w:rPr>
        <w:t xml:space="preserve"> </w:t>
      </w:r>
      <w:r>
        <w:rPr>
          <w:rFonts w:ascii="Arial" w:cs="Arial" w:eastAsia="Arial" w:hAnsi="Arial"/>
          <w:sz w:val="16"/>
          <w:szCs w:val="16"/>
          <w:b w:val="1"/>
          <w:bCs w:val="1"/>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213995</wp:posOffset>
            </wp:positionV>
            <wp:extent cx="7157720" cy="425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74" w:name="page75"/>
    <w:bookmarkEnd w:id="74"/>
    <w:p>
      <w:pPr>
        <w:ind w:left="932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5694680</wp:posOffset>
            </wp:positionH>
            <wp:positionV relativeFrom="page">
              <wp:posOffset>106045</wp:posOffset>
            </wp:positionV>
            <wp:extent cx="102870" cy="11176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clrChange>
                        <a:clrFrom>
                          <a:srgbClr val="FFFFFF"/>
                        </a:clrFrom>
                        <a:clrTo>
                          <a:srgbClr val="FFFFFF">
                            <a:alpha val="0"/>
                          </a:srgbClr>
                        </a:clrTo>
                      </a:clrChange>
                      <a:extLst>
                        <a:ext uri="{28A0092B-C50C-407E-A947-70E740481C1C}"/>
                      </a:extLst>
                    </a:blip>
                    <a:srcRect/>
                    <a:stretch>
                      <a:fillRect/>
                    </a:stretch>
                  </pic:blipFill>
                  <pic:spPr bwMode="auto">
                    <a:xfrm>
                      <a:off x="0" y="0"/>
                      <a:ext cx="102870" cy="111760"/>
                    </a:xfrm>
                    <a:prstGeom prst="rect">
                      <a:avLst/>
                    </a:prstGeom>
                    <a:noFill/>
                  </pic:spPr>
                </pic:pic>
              </a:graphicData>
            </a:graphic>
          </wp:anchor>
        </w:drawing>
        <w:t>Pay Versus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20"/>
        <w:spacing w:after="0"/>
        <w:rPr>
          <w:sz w:val="20"/>
          <w:szCs w:val="20"/>
          <w:color w:val="auto"/>
        </w:rPr>
      </w:pPr>
      <w:r>
        <w:rPr>
          <w:rFonts w:ascii="Arial" w:cs="Arial" w:eastAsia="Arial" w:hAnsi="Arial"/>
          <w:sz w:val="29"/>
          <w:szCs w:val="29"/>
          <w:color w:val="64A70B"/>
        </w:rPr>
        <w:t>Tabular List of Important Performance Measures Used to Link Pay and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right="200"/>
        <w:spacing w:after="0" w:line="304" w:lineRule="auto"/>
        <w:rPr>
          <w:sz w:val="20"/>
          <w:szCs w:val="20"/>
          <w:color w:val="auto"/>
        </w:rPr>
      </w:pPr>
      <w:r>
        <w:rPr>
          <w:rFonts w:ascii="Arial" w:cs="Arial" w:eastAsia="Arial" w:hAnsi="Arial"/>
          <w:sz w:val="16"/>
          <w:szCs w:val="16"/>
          <w:color w:val="auto"/>
        </w:rPr>
        <w:t>The four measures listed below represent the most important measures used to link compensation actually paid to the NEOs, for fiscal year 2025, with our performance, as further described in the CD&amp;A.</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1040" w:type="dxa"/>
            <w:vAlign w:val="bottom"/>
            <w:tcBorders>
              <w:bottom w:val="single" w:sz="8" w:color="0C3471"/>
            </w:tcBorders>
          </w:tcPr>
          <w:p>
            <w:pPr>
              <w:spacing w:after="0"/>
              <w:rPr>
                <w:sz w:val="17"/>
                <w:szCs w:val="17"/>
                <w:color w:val="auto"/>
              </w:rPr>
            </w:pPr>
          </w:p>
        </w:tc>
        <w:tc>
          <w:tcPr>
            <w:tcW w:w="10200" w:type="dxa"/>
            <w:vAlign w:val="bottom"/>
            <w:tcBorders>
              <w:bottom w:val="single" w:sz="8" w:color="0C3471"/>
            </w:tcBorders>
          </w:tcPr>
          <w:p>
            <w:pPr>
              <w:ind w:left="2560"/>
              <w:spacing w:after="0"/>
              <w:rPr>
                <w:sz w:val="20"/>
                <w:szCs w:val="20"/>
                <w:color w:val="auto"/>
              </w:rPr>
            </w:pPr>
            <w:r>
              <w:rPr>
                <w:rFonts w:ascii="Arial" w:cs="Arial" w:eastAsia="Arial" w:hAnsi="Arial"/>
                <w:sz w:val="14"/>
                <w:szCs w:val="14"/>
                <w:b w:val="1"/>
                <w:bCs w:val="1"/>
                <w:color w:val="auto"/>
              </w:rPr>
              <w:t>Most Important Measures for Linking Pay and Performance</w:t>
            </w:r>
          </w:p>
        </w:tc>
      </w:tr>
      <w:tr>
        <w:trPr>
          <w:trHeight w:val="237"/>
        </w:trPr>
        <w:tc>
          <w:tcPr>
            <w:tcW w:w="1040" w:type="dxa"/>
            <w:vAlign w:val="bottom"/>
            <w:tcBorders>
              <w:bottom w:val="single" w:sz="8" w:color="BCBEC0"/>
            </w:tcBorders>
          </w:tcPr>
          <w:p>
            <w:pPr>
              <w:ind w:left="20"/>
              <w:spacing w:after="0"/>
              <w:rPr>
                <w:sz w:val="20"/>
                <w:szCs w:val="20"/>
                <w:color w:val="auto"/>
              </w:rPr>
            </w:pPr>
            <w:r>
              <w:rPr>
                <w:rFonts w:ascii="Arial" w:cs="Arial" w:eastAsia="Arial" w:hAnsi="Arial"/>
                <w:sz w:val="16"/>
                <w:szCs w:val="16"/>
                <w:color w:val="auto"/>
              </w:rPr>
              <w:t>Measure 1 -</w:t>
            </w:r>
          </w:p>
        </w:tc>
        <w:tc>
          <w:tcPr>
            <w:tcW w:w="10200" w:type="dxa"/>
            <w:vAlign w:val="bottom"/>
            <w:tcBorders>
              <w:bottom w:val="single" w:sz="8" w:color="BCBEC0"/>
            </w:tcBorders>
          </w:tcPr>
          <w:p>
            <w:pPr>
              <w:ind w:left="160"/>
              <w:spacing w:after="0"/>
              <w:rPr>
                <w:sz w:val="20"/>
                <w:szCs w:val="20"/>
                <w:color w:val="auto"/>
              </w:rPr>
            </w:pPr>
            <w:r>
              <w:rPr>
                <w:rFonts w:ascii="Arial" w:cs="Arial" w:eastAsia="Arial" w:hAnsi="Arial"/>
                <w:sz w:val="16"/>
                <w:szCs w:val="16"/>
                <w:color w:val="auto"/>
              </w:rPr>
              <w:t>Company-Wide Adjusted Operating Income</w:t>
            </w:r>
          </w:p>
        </w:tc>
      </w:tr>
      <w:tr>
        <w:trPr>
          <w:trHeight w:val="237"/>
        </w:trPr>
        <w:tc>
          <w:tcPr>
            <w:tcW w:w="1040" w:type="dxa"/>
            <w:vAlign w:val="bottom"/>
            <w:tcBorders>
              <w:bottom w:val="single" w:sz="8" w:color="BCBEC0"/>
            </w:tcBorders>
          </w:tcPr>
          <w:p>
            <w:pPr>
              <w:ind w:left="20"/>
              <w:spacing w:after="0"/>
              <w:rPr>
                <w:sz w:val="20"/>
                <w:szCs w:val="20"/>
                <w:color w:val="auto"/>
              </w:rPr>
            </w:pPr>
            <w:r>
              <w:rPr>
                <w:rFonts w:ascii="Arial" w:cs="Arial" w:eastAsia="Arial" w:hAnsi="Arial"/>
                <w:sz w:val="16"/>
                <w:szCs w:val="16"/>
                <w:color w:val="auto"/>
              </w:rPr>
              <w:t>Measure 2 -</w:t>
            </w:r>
          </w:p>
        </w:tc>
        <w:tc>
          <w:tcPr>
            <w:tcW w:w="10200" w:type="dxa"/>
            <w:vAlign w:val="bottom"/>
            <w:tcBorders>
              <w:bottom w:val="single" w:sz="8" w:color="BCBEC0"/>
            </w:tcBorders>
          </w:tcPr>
          <w:p>
            <w:pPr>
              <w:ind w:left="160"/>
              <w:spacing w:after="0"/>
              <w:rPr>
                <w:sz w:val="20"/>
                <w:szCs w:val="20"/>
                <w:color w:val="auto"/>
              </w:rPr>
            </w:pPr>
            <w:r>
              <w:rPr>
                <w:rFonts w:ascii="Arial" w:cs="Arial" w:eastAsia="Arial" w:hAnsi="Arial"/>
                <w:sz w:val="16"/>
                <w:szCs w:val="16"/>
                <w:color w:val="auto"/>
              </w:rPr>
              <w:t>Adjusted EPS</w:t>
            </w:r>
          </w:p>
        </w:tc>
      </w:tr>
      <w:tr>
        <w:trPr>
          <w:trHeight w:val="236"/>
        </w:trPr>
        <w:tc>
          <w:tcPr>
            <w:tcW w:w="1040" w:type="dxa"/>
            <w:vAlign w:val="bottom"/>
            <w:tcBorders>
              <w:bottom w:val="single" w:sz="8" w:color="BCBEC0"/>
            </w:tcBorders>
          </w:tcPr>
          <w:p>
            <w:pPr>
              <w:ind w:left="20"/>
              <w:spacing w:after="0"/>
              <w:rPr>
                <w:sz w:val="20"/>
                <w:szCs w:val="20"/>
                <w:color w:val="auto"/>
              </w:rPr>
            </w:pPr>
            <w:r>
              <w:rPr>
                <w:rFonts w:ascii="Arial" w:cs="Arial" w:eastAsia="Arial" w:hAnsi="Arial"/>
                <w:sz w:val="16"/>
                <w:szCs w:val="16"/>
                <w:color w:val="auto"/>
              </w:rPr>
              <w:t>Measure 3 -</w:t>
            </w:r>
          </w:p>
        </w:tc>
        <w:tc>
          <w:tcPr>
            <w:tcW w:w="10200" w:type="dxa"/>
            <w:vAlign w:val="bottom"/>
            <w:tcBorders>
              <w:bottom w:val="single" w:sz="8" w:color="BCBEC0"/>
            </w:tcBorders>
          </w:tcPr>
          <w:p>
            <w:pPr>
              <w:ind w:left="160"/>
              <w:spacing w:after="0"/>
              <w:rPr>
                <w:sz w:val="20"/>
                <w:szCs w:val="20"/>
                <w:color w:val="auto"/>
              </w:rPr>
            </w:pPr>
            <w:r>
              <w:rPr>
                <w:rFonts w:ascii="Arial" w:cs="Arial" w:eastAsia="Arial" w:hAnsi="Arial"/>
                <w:sz w:val="16"/>
                <w:szCs w:val="16"/>
                <w:color w:val="auto"/>
              </w:rPr>
              <w:t>ROIC</w:t>
            </w:r>
          </w:p>
        </w:tc>
      </w:tr>
      <w:tr>
        <w:trPr>
          <w:trHeight w:val="237"/>
        </w:trPr>
        <w:tc>
          <w:tcPr>
            <w:tcW w:w="1040" w:type="dxa"/>
            <w:vAlign w:val="bottom"/>
            <w:tcBorders>
              <w:bottom w:val="single" w:sz="8" w:color="0C3471"/>
            </w:tcBorders>
          </w:tcPr>
          <w:p>
            <w:pPr>
              <w:ind w:left="20"/>
              <w:spacing w:after="0"/>
              <w:rPr>
                <w:sz w:val="20"/>
                <w:szCs w:val="20"/>
                <w:color w:val="auto"/>
              </w:rPr>
            </w:pPr>
            <w:r>
              <w:rPr>
                <w:rFonts w:ascii="Arial" w:cs="Arial" w:eastAsia="Arial" w:hAnsi="Arial"/>
                <w:sz w:val="16"/>
                <w:szCs w:val="16"/>
                <w:color w:val="auto"/>
              </w:rPr>
              <w:t>Measure 4 -</w:t>
            </w:r>
          </w:p>
        </w:tc>
        <w:tc>
          <w:tcPr>
            <w:tcW w:w="10200" w:type="dxa"/>
            <w:vAlign w:val="bottom"/>
            <w:tcBorders>
              <w:bottom w:val="single" w:sz="8" w:color="0C3471"/>
            </w:tcBorders>
          </w:tcPr>
          <w:p>
            <w:pPr>
              <w:ind w:left="160"/>
              <w:spacing w:after="0"/>
              <w:rPr>
                <w:sz w:val="20"/>
                <w:szCs w:val="20"/>
                <w:color w:val="auto"/>
              </w:rPr>
            </w:pPr>
            <w:r>
              <w:rPr>
                <w:rFonts w:ascii="Arial" w:cs="Arial" w:eastAsia="Arial" w:hAnsi="Arial"/>
                <w:sz w:val="16"/>
                <w:szCs w:val="16"/>
                <w:color w:val="auto"/>
              </w:rPr>
              <w:t>Total Shareholder Return (“TSR”)</w:t>
            </w:r>
          </w:p>
        </w:tc>
      </w:tr>
    </w:tbl>
    <w:p>
      <w:pPr>
        <w:spacing w:after="0" w:line="188"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While not a metric used in our short and long-term plans, we are including TSR. A sizable amount of the variability of compensation actually paid depends on the value of equity awards, which is based on the Company’s stock price.</w:t>
      </w:r>
    </w:p>
    <w:p>
      <w:pPr>
        <w:spacing w:after="0" w:line="200" w:lineRule="exact"/>
        <w:rPr>
          <w:sz w:val="20"/>
          <w:szCs w:val="20"/>
          <w:color w:val="auto"/>
        </w:rPr>
      </w:pPr>
    </w:p>
    <w:p>
      <w:pPr>
        <w:spacing w:after="0" w:line="396" w:lineRule="exact"/>
        <w:rPr>
          <w:sz w:val="20"/>
          <w:szCs w:val="20"/>
          <w:color w:val="auto"/>
        </w:rPr>
      </w:pPr>
    </w:p>
    <w:p>
      <w:pPr>
        <w:ind w:left="20"/>
        <w:spacing w:after="0"/>
        <w:rPr>
          <w:sz w:val="20"/>
          <w:szCs w:val="20"/>
          <w:color w:val="auto"/>
        </w:rPr>
      </w:pPr>
      <w:r>
        <w:rPr>
          <w:rFonts w:ascii="Arial" w:cs="Arial" w:eastAsia="Arial" w:hAnsi="Arial"/>
          <w:sz w:val="29"/>
          <w:szCs w:val="29"/>
          <w:color w:val="64A70B"/>
        </w:rPr>
        <w:t>Description of Relationship Between Pay and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CAP Versus Net Income &amp; Adjusted Operating Income 2021-2025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784860</wp:posOffset>
            </wp:positionH>
            <wp:positionV relativeFrom="paragraph">
              <wp:posOffset>123190</wp:posOffset>
            </wp:positionV>
            <wp:extent cx="5572125" cy="300037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5572125" cy="3000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1860"/>
        <w:spacing w:after="0"/>
        <w:rPr>
          <w:sz w:val="20"/>
          <w:szCs w:val="20"/>
          <w:color w:val="auto"/>
        </w:rPr>
      </w:pPr>
      <w:r>
        <w:rPr>
          <w:rFonts w:ascii="Arial" w:cs="Arial" w:eastAsia="Arial" w:hAnsi="Arial"/>
          <w:sz w:val="18"/>
          <w:szCs w:val="18"/>
          <w:color w:val="auto"/>
        </w:rPr>
        <w:t xml:space="preserve">CAP to CEO  </w:t>
      </w:r>
      <w:r>
        <w:rPr>
          <w:sz w:val="1"/>
          <w:szCs w:val="1"/>
          <w:color w:val="auto"/>
        </w:rPr>
        <w:drawing>
          <wp:inline distT="0" distB="0" distL="0" distR="0">
            <wp:extent cx="120015" cy="120015"/>
            <wp:effectExtent l="0" t="0" r="0" b="0"/>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120015" cy="120015"/>
                    </a:xfrm>
                    <a:prstGeom prst="rect">
                      <a:avLst/>
                    </a:prstGeom>
                    <a:noFill/>
                    <a:ln>
                      <a:noFill/>
                    </a:ln>
                  </pic:spPr>
                </pic:pic>
              </a:graphicData>
            </a:graphic>
          </wp:inline>
        </w:drawing>
      </w:r>
      <w:r>
        <w:rPr>
          <w:rFonts w:ascii="Arial" w:cs="Arial" w:eastAsia="Arial" w:hAnsi="Arial"/>
          <w:sz w:val="18"/>
          <w:szCs w:val="18"/>
          <w:color w:val="auto"/>
        </w:rPr>
        <w:t xml:space="preserve">  Avg CAP to Other NEOs </w:t>
      </w:r>
      <w:r>
        <w:rPr>
          <w:sz w:val="1"/>
          <w:szCs w:val="1"/>
          <w:color w:val="auto"/>
        </w:rPr>
        <w:drawing>
          <wp:inline distT="0" distB="0" distL="0" distR="0">
            <wp:extent cx="240030" cy="154305"/>
            <wp:effectExtent l="0" t="0" r="0" b="0"/>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240030" cy="154305"/>
                    </a:xfrm>
                    <a:prstGeom prst="rect">
                      <a:avLst/>
                    </a:prstGeom>
                    <a:noFill/>
                    <a:ln>
                      <a:noFill/>
                    </a:ln>
                  </pic:spPr>
                </pic:pic>
              </a:graphicData>
            </a:graphic>
          </wp:inline>
        </w:drawing>
      </w:r>
      <w:r>
        <w:rPr>
          <w:rFonts w:ascii="Arial" w:cs="Arial" w:eastAsia="Arial" w:hAnsi="Arial"/>
          <w:sz w:val="18"/>
          <w:szCs w:val="18"/>
          <w:color w:val="auto"/>
        </w:rPr>
        <w:t xml:space="preserve">  Net Income  </w:t>
      </w:r>
      <w:r>
        <w:rPr>
          <w:sz w:val="1"/>
          <w:szCs w:val="1"/>
          <w:color w:val="auto"/>
        </w:rPr>
        <w:drawing>
          <wp:inline distT="0" distB="0" distL="0" distR="0">
            <wp:extent cx="240030" cy="154305"/>
            <wp:effectExtent l="0" t="0" r="0" b="0"/>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240030" cy="154305"/>
                    </a:xfrm>
                    <a:prstGeom prst="rect">
                      <a:avLst/>
                    </a:prstGeom>
                    <a:noFill/>
                    <a:ln>
                      <a:noFill/>
                    </a:ln>
                  </pic:spPr>
                </pic:pic>
              </a:graphicData>
            </a:graphic>
          </wp:inline>
        </w:drawing>
      </w:r>
      <w:r>
        <w:rPr>
          <w:rFonts w:ascii="Arial" w:cs="Arial" w:eastAsia="Arial" w:hAnsi="Arial"/>
          <w:sz w:val="18"/>
          <w:szCs w:val="18"/>
          <w:color w:val="auto"/>
        </w:rPr>
        <w:t xml:space="preserve">  Adjusted Operating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939165</wp:posOffset>
            </wp:positionH>
            <wp:positionV relativeFrom="paragraph">
              <wp:posOffset>-153670</wp:posOffset>
            </wp:positionV>
            <wp:extent cx="120015" cy="12001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ind w:left="7660"/>
        <w:spacing w:after="0"/>
        <w:rPr>
          <w:sz w:val="20"/>
          <w:szCs w:val="20"/>
          <w:color w:val="auto"/>
        </w:rPr>
      </w:pPr>
      <w:r>
        <w:rPr>
          <w:rFonts w:ascii="Arial" w:cs="Arial" w:eastAsia="Arial" w:hAnsi="Arial"/>
          <w:sz w:val="18"/>
          <w:szCs w:val="18"/>
          <w:color w:val="auto"/>
        </w:rPr>
        <w:t>Income</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10780" w:type="dxa"/>
            <w:vAlign w:val="bottom"/>
          </w:tcPr>
          <w:p>
            <w:pPr>
              <w:ind w:left="8260"/>
              <w:spacing w:after="0"/>
              <w:rPr>
                <w:sz w:val="20"/>
                <w:szCs w:val="20"/>
                <w:color w:val="auto"/>
              </w:rPr>
            </w:pPr>
            <w:r>
              <w:rPr>
                <w:rFonts w:ascii="Arial" w:cs="Arial" w:eastAsia="Arial" w:hAnsi="Arial"/>
                <w:sz w:val="16"/>
                <w:szCs w:val="16"/>
                <w:b w:val="1"/>
                <w:bCs w:val="1"/>
                <w:color w:val="auto"/>
              </w:rPr>
              <w:t xml:space="preserve">2026 Proxy Statement </w:t>
            </w:r>
            <w:r>
              <w:rPr>
                <w:rFonts w:ascii="Arial" w:cs="Arial" w:eastAsia="Arial" w:hAnsi="Arial"/>
                <w:sz w:val="16"/>
                <w:szCs w:val="16"/>
                <w:b w:val="1"/>
                <w:bCs w:val="1"/>
                <w:color w:val="0C3471"/>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Pentair</w:t>
            </w:r>
          </w:p>
        </w:tc>
        <w:tc>
          <w:tcPr>
            <w:tcW w:w="460" w:type="dxa"/>
            <w:vAlign w:val="bottom"/>
          </w:tcPr>
          <w:p>
            <w:pPr>
              <w:jc w:val="right"/>
              <w:spacing w:after="0"/>
              <w:rPr>
                <w:sz w:val="20"/>
                <w:szCs w:val="20"/>
                <w:color w:val="auto"/>
              </w:rPr>
            </w:pPr>
            <w:r>
              <w:rPr>
                <w:rFonts w:ascii="Arial" w:cs="Arial" w:eastAsia="Arial" w:hAnsi="Arial"/>
                <w:sz w:val="16"/>
                <w:szCs w:val="16"/>
                <w:b w:val="1"/>
                <w:bCs w:val="1"/>
                <w:color w:val="auto"/>
              </w:rPr>
              <w:t>73</w:t>
            </w:r>
          </w:p>
        </w:tc>
      </w:tr>
      <w:tr>
        <w:trPr>
          <w:trHeight w:val="325"/>
        </w:trPr>
        <w:tc>
          <w:tcPr>
            <w:tcW w:w="107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75" w:name="page76"/>
    <w:bookmarkEnd w:id="75"/>
    <w:p>
      <w:pPr>
        <w:ind w:left="36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216535</wp:posOffset>
            </wp:positionH>
            <wp:positionV relativeFrom="page">
              <wp:posOffset>106045</wp:posOffset>
            </wp:positionV>
            <wp:extent cx="102870" cy="11176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clrChange>
                        <a:clrFrom>
                          <a:srgbClr val="FFFFFF"/>
                        </a:clrFrom>
                        <a:clrTo>
                          <a:srgbClr val="FFFFFF">
                            <a:alpha val="0"/>
                          </a:srgbClr>
                        </a:clrTo>
                      </a:clrChange>
                      <a:extLst>
                        <a:ext uri="{28A0092B-C50C-407E-A947-70E740481C1C}"/>
                      </a:extLst>
                    </a:blip>
                    <a:srcRect/>
                    <a:stretch>
                      <a:fillRect/>
                    </a:stretch>
                  </pic:blipFill>
                  <pic:spPr bwMode="auto">
                    <a:xfrm>
                      <a:off x="0" y="0"/>
                      <a:ext cx="102870" cy="111760"/>
                    </a:xfrm>
                    <a:prstGeom prst="rect">
                      <a:avLst/>
                    </a:prstGeom>
                    <a:noFill/>
                  </pic:spPr>
                </pic:pic>
              </a:graphicData>
            </a:graphic>
          </wp:anchor>
        </w:drawing>
        <w:t>Pay Versus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CAP Versus TSR 2021-2025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784860</wp:posOffset>
            </wp:positionH>
            <wp:positionV relativeFrom="paragraph">
              <wp:posOffset>114935</wp:posOffset>
            </wp:positionV>
            <wp:extent cx="5572125" cy="300037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5572125" cy="3000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2480"/>
        <w:spacing w:after="0"/>
        <w:rPr>
          <w:sz w:val="20"/>
          <w:szCs w:val="20"/>
          <w:color w:val="auto"/>
        </w:rPr>
      </w:pPr>
      <w:r>
        <w:rPr>
          <w:rFonts w:ascii="Arial" w:cs="Arial" w:eastAsia="Arial" w:hAnsi="Arial"/>
          <w:sz w:val="18"/>
          <w:szCs w:val="18"/>
          <w:color w:val="auto"/>
        </w:rPr>
        <w:t xml:space="preserve">CAP to CEO  </w:t>
      </w:r>
      <w:r>
        <w:rPr>
          <w:sz w:val="1"/>
          <w:szCs w:val="1"/>
          <w:color w:val="auto"/>
        </w:rPr>
        <w:drawing>
          <wp:inline distT="0" distB="0" distL="0" distR="0">
            <wp:extent cx="120015" cy="120015"/>
            <wp:effectExtent l="0" t="0" r="0" b="0"/>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120015" cy="120015"/>
                    </a:xfrm>
                    <a:prstGeom prst="rect">
                      <a:avLst/>
                    </a:prstGeom>
                    <a:noFill/>
                    <a:ln>
                      <a:noFill/>
                    </a:ln>
                  </pic:spPr>
                </pic:pic>
              </a:graphicData>
            </a:graphic>
          </wp:inline>
        </w:drawing>
      </w:r>
      <w:r>
        <w:rPr>
          <w:rFonts w:ascii="Arial" w:cs="Arial" w:eastAsia="Arial" w:hAnsi="Arial"/>
          <w:sz w:val="18"/>
          <w:szCs w:val="18"/>
          <w:color w:val="auto"/>
        </w:rPr>
        <w:t xml:space="preserve">  Avg CAP to Other NEOs </w:t>
      </w:r>
      <w:r>
        <w:rPr>
          <w:sz w:val="1"/>
          <w:szCs w:val="1"/>
          <w:color w:val="auto"/>
        </w:rPr>
        <w:drawing>
          <wp:inline distT="0" distB="0" distL="0" distR="0">
            <wp:extent cx="240030" cy="154305"/>
            <wp:effectExtent l="0" t="0" r="0" b="0"/>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240030" cy="154305"/>
                    </a:xfrm>
                    <a:prstGeom prst="rect">
                      <a:avLst/>
                    </a:prstGeom>
                    <a:noFill/>
                    <a:ln>
                      <a:noFill/>
                    </a:ln>
                  </pic:spPr>
                </pic:pic>
              </a:graphicData>
            </a:graphic>
          </wp:inline>
        </w:drawing>
      </w:r>
      <w:r>
        <w:rPr>
          <w:rFonts w:ascii="Arial" w:cs="Arial" w:eastAsia="Arial" w:hAnsi="Arial"/>
          <w:sz w:val="18"/>
          <w:szCs w:val="18"/>
          <w:color w:val="auto"/>
        </w:rPr>
        <w:t xml:space="preserve">  PNR TSR   </w:t>
      </w:r>
      <w:r>
        <w:rPr>
          <w:sz w:val="1"/>
          <w:szCs w:val="1"/>
          <w:color w:val="auto"/>
        </w:rPr>
        <w:drawing>
          <wp:inline distT="0" distB="0" distL="0" distR="0">
            <wp:extent cx="240030" cy="154305"/>
            <wp:effectExtent l="0" t="0" r="0" b="0"/>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240030" cy="154305"/>
                    </a:xfrm>
                    <a:prstGeom prst="rect">
                      <a:avLst/>
                    </a:prstGeom>
                    <a:noFill/>
                    <a:ln>
                      <a:noFill/>
                    </a:ln>
                  </pic:spPr>
                </pic:pic>
              </a:graphicData>
            </a:graphic>
          </wp:inline>
        </w:drawing>
      </w:r>
      <w:r>
        <w:rPr>
          <w:rFonts w:ascii="Arial" w:cs="Arial" w:eastAsia="Arial" w:hAnsi="Arial"/>
          <w:sz w:val="18"/>
          <w:szCs w:val="18"/>
          <w:color w:val="auto"/>
        </w:rPr>
        <w:t xml:space="preserve">  Peer TSR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1342390</wp:posOffset>
            </wp:positionH>
            <wp:positionV relativeFrom="paragraph">
              <wp:posOffset>-153670</wp:posOffset>
            </wp:positionV>
            <wp:extent cx="120015" cy="12001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spacing w:after="0" w:line="290" w:lineRule="exact"/>
        <w:rPr>
          <w:sz w:val="20"/>
          <w:szCs w:val="20"/>
          <w:color w:val="auto"/>
        </w:rPr>
      </w:pPr>
    </w:p>
    <w:p>
      <w:pPr>
        <w:spacing w:after="0"/>
        <w:rPr>
          <w:sz w:val="20"/>
          <w:szCs w:val="20"/>
          <w:color w:val="auto"/>
        </w:rPr>
      </w:pPr>
      <w:r>
        <w:rPr>
          <w:rFonts w:ascii="Arial" w:cs="Arial" w:eastAsia="Arial" w:hAnsi="Arial"/>
          <w:sz w:val="16"/>
          <w:szCs w:val="16"/>
          <w:color w:val="auto"/>
        </w:rPr>
        <w:t>As reflected in the tables above, we believe the Compensation Actually Paid to our NEOs has a high degree of correlation to our Company’s performance.</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600" w:hanging="574"/>
        <w:spacing w:after="0"/>
        <w:tabs>
          <w:tab w:leader="none" w:pos="600" w:val="left"/>
        </w:tabs>
        <w:numPr>
          <w:ilvl w:val="0"/>
          <w:numId w:val="145"/>
        </w:numPr>
        <w:rPr>
          <w:rFonts w:ascii="Arial" w:cs="Arial" w:eastAsia="Arial" w:hAnsi="Arial"/>
          <w:sz w:val="16"/>
          <w:szCs w:val="16"/>
          <w:b w:val="1"/>
          <w:bCs w:val="1"/>
          <w:color w:val="auto"/>
        </w:rPr>
      </w:pPr>
      <w:r>
        <w:rPr>
          <w:rFonts w:ascii="Arial" w:cs="Arial" w:eastAsia="Arial" w:hAnsi="Arial"/>
          <w:sz w:val="16"/>
          <w:szCs w:val="16"/>
          <w:color w:val="auto"/>
        </w:rPr>
        <w:t xml:space="preserve">Pentair </w:t>
      </w:r>
      <w:r>
        <w:rPr>
          <w:rFonts w:ascii="Arial" w:cs="Arial" w:eastAsia="Arial" w:hAnsi="Arial"/>
          <w:sz w:val="16"/>
          <w:szCs w:val="16"/>
          <w:b w:val="1"/>
          <w:bCs w:val="1"/>
          <w:color w:val="0C3471"/>
        </w:rPr>
        <w:t>|</w:t>
      </w:r>
      <w:r>
        <w:rPr>
          <w:rFonts w:ascii="Arial" w:cs="Arial" w:eastAsia="Arial" w:hAnsi="Arial"/>
          <w:sz w:val="16"/>
          <w:szCs w:val="16"/>
          <w:color w:val="auto"/>
        </w:rPr>
        <w:t xml:space="preserve"> </w:t>
      </w:r>
      <w:r>
        <w:rPr>
          <w:rFonts w:ascii="Arial" w:cs="Arial" w:eastAsia="Arial" w:hAnsi="Arial"/>
          <w:sz w:val="16"/>
          <w:szCs w:val="16"/>
          <w:b w:val="1"/>
          <w:bCs w:val="1"/>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213995</wp:posOffset>
            </wp:positionV>
            <wp:extent cx="7157720" cy="425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179" w:right="539" w:bottom="1440" w:gutter="0" w:footer="0" w:header="0"/>
        </w:sectPr>
      </w:pPr>
    </w:p>
    <w:bookmarkStart w:id="76" w:name="page77"/>
    <w:bookmarkEnd w:id="76"/>
    <w:p>
      <w:pPr>
        <w:spacing w:after="0" w:line="8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791845</wp:posOffset>
            </wp:positionV>
            <wp:extent cx="7132320" cy="579501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132320" cy="5795010"/>
                    </a:xfrm>
                    <a:prstGeom prst="rect">
                      <a:avLst/>
                    </a:prstGeom>
                    <a:noFill/>
                  </pic:spPr>
                </pic:pic>
              </a:graphicData>
            </a:graphic>
          </wp:anchor>
        </w:drawing>
      </w:r>
    </w:p>
    <w:p>
      <w:pPr>
        <w:ind w:left="360"/>
        <w:spacing w:after="0"/>
        <w:rPr>
          <w:sz w:val="20"/>
          <w:szCs w:val="20"/>
          <w:color w:val="auto"/>
        </w:rPr>
      </w:pPr>
      <w:r>
        <w:rPr>
          <w:rFonts w:ascii="Arial" w:cs="Arial" w:eastAsia="Arial" w:hAnsi="Arial"/>
          <w:sz w:val="25"/>
          <w:szCs w:val="25"/>
          <w:b w:val="1"/>
          <w:bCs w:val="1"/>
          <w:color w:val="auto"/>
        </w:rPr>
        <w:t>PROPOSAL 3</w:t>
      </w:r>
    </w:p>
    <w:p>
      <w:pPr>
        <w:spacing w:after="0" w:line="61" w:lineRule="exact"/>
        <w:rPr>
          <w:sz w:val="20"/>
          <w:szCs w:val="20"/>
          <w:color w:val="auto"/>
        </w:rPr>
      </w:pPr>
    </w:p>
    <w:p>
      <w:pPr>
        <w:ind w:left="360"/>
        <w:spacing w:after="0" w:line="236" w:lineRule="auto"/>
        <w:rPr>
          <w:sz w:val="20"/>
          <w:szCs w:val="20"/>
          <w:color w:val="auto"/>
        </w:rPr>
      </w:pPr>
      <w:r>
        <w:rPr>
          <w:rFonts w:ascii="Arial" w:cs="Arial" w:eastAsia="Arial" w:hAnsi="Arial"/>
          <w:sz w:val="38"/>
          <w:szCs w:val="38"/>
          <w:color w:val="0C3471"/>
        </w:rPr>
        <w:t xml:space="preserve">Ratify, by Nonbinding, Advisory Vote, the </w:t>
      </w:r>
      <w:r>
        <w:rPr>
          <w:sz w:val="1"/>
          <w:szCs w:val="1"/>
          <w:color w:val="auto"/>
        </w:rPr>
        <w:drawing>
          <wp:inline distT="0" distB="0" distL="0" distR="0">
            <wp:extent cx="205740" cy="205740"/>
            <wp:effectExtent l="0" t="0" r="0" b="0"/>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205740" cy="205740"/>
                    </a:xfrm>
                    <a:prstGeom prst="rect">
                      <a:avLst/>
                    </a:prstGeom>
                    <a:noFill/>
                    <a:ln>
                      <a:noFill/>
                    </a:ln>
                  </pic:spPr>
                </pic:pic>
              </a:graphicData>
            </a:graphic>
          </wp:inline>
        </w:drawing>
      </w:r>
      <w:r>
        <w:rPr>
          <w:rFonts w:ascii="Arial" w:cs="Arial" w:eastAsia="Arial" w:hAnsi="Arial"/>
          <w:sz w:val="38"/>
          <w:szCs w:val="38"/>
          <w:color w:val="0C3471"/>
        </w:rPr>
        <w:t xml:space="preserve"> Appointment of Deloitte &amp; Touche LLP</w:t>
      </w:r>
    </w:p>
    <w:p>
      <w:pPr>
        <w:spacing w:after="0" w:line="1" w:lineRule="exact"/>
        <w:rPr>
          <w:sz w:val="20"/>
          <w:szCs w:val="20"/>
          <w:color w:val="auto"/>
        </w:rPr>
      </w:pPr>
    </w:p>
    <w:p>
      <w:pPr>
        <w:ind w:left="360" w:right="380"/>
        <w:spacing w:after="0" w:line="233" w:lineRule="auto"/>
        <w:rPr>
          <w:sz w:val="20"/>
          <w:szCs w:val="20"/>
          <w:color w:val="auto"/>
        </w:rPr>
      </w:pPr>
      <w:r>
        <w:rPr>
          <w:rFonts w:ascii="Arial" w:cs="Arial" w:eastAsia="Arial" w:hAnsi="Arial"/>
          <w:sz w:val="38"/>
          <w:szCs w:val="38"/>
          <w:color w:val="0C3471"/>
        </w:rPr>
        <w:t>as the Independent Auditor of Pentair plc and to Authorize, by Binding Vote, the Audit and Finance Committee of the Board of Directors to Set the Auditor’s Remuneration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5" w:lineRule="exact"/>
        <w:rPr>
          <w:sz w:val="20"/>
          <w:szCs w:val="20"/>
          <w:color w:val="auto"/>
        </w:rPr>
      </w:pPr>
    </w:p>
    <w:p>
      <w:pPr>
        <w:ind w:right="400"/>
        <w:spacing w:after="0" w:line="276" w:lineRule="auto"/>
        <w:rPr>
          <w:sz w:val="20"/>
          <w:szCs w:val="20"/>
          <w:color w:val="auto"/>
        </w:rPr>
      </w:pPr>
      <w:r>
        <w:rPr>
          <w:rFonts w:ascii="Arial" w:cs="Arial" w:eastAsia="Arial" w:hAnsi="Arial"/>
          <w:sz w:val="12"/>
          <w:szCs w:val="12"/>
          <w:color w:val="auto"/>
        </w:rPr>
        <w:t xml:space="preserve">The Board recommends a vote </w:t>
      </w:r>
      <w:r>
        <w:rPr>
          <w:rFonts w:ascii="Arial" w:cs="Arial" w:eastAsia="Arial" w:hAnsi="Arial"/>
          <w:sz w:val="12"/>
          <w:szCs w:val="12"/>
          <w:b w:val="1"/>
          <w:bCs w:val="1"/>
          <w:color w:val="0C3471"/>
        </w:rPr>
        <w:t>FOR</w:t>
      </w:r>
      <w:r>
        <w:rPr>
          <w:rFonts w:ascii="Arial" w:cs="Arial" w:eastAsia="Arial" w:hAnsi="Arial"/>
          <w:sz w:val="12"/>
          <w:szCs w:val="12"/>
          <w:color w:val="auto"/>
        </w:rPr>
        <w:t xml:space="preserve"> the ratification of the appointment of Deloitte &amp; Touche LLP as the independent auditor of Pentair plc and the authorization of the Audit and Finance Committee to set the auditor’s remuneration</w:t>
      </w:r>
    </w:p>
    <w:p>
      <w:pPr>
        <w:spacing w:after="0" w:line="2310" w:lineRule="exact"/>
        <w:rPr>
          <w:sz w:val="20"/>
          <w:szCs w:val="20"/>
          <w:color w:val="auto"/>
        </w:rPr>
      </w:pPr>
    </w:p>
    <w:p>
      <w:pPr>
        <w:sectPr>
          <w:pgSz w:w="11900" w:h="16838" w:orient="portrait"/>
          <w:cols w:equalWidth="0" w:num="2">
            <w:col w:w="7600" w:space="400"/>
            <w:col w:w="3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360" w:right="400"/>
        <w:spacing w:after="0" w:line="256" w:lineRule="auto"/>
        <w:rPr>
          <w:sz w:val="20"/>
          <w:szCs w:val="20"/>
          <w:color w:val="auto"/>
        </w:rPr>
      </w:pPr>
      <w:r>
        <w:rPr>
          <w:rFonts w:ascii="Arial" w:cs="Arial" w:eastAsia="Arial" w:hAnsi="Arial"/>
          <w:sz w:val="16"/>
          <w:szCs w:val="16"/>
          <w:color w:val="auto"/>
        </w:rPr>
        <w:t>The Audit and Finance Committee has selected and appointed Deloitte &amp; Touche LLP (“D&amp;T”) to audit our financial statements for the fiscal year ending December 31, 2026. The Board, upon the recommendation of the Audit and Finance Committee, is asking our shareholders to ratify, by nonbinding, advisory vote, the appointment and to authorize, by binding vote, the Audit and Finance Committee of the Board of Directors to set the independent auditor’s remuneration. Although approval is not required by our Articles of Association or otherwise, the Board is submitting the appointment of D&amp;T to our shareholders because we value our shareholders’ views on our independent auditor. If the appointment of D&amp;T is not ratified by shareholders, it will be considered as notice to the Board and the Audit and Finance Committee to consider the selection of a different firm. Even if the appointment is ratified, the Audit and Finance Committee in its discretion may select a different independent auditor at any</w:t>
      </w:r>
    </w:p>
    <w:p>
      <w:pPr>
        <w:spacing w:after="0" w:line="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time during the year if it determines that such a change would be in the best interests of our company and our shareholders.</w:t>
      </w:r>
    </w:p>
    <w:p>
      <w:pPr>
        <w:spacing w:after="0" w:line="101" w:lineRule="exact"/>
        <w:rPr>
          <w:sz w:val="20"/>
          <w:szCs w:val="20"/>
          <w:color w:val="auto"/>
        </w:rPr>
      </w:pPr>
    </w:p>
    <w:p>
      <w:pPr>
        <w:ind w:left="360" w:right="620"/>
        <w:spacing w:after="0" w:line="304" w:lineRule="auto"/>
        <w:rPr>
          <w:sz w:val="20"/>
          <w:szCs w:val="20"/>
          <w:color w:val="auto"/>
        </w:rPr>
      </w:pPr>
      <w:r>
        <w:rPr>
          <w:rFonts w:ascii="Arial" w:cs="Arial" w:eastAsia="Arial" w:hAnsi="Arial"/>
          <w:sz w:val="16"/>
          <w:szCs w:val="16"/>
          <w:color w:val="auto"/>
        </w:rPr>
        <w:t>The Audit and Finance Committee is directly responsible for the appointment, compensation, retention and oversight of the independent auditor retained to audit our financial statements. D&amp;T has been retained as our independent auditor continuously since 1977.</w:t>
      </w:r>
    </w:p>
    <w:p>
      <w:pPr>
        <w:spacing w:after="0" w:line="33" w:lineRule="exact"/>
        <w:rPr>
          <w:sz w:val="20"/>
          <w:szCs w:val="20"/>
          <w:color w:val="auto"/>
        </w:rPr>
      </w:pPr>
    </w:p>
    <w:p>
      <w:pPr>
        <w:ind w:left="360" w:right="720"/>
        <w:spacing w:after="0" w:line="265" w:lineRule="auto"/>
        <w:rPr>
          <w:sz w:val="20"/>
          <w:szCs w:val="20"/>
          <w:color w:val="auto"/>
        </w:rPr>
      </w:pPr>
      <w:r>
        <w:rPr>
          <w:rFonts w:ascii="Arial" w:cs="Arial" w:eastAsia="Arial" w:hAnsi="Arial"/>
          <w:sz w:val="16"/>
          <w:szCs w:val="16"/>
          <w:color w:val="auto"/>
        </w:rPr>
        <w:t>The Audit and Finance Committee is responsible for the audit fee negotiations associated with our retention of D&amp;T. In connection with the mandated rotation of D&amp;T’s lead engagement partner, the Audit and Finance Committee and its Chair are directly involved in the selection of D&amp;T’s new lead engagement partner. The members of the Audit and Finance Committee and the Board believe that the continued retention of D&amp;T to serve as our independent auditor is in our and our shareholders’ best interests.</w:t>
      </w:r>
    </w:p>
    <w:p>
      <w:pPr>
        <w:spacing w:after="0" w:line="65" w:lineRule="exact"/>
        <w:rPr>
          <w:sz w:val="20"/>
          <w:szCs w:val="20"/>
          <w:color w:val="auto"/>
        </w:rPr>
      </w:pPr>
    </w:p>
    <w:p>
      <w:pPr>
        <w:ind w:left="360" w:right="680"/>
        <w:spacing w:after="0" w:line="304" w:lineRule="auto"/>
        <w:rPr>
          <w:sz w:val="20"/>
          <w:szCs w:val="20"/>
          <w:color w:val="auto"/>
        </w:rPr>
      </w:pPr>
      <w:r>
        <w:rPr>
          <w:rFonts w:ascii="Arial" w:cs="Arial" w:eastAsia="Arial" w:hAnsi="Arial"/>
          <w:sz w:val="16"/>
          <w:szCs w:val="16"/>
          <w:color w:val="auto"/>
        </w:rPr>
        <w:t>We expect that one or more representatives of D&amp;T will be present at the Annual General Meeting. Each of these representatives will have the opportunity to make a statement, if he or she desires, and is expected to be available to respond to any appropriate questions.</w:t>
      </w:r>
    </w:p>
    <w:p>
      <w:pPr>
        <w:spacing w:after="0" w:line="33"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text of the resolution with respect to Proposal 3 is as follows:</w:t>
      </w:r>
    </w:p>
    <w:p>
      <w:pPr>
        <w:spacing w:after="0" w:line="127" w:lineRule="exact"/>
        <w:rPr>
          <w:sz w:val="20"/>
          <w:szCs w:val="20"/>
          <w:color w:val="auto"/>
        </w:rPr>
      </w:pPr>
    </w:p>
    <w:p>
      <w:pPr>
        <w:ind w:left="360" w:right="560"/>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IT IS RESOLVED</w:t>
      </w:r>
      <w:r>
        <w:rPr>
          <w:rFonts w:ascii="Arial" w:cs="Arial" w:eastAsia="Arial" w:hAnsi="Arial"/>
          <w:sz w:val="16"/>
          <w:szCs w:val="16"/>
          <w:color w:val="auto"/>
        </w:rPr>
        <w:t>, to ratify, on a nonbinding, advisory basis, the appointment of Deloitte &amp; Touche LLP as the independent auditor of Pentair plc and to authorize, in a binding vote, the Audit and Finance Committee to set the auditor’s remuneration.”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6686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132320" cy="668655"/>
                    </a:xfrm>
                    <a:prstGeom prst="rect">
                      <a:avLst/>
                    </a:prstGeom>
                    <a:noFill/>
                  </pic:spPr>
                </pic:pic>
              </a:graphicData>
            </a:graphic>
          </wp:anchor>
        </w:drawing>
      </w:r>
    </w:p>
    <w:p>
      <w:pPr>
        <w:spacing w:after="0" w:line="351" w:lineRule="exact"/>
        <w:rPr>
          <w:sz w:val="20"/>
          <w:szCs w:val="20"/>
          <w:color w:val="auto"/>
        </w:rPr>
      </w:pPr>
    </w:p>
    <w:p>
      <w:pPr>
        <w:ind w:left="360" w:right="640"/>
        <w:spacing w:after="0" w:line="258" w:lineRule="auto"/>
        <w:rPr>
          <w:sz w:val="20"/>
          <w:szCs w:val="20"/>
          <w:color w:val="auto"/>
        </w:rPr>
      </w:pPr>
      <w:r>
        <w:rPr>
          <w:rFonts w:ascii="Arial" w:cs="Arial" w:eastAsia="Arial" w:hAnsi="Arial"/>
          <w:sz w:val="22"/>
          <w:szCs w:val="22"/>
          <w:color w:val="FFFFFF"/>
        </w:rPr>
        <w:t xml:space="preserve">Each of the Board and the Audit and Finance Committee recommends a vote </w:t>
      </w:r>
      <w:r>
        <w:rPr>
          <w:rFonts w:ascii="Arial" w:cs="Arial" w:eastAsia="Arial" w:hAnsi="Arial"/>
          <w:sz w:val="22"/>
          <w:szCs w:val="22"/>
          <w:b w:val="1"/>
          <w:bCs w:val="1"/>
          <w:color w:val="FFFFFF"/>
        </w:rPr>
        <w:t>FOR</w:t>
      </w:r>
      <w:r>
        <w:rPr>
          <w:rFonts w:ascii="Arial" w:cs="Arial" w:eastAsia="Arial" w:hAnsi="Arial"/>
          <w:sz w:val="22"/>
          <w:szCs w:val="22"/>
          <w:color w:val="FFFFFF"/>
        </w:rPr>
        <w:t xml:space="preserve"> the ratification of the appointment of Deloitte &amp; Touche LLP as the independent auditor of Pentair plc and the authorization of the Audit and Finance Committee to set the auditor’s remuneration.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10780" w:type="dxa"/>
            <w:vAlign w:val="bottom"/>
          </w:tcPr>
          <w:p>
            <w:pPr>
              <w:ind w:left="8260"/>
              <w:spacing w:after="0"/>
              <w:rPr>
                <w:sz w:val="20"/>
                <w:szCs w:val="20"/>
                <w:color w:val="auto"/>
              </w:rPr>
            </w:pPr>
            <w:r>
              <w:rPr>
                <w:rFonts w:ascii="Arial" w:cs="Arial" w:eastAsia="Arial" w:hAnsi="Arial"/>
                <w:sz w:val="16"/>
                <w:szCs w:val="16"/>
                <w:b w:val="1"/>
                <w:bCs w:val="1"/>
                <w:color w:val="auto"/>
              </w:rPr>
              <w:t xml:space="preserve">2026 Proxy Statement </w:t>
            </w:r>
            <w:r>
              <w:rPr>
                <w:rFonts w:ascii="Arial" w:cs="Arial" w:eastAsia="Arial" w:hAnsi="Arial"/>
                <w:sz w:val="16"/>
                <w:szCs w:val="16"/>
                <w:b w:val="1"/>
                <w:bCs w:val="1"/>
                <w:color w:val="0C3471"/>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Pentair</w:t>
            </w:r>
          </w:p>
        </w:tc>
        <w:tc>
          <w:tcPr>
            <w:tcW w:w="460" w:type="dxa"/>
            <w:vAlign w:val="bottom"/>
          </w:tcPr>
          <w:p>
            <w:pPr>
              <w:jc w:val="right"/>
              <w:spacing w:after="0"/>
              <w:rPr>
                <w:sz w:val="20"/>
                <w:szCs w:val="20"/>
                <w:color w:val="auto"/>
              </w:rPr>
            </w:pPr>
            <w:r>
              <w:rPr>
                <w:rFonts w:ascii="Arial" w:cs="Arial" w:eastAsia="Arial" w:hAnsi="Arial"/>
                <w:sz w:val="16"/>
                <w:szCs w:val="16"/>
                <w:b w:val="1"/>
                <w:bCs w:val="1"/>
                <w:color w:val="auto"/>
              </w:rPr>
              <w:t>75</w:t>
            </w:r>
          </w:p>
        </w:tc>
      </w:tr>
      <w:tr>
        <w:trPr>
          <w:trHeight w:val="325"/>
        </w:trPr>
        <w:tc>
          <w:tcPr>
            <w:tcW w:w="107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77" w:name="page78"/>
    <w:bookmarkEnd w:id="77"/>
    <w:p>
      <w:pPr>
        <w:ind w:left="1080"/>
        <w:spacing w:after="0"/>
        <w:rPr>
          <w:sz w:val="20"/>
          <w:szCs w:val="20"/>
          <w:color w:val="auto"/>
        </w:rPr>
      </w:pPr>
      <w:r>
        <w:rPr>
          <w:rFonts w:ascii="Arial" w:cs="Arial" w:eastAsia="Arial" w:hAnsi="Arial"/>
          <w:sz w:val="43"/>
          <w:szCs w:val="43"/>
          <w:b w:val="1"/>
          <w:bCs w:val="1"/>
          <w:color w:val="0C3471"/>
        </w:rPr>
        <w:t>Audit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-277495</wp:posOffset>
            </wp:positionV>
            <wp:extent cx="445770" cy="47180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445770" cy="471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32"/>
          <w:szCs w:val="32"/>
          <w:color w:val="0C3471"/>
        </w:rPr>
        <w:t>Audit and Finance Committee Pre-approval Policy</w:t>
      </w:r>
    </w:p>
    <w:p>
      <w:pPr>
        <w:spacing w:after="0" w:line="132" w:lineRule="exact"/>
        <w:rPr>
          <w:sz w:val="20"/>
          <w:szCs w:val="20"/>
          <w:color w:val="auto"/>
        </w:rPr>
      </w:pPr>
    </w:p>
    <w:p>
      <w:pPr>
        <w:ind w:right="100"/>
        <w:spacing w:after="0" w:line="282" w:lineRule="auto"/>
        <w:rPr>
          <w:sz w:val="20"/>
          <w:szCs w:val="20"/>
          <w:color w:val="auto"/>
        </w:rPr>
      </w:pPr>
      <w:r>
        <w:rPr>
          <w:rFonts w:ascii="Arial" w:cs="Arial" w:eastAsia="Arial" w:hAnsi="Arial"/>
          <w:sz w:val="16"/>
          <w:szCs w:val="16"/>
          <w:color w:val="auto"/>
        </w:rPr>
        <w:t>The Audit and Finance Committee reviews and approves the external auditor’s engagement and audit plan, including fees, scope, staffing and timing of work. In addition, the Audit and Finance Committee Charter limits the types of non-audit services that may be provided by the independent auditors. Any permitted non-audit services to be performed by the independent auditors must be pre-approved by the Audit and Finance Committee after it is advised of the nature of the engagement and particular services to be provided. The Audit and Finance Committee pre-approved audit fees and all permitted non-audit services of the independent auditor in 2025. Responsibility for this pre-approval may be delegated to one or more members of the Audit and Finance Committee; all such approvals, however, must be disclosed to the Audit and Finance Committee at its next regularly scheduled meeting. The Audit and Finance Committee may not delegate authority for pre-approvals to management.</w:t>
      </w:r>
    </w:p>
    <w:p>
      <w:pPr>
        <w:spacing w:after="0" w:line="282" w:lineRule="exact"/>
        <w:rPr>
          <w:sz w:val="20"/>
          <w:szCs w:val="20"/>
          <w:color w:val="auto"/>
        </w:rPr>
      </w:pPr>
    </w:p>
    <w:p>
      <w:pPr>
        <w:spacing w:after="0"/>
        <w:rPr>
          <w:sz w:val="20"/>
          <w:szCs w:val="20"/>
          <w:color w:val="auto"/>
        </w:rPr>
      </w:pPr>
      <w:r>
        <w:rPr>
          <w:rFonts w:ascii="Arial" w:cs="Arial" w:eastAsia="Arial" w:hAnsi="Arial"/>
          <w:sz w:val="32"/>
          <w:szCs w:val="32"/>
          <w:color w:val="0C3471"/>
        </w:rPr>
        <w:t>Fees Paid to the Independent Auditors</w:t>
      </w:r>
    </w:p>
    <w:p>
      <w:pPr>
        <w:spacing w:after="0" w:line="132" w:lineRule="exact"/>
        <w:rPr>
          <w:sz w:val="20"/>
          <w:szCs w:val="20"/>
          <w:color w:val="auto"/>
        </w:rPr>
      </w:pPr>
    </w:p>
    <w:p>
      <w:pPr>
        <w:ind w:right="180"/>
        <w:spacing w:after="0" w:line="289" w:lineRule="auto"/>
        <w:rPr>
          <w:sz w:val="20"/>
          <w:szCs w:val="20"/>
          <w:color w:val="auto"/>
        </w:rPr>
      </w:pPr>
      <w:r>
        <w:rPr>
          <w:rFonts w:ascii="Arial" w:cs="Arial" w:eastAsia="Arial" w:hAnsi="Arial"/>
          <w:sz w:val="16"/>
          <w:szCs w:val="16"/>
          <w:color w:val="auto"/>
        </w:rPr>
        <w:t>We engaged D&amp;T, Deloitte &amp; Touche (Ireland), and the member firms of Deloitte Touche Tohmatsu and their respective affiliates (collectively, the “Deloitte Entities”) to provide various audit, audit-related, tax and other permitted non-audit services to us during fiscal years 2025 and 2024. The Audit and Finance Committee approved all fees paid to the Deloitte Entities and underlying services provided by the Deloitte Entities. Their fees for these services were as follows (in thousands):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440" w:type="dxa"/>
            <w:vAlign w:val="bottom"/>
            <w:tcBorders>
              <w:bottom w:val="single" w:sz="8" w:color="0C3471"/>
            </w:tcBorders>
          </w:tcPr>
          <w:p>
            <w:pPr>
              <w:spacing w:after="0"/>
              <w:rPr>
                <w:sz w:val="17"/>
                <w:szCs w:val="17"/>
                <w:color w:val="auto"/>
              </w:rPr>
            </w:pPr>
          </w:p>
        </w:tc>
        <w:tc>
          <w:tcPr>
            <w:tcW w:w="4200" w:type="dxa"/>
            <w:vAlign w:val="bottom"/>
            <w:tcBorders>
              <w:bottom w:val="single" w:sz="8" w:color="0C3471"/>
            </w:tcBorders>
          </w:tcPr>
          <w:p>
            <w:pPr>
              <w:spacing w:after="0"/>
              <w:rPr>
                <w:sz w:val="17"/>
                <w:szCs w:val="17"/>
                <w:color w:val="auto"/>
              </w:rPr>
            </w:pPr>
          </w:p>
        </w:tc>
        <w:tc>
          <w:tcPr>
            <w:tcW w:w="700" w:type="dxa"/>
            <w:vAlign w:val="bottom"/>
            <w:tcBorders>
              <w:bottom w:val="single" w:sz="8" w:color="0C3471"/>
            </w:tcBorders>
          </w:tcPr>
          <w:p>
            <w:pPr>
              <w:jc w:val="right"/>
              <w:ind w:right="60"/>
              <w:spacing w:after="0"/>
              <w:rPr>
                <w:sz w:val="20"/>
                <w:szCs w:val="20"/>
                <w:color w:val="auto"/>
              </w:rPr>
            </w:pPr>
            <w:r>
              <w:rPr>
                <w:rFonts w:ascii="Arial" w:cs="Arial" w:eastAsia="Arial" w:hAnsi="Arial"/>
                <w:sz w:val="14"/>
                <w:szCs w:val="14"/>
                <w:b w:val="1"/>
                <w:bCs w:val="1"/>
                <w:color w:val="auto"/>
              </w:rPr>
              <w:t>2025</w:t>
            </w:r>
          </w:p>
        </w:tc>
        <w:tc>
          <w:tcPr>
            <w:tcW w:w="340" w:type="dxa"/>
            <w:vAlign w:val="bottom"/>
            <w:tcBorders>
              <w:bottom w:val="single" w:sz="8" w:color="0C3471"/>
            </w:tcBorders>
          </w:tcPr>
          <w:p>
            <w:pPr>
              <w:spacing w:after="0"/>
              <w:rPr>
                <w:sz w:val="17"/>
                <w:szCs w:val="17"/>
                <w:color w:val="auto"/>
              </w:rPr>
            </w:pPr>
          </w:p>
        </w:tc>
        <w:tc>
          <w:tcPr>
            <w:tcW w:w="560" w:type="dxa"/>
            <w:vAlign w:val="bottom"/>
            <w:tcBorders>
              <w:bottom w:val="single" w:sz="8" w:color="0C3471"/>
            </w:tcBorders>
          </w:tcPr>
          <w:p>
            <w:pPr>
              <w:jc w:val="right"/>
              <w:spacing w:after="0"/>
              <w:rPr>
                <w:sz w:val="20"/>
                <w:szCs w:val="20"/>
                <w:color w:val="auto"/>
              </w:rPr>
            </w:pPr>
            <w:r>
              <w:rPr>
                <w:rFonts w:ascii="Arial" w:cs="Arial" w:eastAsia="Arial" w:hAnsi="Arial"/>
                <w:sz w:val="14"/>
                <w:szCs w:val="14"/>
                <w:b w:val="1"/>
                <w:bCs w:val="1"/>
                <w:color w:val="auto"/>
              </w:rPr>
              <w:t>2024</w:t>
            </w:r>
          </w:p>
        </w:tc>
      </w:tr>
      <w:tr>
        <w:trPr>
          <w:trHeight w:val="270"/>
        </w:trPr>
        <w:tc>
          <w:tcPr>
            <w:tcW w:w="5440" w:type="dxa"/>
            <w:vAlign w:val="bottom"/>
            <w:tcBorders>
              <w:bottom w:val="single" w:sz="8" w:color="BCBEC0"/>
            </w:tcBorders>
          </w:tcPr>
          <w:p>
            <w:pPr>
              <w:ind w:left="20"/>
              <w:spacing w:after="0"/>
              <w:rPr>
                <w:sz w:val="20"/>
                <w:szCs w:val="20"/>
                <w:color w:val="auto"/>
              </w:rPr>
            </w:pPr>
            <w:r>
              <w:rPr>
                <w:rFonts w:ascii="Arial" w:cs="Arial" w:eastAsia="Arial" w:hAnsi="Arial"/>
                <w:sz w:val="16"/>
                <w:szCs w:val="16"/>
                <w:color w:val="auto"/>
              </w:rPr>
              <w:t>Audit fees</w:t>
            </w:r>
            <w:r>
              <w:rPr>
                <w:rFonts w:ascii="Arial" w:cs="Arial" w:eastAsia="Arial" w:hAnsi="Arial"/>
                <w:sz w:val="21"/>
                <w:szCs w:val="21"/>
                <w:color w:val="auto"/>
                <w:vertAlign w:val="superscript"/>
              </w:rPr>
              <w:t>(1)</w:t>
            </w:r>
          </w:p>
        </w:tc>
        <w:tc>
          <w:tcPr>
            <w:tcW w:w="4200" w:type="dxa"/>
            <w:vAlign w:val="bottom"/>
            <w:tcBorders>
              <w:bottom w:val="single" w:sz="8" w:color="BCBEC0"/>
            </w:tcBorders>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BCBEC0"/>
            </w:tcBorders>
          </w:tcPr>
          <w:p>
            <w:pPr>
              <w:jc w:val="right"/>
              <w:ind w:right="120"/>
              <w:spacing w:after="0"/>
              <w:rPr>
                <w:sz w:val="20"/>
                <w:szCs w:val="20"/>
                <w:color w:val="auto"/>
              </w:rPr>
            </w:pPr>
            <w:r>
              <w:rPr>
                <w:rFonts w:ascii="Arial" w:cs="Arial" w:eastAsia="Arial" w:hAnsi="Arial"/>
                <w:sz w:val="16"/>
                <w:szCs w:val="16"/>
                <w:color w:val="auto"/>
              </w:rPr>
              <w:t>6,630</w:t>
            </w:r>
          </w:p>
        </w:tc>
        <w:tc>
          <w:tcPr>
            <w:tcW w:w="340" w:type="dxa"/>
            <w:vAlign w:val="bottom"/>
            <w:tcBorders>
              <w:bottom w:val="single" w:sz="8" w:color="BCBEC0"/>
            </w:tcBorders>
          </w:tcPr>
          <w:p>
            <w:pPr>
              <w:jc w:val="right"/>
              <w:ind w:right="19"/>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BCBEC0"/>
            </w:tcBorders>
          </w:tcPr>
          <w:p>
            <w:pPr>
              <w:jc w:val="right"/>
              <w:spacing w:after="0"/>
              <w:rPr>
                <w:sz w:val="20"/>
                <w:szCs w:val="20"/>
                <w:color w:val="auto"/>
              </w:rPr>
            </w:pPr>
            <w:r>
              <w:rPr>
                <w:rFonts w:ascii="Arial" w:cs="Arial" w:eastAsia="Arial" w:hAnsi="Arial"/>
                <w:sz w:val="16"/>
                <w:szCs w:val="16"/>
                <w:color w:val="auto"/>
              </w:rPr>
              <w:t>6,360</w:t>
            </w:r>
          </w:p>
        </w:tc>
      </w:tr>
      <w:tr>
        <w:trPr>
          <w:trHeight w:val="264"/>
        </w:trPr>
        <w:tc>
          <w:tcPr>
            <w:tcW w:w="5440" w:type="dxa"/>
            <w:vAlign w:val="bottom"/>
            <w:tcBorders>
              <w:bottom w:val="single" w:sz="8" w:color="BCBEC0"/>
            </w:tcBorders>
          </w:tcPr>
          <w:p>
            <w:pPr>
              <w:ind w:left="20"/>
              <w:spacing w:after="0"/>
              <w:rPr>
                <w:sz w:val="20"/>
                <w:szCs w:val="20"/>
                <w:color w:val="auto"/>
              </w:rPr>
            </w:pPr>
            <w:r>
              <w:rPr>
                <w:rFonts w:ascii="Arial" w:cs="Arial" w:eastAsia="Arial" w:hAnsi="Arial"/>
                <w:sz w:val="16"/>
                <w:szCs w:val="16"/>
                <w:color w:val="auto"/>
              </w:rPr>
              <w:t>Audit-related fees</w:t>
            </w:r>
            <w:r>
              <w:rPr>
                <w:rFonts w:ascii="Arial" w:cs="Arial" w:eastAsia="Arial" w:hAnsi="Arial"/>
                <w:sz w:val="21"/>
                <w:szCs w:val="21"/>
                <w:color w:val="auto"/>
                <w:vertAlign w:val="superscript"/>
              </w:rPr>
              <w:t>(2)</w:t>
            </w:r>
          </w:p>
        </w:tc>
        <w:tc>
          <w:tcPr>
            <w:tcW w:w="4200" w:type="dxa"/>
            <w:vAlign w:val="bottom"/>
            <w:tcBorders>
              <w:bottom w:val="single" w:sz="8" w:color="BCBEC0"/>
            </w:tcBorders>
          </w:tcPr>
          <w:p>
            <w:pPr>
              <w:spacing w:after="0"/>
              <w:rPr>
                <w:sz w:val="22"/>
                <w:szCs w:val="22"/>
                <w:color w:val="auto"/>
              </w:rPr>
            </w:pPr>
          </w:p>
        </w:tc>
        <w:tc>
          <w:tcPr>
            <w:tcW w:w="700" w:type="dxa"/>
            <w:vAlign w:val="bottom"/>
            <w:tcBorders>
              <w:bottom w:val="single" w:sz="8" w:color="BCBEC0"/>
            </w:tcBorders>
          </w:tcPr>
          <w:p>
            <w:pPr>
              <w:jc w:val="right"/>
              <w:ind w:right="120"/>
              <w:spacing w:after="0"/>
              <w:rPr>
                <w:sz w:val="20"/>
                <w:szCs w:val="20"/>
                <w:color w:val="auto"/>
              </w:rPr>
            </w:pPr>
            <w:r>
              <w:rPr>
                <w:rFonts w:ascii="Arial" w:cs="Arial" w:eastAsia="Arial" w:hAnsi="Arial"/>
                <w:sz w:val="16"/>
                <w:szCs w:val="16"/>
                <w:color w:val="auto"/>
              </w:rPr>
              <w:t>415</w:t>
            </w:r>
          </w:p>
        </w:tc>
        <w:tc>
          <w:tcPr>
            <w:tcW w:w="340" w:type="dxa"/>
            <w:vAlign w:val="bottom"/>
            <w:tcBorders>
              <w:bottom w:val="single" w:sz="8" w:color="BCBEC0"/>
            </w:tcBorders>
          </w:tcPr>
          <w:p>
            <w:pPr>
              <w:spacing w:after="0"/>
              <w:rPr>
                <w:sz w:val="22"/>
                <w:szCs w:val="22"/>
                <w:color w:val="auto"/>
              </w:rPr>
            </w:pPr>
          </w:p>
        </w:tc>
        <w:tc>
          <w:tcPr>
            <w:tcW w:w="560" w:type="dxa"/>
            <w:vAlign w:val="bottom"/>
            <w:tcBorders>
              <w:bottom w:val="single" w:sz="8" w:color="BCBEC0"/>
            </w:tcBorders>
          </w:tcPr>
          <w:p>
            <w:pPr>
              <w:jc w:val="right"/>
              <w:spacing w:after="0"/>
              <w:rPr>
                <w:sz w:val="20"/>
                <w:szCs w:val="20"/>
                <w:color w:val="auto"/>
              </w:rPr>
            </w:pPr>
            <w:r>
              <w:rPr>
                <w:rFonts w:ascii="Arial" w:cs="Arial" w:eastAsia="Arial" w:hAnsi="Arial"/>
                <w:sz w:val="16"/>
                <w:szCs w:val="16"/>
                <w:color w:val="auto"/>
              </w:rPr>
              <w:t>295</w:t>
            </w:r>
          </w:p>
        </w:tc>
      </w:tr>
      <w:tr>
        <w:trPr>
          <w:trHeight w:val="236"/>
        </w:trPr>
        <w:tc>
          <w:tcPr>
            <w:tcW w:w="5440" w:type="dxa"/>
            <w:vAlign w:val="bottom"/>
            <w:tcBorders>
              <w:bottom w:val="single" w:sz="8" w:color="BCBEC0"/>
            </w:tcBorders>
          </w:tcPr>
          <w:p>
            <w:pPr>
              <w:ind w:left="20"/>
              <w:spacing w:after="0" w:line="237" w:lineRule="exact"/>
              <w:rPr>
                <w:sz w:val="20"/>
                <w:szCs w:val="20"/>
                <w:color w:val="auto"/>
              </w:rPr>
            </w:pPr>
            <w:r>
              <w:rPr>
                <w:rFonts w:ascii="Arial" w:cs="Arial" w:eastAsia="Arial" w:hAnsi="Arial"/>
                <w:sz w:val="16"/>
                <w:szCs w:val="16"/>
                <w:color w:val="auto"/>
              </w:rPr>
              <w:t>Tax fees</w:t>
            </w:r>
            <w:r>
              <w:rPr>
                <w:rFonts w:ascii="Arial" w:cs="Arial" w:eastAsia="Arial" w:hAnsi="Arial"/>
                <w:sz w:val="21"/>
                <w:szCs w:val="21"/>
                <w:color w:val="auto"/>
                <w:vertAlign w:val="superscript"/>
              </w:rPr>
              <w:t>(3)</w:t>
            </w:r>
          </w:p>
        </w:tc>
        <w:tc>
          <w:tcPr>
            <w:tcW w:w="4200" w:type="dxa"/>
            <w:vAlign w:val="bottom"/>
            <w:tcBorders>
              <w:bottom w:val="single" w:sz="8" w:color="BCBEC0"/>
            </w:tcBorders>
          </w:tcPr>
          <w:p>
            <w:pPr>
              <w:spacing w:after="0"/>
              <w:rPr>
                <w:sz w:val="20"/>
                <w:szCs w:val="20"/>
                <w:color w:val="auto"/>
              </w:rPr>
            </w:pPr>
          </w:p>
        </w:tc>
        <w:tc>
          <w:tcPr>
            <w:tcW w:w="700" w:type="dxa"/>
            <w:vAlign w:val="bottom"/>
            <w:tcBorders>
              <w:bottom w:val="single" w:sz="8" w:color="BCBEC0"/>
            </w:tcBorders>
          </w:tcPr>
          <w:p>
            <w:pPr>
              <w:spacing w:after="0"/>
              <w:rPr>
                <w:sz w:val="20"/>
                <w:szCs w:val="20"/>
                <w:color w:val="auto"/>
              </w:rPr>
            </w:pPr>
          </w:p>
        </w:tc>
        <w:tc>
          <w:tcPr>
            <w:tcW w:w="340" w:type="dxa"/>
            <w:vAlign w:val="bottom"/>
            <w:tcBorders>
              <w:bottom w:val="single" w:sz="8" w:color="BCBEC0"/>
            </w:tcBorders>
          </w:tcPr>
          <w:p>
            <w:pPr>
              <w:spacing w:after="0"/>
              <w:rPr>
                <w:sz w:val="20"/>
                <w:szCs w:val="20"/>
                <w:color w:val="auto"/>
              </w:rPr>
            </w:pPr>
          </w:p>
        </w:tc>
        <w:tc>
          <w:tcPr>
            <w:tcW w:w="560" w:type="dxa"/>
            <w:vAlign w:val="bottom"/>
            <w:tcBorders>
              <w:bottom w:val="single" w:sz="8" w:color="BCBEC0"/>
            </w:tcBorders>
          </w:tcPr>
          <w:p>
            <w:pPr>
              <w:spacing w:after="0"/>
              <w:rPr>
                <w:sz w:val="20"/>
                <w:szCs w:val="20"/>
                <w:color w:val="auto"/>
              </w:rPr>
            </w:pPr>
          </w:p>
        </w:tc>
      </w:tr>
      <w:tr>
        <w:trPr>
          <w:trHeight w:val="257"/>
        </w:trPr>
        <w:tc>
          <w:tcPr>
            <w:tcW w:w="5440" w:type="dxa"/>
            <w:vAlign w:val="bottom"/>
            <w:tcBorders>
              <w:bottom w:val="single" w:sz="8" w:color="BCBEC0"/>
            </w:tcBorders>
          </w:tcPr>
          <w:p>
            <w:pPr>
              <w:ind w:left="180"/>
              <w:spacing w:after="0"/>
              <w:rPr>
                <w:sz w:val="20"/>
                <w:szCs w:val="20"/>
                <w:color w:val="auto"/>
              </w:rPr>
            </w:pPr>
            <w:r>
              <w:rPr>
                <w:rFonts w:ascii="Arial" w:cs="Arial" w:eastAsia="Arial" w:hAnsi="Arial"/>
                <w:sz w:val="16"/>
                <w:szCs w:val="16"/>
                <w:color w:val="auto"/>
              </w:rPr>
              <w:t>Tax compliance</w:t>
            </w:r>
          </w:p>
        </w:tc>
        <w:tc>
          <w:tcPr>
            <w:tcW w:w="4200" w:type="dxa"/>
            <w:vAlign w:val="bottom"/>
            <w:tcBorders>
              <w:bottom w:val="single" w:sz="8" w:color="BCBEC0"/>
            </w:tcBorders>
          </w:tcPr>
          <w:p>
            <w:pPr>
              <w:spacing w:after="0"/>
              <w:rPr>
                <w:sz w:val="22"/>
                <w:szCs w:val="22"/>
                <w:color w:val="auto"/>
              </w:rPr>
            </w:pPr>
          </w:p>
        </w:tc>
        <w:tc>
          <w:tcPr>
            <w:tcW w:w="700" w:type="dxa"/>
            <w:vAlign w:val="bottom"/>
            <w:tcBorders>
              <w:bottom w:val="single" w:sz="8" w:color="BCBEC0"/>
            </w:tcBorders>
          </w:tcPr>
          <w:p>
            <w:pPr>
              <w:jc w:val="right"/>
              <w:ind w:right="120"/>
              <w:spacing w:after="0"/>
              <w:rPr>
                <w:sz w:val="20"/>
                <w:szCs w:val="20"/>
                <w:color w:val="auto"/>
              </w:rPr>
            </w:pPr>
            <w:r>
              <w:rPr>
                <w:rFonts w:ascii="Arial" w:cs="Arial" w:eastAsia="Arial" w:hAnsi="Arial"/>
                <w:sz w:val="16"/>
                <w:szCs w:val="16"/>
                <w:color w:val="auto"/>
              </w:rPr>
              <w:t>740</w:t>
            </w:r>
          </w:p>
        </w:tc>
        <w:tc>
          <w:tcPr>
            <w:tcW w:w="340" w:type="dxa"/>
            <w:vAlign w:val="bottom"/>
            <w:tcBorders>
              <w:bottom w:val="single" w:sz="8" w:color="BCBEC0"/>
            </w:tcBorders>
          </w:tcPr>
          <w:p>
            <w:pPr>
              <w:spacing w:after="0"/>
              <w:rPr>
                <w:sz w:val="22"/>
                <w:szCs w:val="22"/>
                <w:color w:val="auto"/>
              </w:rPr>
            </w:pPr>
          </w:p>
        </w:tc>
        <w:tc>
          <w:tcPr>
            <w:tcW w:w="560" w:type="dxa"/>
            <w:vAlign w:val="bottom"/>
            <w:tcBorders>
              <w:bottom w:val="single" w:sz="8" w:color="BCBEC0"/>
            </w:tcBorders>
          </w:tcPr>
          <w:p>
            <w:pPr>
              <w:jc w:val="right"/>
              <w:spacing w:after="0"/>
              <w:rPr>
                <w:sz w:val="20"/>
                <w:szCs w:val="20"/>
                <w:color w:val="auto"/>
              </w:rPr>
            </w:pPr>
            <w:r>
              <w:rPr>
                <w:rFonts w:ascii="Arial" w:cs="Arial" w:eastAsia="Arial" w:hAnsi="Arial"/>
                <w:sz w:val="16"/>
                <w:szCs w:val="16"/>
                <w:color w:val="auto"/>
              </w:rPr>
              <w:t>664</w:t>
            </w:r>
          </w:p>
        </w:tc>
      </w:tr>
      <w:tr>
        <w:trPr>
          <w:trHeight w:val="263"/>
        </w:trPr>
        <w:tc>
          <w:tcPr>
            <w:tcW w:w="5440" w:type="dxa"/>
            <w:vAlign w:val="bottom"/>
            <w:tcBorders>
              <w:bottom w:val="single" w:sz="8" w:color="BCBEC0"/>
            </w:tcBorders>
          </w:tcPr>
          <w:p>
            <w:pPr>
              <w:ind w:left="180"/>
              <w:spacing w:after="0"/>
              <w:rPr>
                <w:sz w:val="20"/>
                <w:szCs w:val="20"/>
                <w:color w:val="auto"/>
              </w:rPr>
            </w:pPr>
            <w:r>
              <w:rPr>
                <w:rFonts w:ascii="Arial" w:cs="Arial" w:eastAsia="Arial" w:hAnsi="Arial"/>
                <w:sz w:val="16"/>
                <w:szCs w:val="16"/>
                <w:color w:val="auto"/>
              </w:rPr>
              <w:t>Tax consulting</w:t>
            </w:r>
          </w:p>
        </w:tc>
        <w:tc>
          <w:tcPr>
            <w:tcW w:w="4200" w:type="dxa"/>
            <w:vAlign w:val="bottom"/>
            <w:tcBorders>
              <w:bottom w:val="single" w:sz="8" w:color="BCBEC0"/>
            </w:tcBorders>
          </w:tcPr>
          <w:p>
            <w:pPr>
              <w:spacing w:after="0"/>
              <w:rPr>
                <w:sz w:val="22"/>
                <w:szCs w:val="22"/>
                <w:color w:val="auto"/>
              </w:rPr>
            </w:pPr>
          </w:p>
        </w:tc>
        <w:tc>
          <w:tcPr>
            <w:tcW w:w="700" w:type="dxa"/>
            <w:vAlign w:val="bottom"/>
            <w:tcBorders>
              <w:bottom w:val="single" w:sz="8" w:color="BCBEC0"/>
            </w:tcBorders>
          </w:tcPr>
          <w:p>
            <w:pPr>
              <w:jc w:val="right"/>
              <w:ind w:right="120"/>
              <w:spacing w:after="0"/>
              <w:rPr>
                <w:sz w:val="20"/>
                <w:szCs w:val="20"/>
                <w:color w:val="auto"/>
              </w:rPr>
            </w:pPr>
            <w:r>
              <w:rPr>
                <w:rFonts w:ascii="Arial" w:cs="Arial" w:eastAsia="Arial" w:hAnsi="Arial"/>
                <w:sz w:val="16"/>
                <w:szCs w:val="16"/>
                <w:color w:val="auto"/>
              </w:rPr>
              <w:t>294</w:t>
            </w:r>
          </w:p>
        </w:tc>
        <w:tc>
          <w:tcPr>
            <w:tcW w:w="340" w:type="dxa"/>
            <w:vAlign w:val="bottom"/>
            <w:tcBorders>
              <w:bottom w:val="single" w:sz="8" w:color="BCBEC0"/>
            </w:tcBorders>
          </w:tcPr>
          <w:p>
            <w:pPr>
              <w:spacing w:after="0"/>
              <w:rPr>
                <w:sz w:val="22"/>
                <w:szCs w:val="22"/>
                <w:color w:val="auto"/>
              </w:rPr>
            </w:pPr>
          </w:p>
        </w:tc>
        <w:tc>
          <w:tcPr>
            <w:tcW w:w="560" w:type="dxa"/>
            <w:vAlign w:val="bottom"/>
            <w:tcBorders>
              <w:bottom w:val="single" w:sz="8" w:color="BCBEC0"/>
            </w:tcBorders>
          </w:tcPr>
          <w:p>
            <w:pPr>
              <w:jc w:val="right"/>
              <w:spacing w:after="0"/>
              <w:rPr>
                <w:sz w:val="20"/>
                <w:szCs w:val="20"/>
                <w:color w:val="auto"/>
              </w:rPr>
            </w:pPr>
            <w:r>
              <w:rPr>
                <w:rFonts w:ascii="Arial" w:cs="Arial" w:eastAsia="Arial" w:hAnsi="Arial"/>
                <w:sz w:val="16"/>
                <w:szCs w:val="16"/>
                <w:color w:val="auto"/>
              </w:rPr>
              <w:t>476</w:t>
            </w:r>
          </w:p>
        </w:tc>
      </w:tr>
      <w:tr>
        <w:trPr>
          <w:trHeight w:val="264"/>
        </w:trPr>
        <w:tc>
          <w:tcPr>
            <w:tcW w:w="5440" w:type="dxa"/>
            <w:vAlign w:val="bottom"/>
            <w:tcBorders>
              <w:bottom w:val="single" w:sz="8" w:color="BCBEC0"/>
            </w:tcBorders>
          </w:tcPr>
          <w:p>
            <w:pPr>
              <w:ind w:left="360"/>
              <w:spacing w:after="0"/>
              <w:rPr>
                <w:sz w:val="20"/>
                <w:szCs w:val="20"/>
                <w:color w:val="auto"/>
              </w:rPr>
            </w:pPr>
            <w:r>
              <w:rPr>
                <w:rFonts w:ascii="Arial" w:cs="Arial" w:eastAsia="Arial" w:hAnsi="Arial"/>
                <w:sz w:val="16"/>
                <w:szCs w:val="16"/>
                <w:color w:val="auto"/>
              </w:rPr>
              <w:t>Total tax fees</w:t>
            </w:r>
          </w:p>
        </w:tc>
        <w:tc>
          <w:tcPr>
            <w:tcW w:w="4200" w:type="dxa"/>
            <w:vAlign w:val="bottom"/>
            <w:tcBorders>
              <w:bottom w:val="single" w:sz="8" w:color="BCBEC0"/>
            </w:tcBorders>
          </w:tcPr>
          <w:p>
            <w:pPr>
              <w:spacing w:after="0"/>
              <w:rPr>
                <w:sz w:val="22"/>
                <w:szCs w:val="22"/>
                <w:color w:val="auto"/>
              </w:rPr>
            </w:pPr>
          </w:p>
        </w:tc>
        <w:tc>
          <w:tcPr>
            <w:tcW w:w="700" w:type="dxa"/>
            <w:vAlign w:val="bottom"/>
            <w:tcBorders>
              <w:bottom w:val="single" w:sz="8" w:color="BCBEC0"/>
            </w:tcBorders>
          </w:tcPr>
          <w:p>
            <w:pPr>
              <w:jc w:val="right"/>
              <w:ind w:right="120"/>
              <w:spacing w:after="0"/>
              <w:rPr>
                <w:sz w:val="20"/>
                <w:szCs w:val="20"/>
                <w:color w:val="auto"/>
              </w:rPr>
            </w:pPr>
            <w:r>
              <w:rPr>
                <w:rFonts w:ascii="Arial" w:cs="Arial" w:eastAsia="Arial" w:hAnsi="Arial"/>
                <w:sz w:val="16"/>
                <w:szCs w:val="16"/>
                <w:color w:val="auto"/>
              </w:rPr>
              <w:t>1,034</w:t>
            </w:r>
          </w:p>
        </w:tc>
        <w:tc>
          <w:tcPr>
            <w:tcW w:w="340" w:type="dxa"/>
            <w:vAlign w:val="bottom"/>
            <w:tcBorders>
              <w:bottom w:val="single" w:sz="8" w:color="BCBEC0"/>
            </w:tcBorders>
          </w:tcPr>
          <w:p>
            <w:pPr>
              <w:spacing w:after="0"/>
              <w:rPr>
                <w:sz w:val="22"/>
                <w:szCs w:val="22"/>
                <w:color w:val="auto"/>
              </w:rPr>
            </w:pPr>
          </w:p>
        </w:tc>
        <w:tc>
          <w:tcPr>
            <w:tcW w:w="560" w:type="dxa"/>
            <w:vAlign w:val="bottom"/>
            <w:tcBorders>
              <w:bottom w:val="single" w:sz="8" w:color="BCBEC0"/>
            </w:tcBorders>
          </w:tcPr>
          <w:p>
            <w:pPr>
              <w:jc w:val="right"/>
              <w:spacing w:after="0"/>
              <w:rPr>
                <w:sz w:val="20"/>
                <w:szCs w:val="20"/>
                <w:color w:val="auto"/>
              </w:rPr>
            </w:pPr>
            <w:r>
              <w:rPr>
                <w:rFonts w:ascii="Arial" w:cs="Arial" w:eastAsia="Arial" w:hAnsi="Arial"/>
                <w:sz w:val="16"/>
                <w:szCs w:val="16"/>
                <w:color w:val="auto"/>
              </w:rPr>
              <w:t>1,140</w:t>
            </w:r>
          </w:p>
        </w:tc>
      </w:tr>
      <w:tr>
        <w:trPr>
          <w:trHeight w:val="270"/>
        </w:trPr>
        <w:tc>
          <w:tcPr>
            <w:tcW w:w="5440" w:type="dxa"/>
            <w:vAlign w:val="bottom"/>
            <w:tcBorders>
              <w:bottom w:val="single" w:sz="8" w:color="BCBEC0"/>
            </w:tcBorders>
          </w:tcPr>
          <w:p>
            <w:pPr>
              <w:ind w:left="20"/>
              <w:spacing w:after="0"/>
              <w:rPr>
                <w:sz w:val="20"/>
                <w:szCs w:val="20"/>
                <w:color w:val="auto"/>
              </w:rPr>
            </w:pPr>
            <w:r>
              <w:rPr>
                <w:rFonts w:ascii="Arial" w:cs="Arial" w:eastAsia="Arial" w:hAnsi="Arial"/>
                <w:sz w:val="16"/>
                <w:szCs w:val="16"/>
                <w:color w:val="auto"/>
              </w:rPr>
              <w:t>All other fees</w:t>
            </w:r>
            <w:r>
              <w:rPr>
                <w:rFonts w:ascii="Arial" w:cs="Arial" w:eastAsia="Arial" w:hAnsi="Arial"/>
                <w:sz w:val="21"/>
                <w:szCs w:val="21"/>
                <w:color w:val="auto"/>
                <w:vertAlign w:val="superscript"/>
              </w:rPr>
              <w:t>(4)</w:t>
            </w:r>
          </w:p>
        </w:tc>
        <w:tc>
          <w:tcPr>
            <w:tcW w:w="4200" w:type="dxa"/>
            <w:vAlign w:val="bottom"/>
            <w:tcBorders>
              <w:bottom w:val="single" w:sz="8" w:color="BCBEC0"/>
            </w:tcBorders>
          </w:tcPr>
          <w:p>
            <w:pPr>
              <w:spacing w:after="0"/>
              <w:rPr>
                <w:sz w:val="23"/>
                <w:szCs w:val="23"/>
                <w:color w:val="auto"/>
              </w:rPr>
            </w:pPr>
          </w:p>
        </w:tc>
        <w:tc>
          <w:tcPr>
            <w:tcW w:w="700" w:type="dxa"/>
            <w:vAlign w:val="bottom"/>
            <w:tcBorders>
              <w:bottom w:val="single" w:sz="8" w:color="BCBEC0"/>
            </w:tcBorders>
          </w:tcPr>
          <w:p>
            <w:pPr>
              <w:jc w:val="right"/>
              <w:ind w:right="1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BCBEC0"/>
            </w:tcBorders>
          </w:tcPr>
          <w:p>
            <w:pPr>
              <w:spacing w:after="0"/>
              <w:rPr>
                <w:sz w:val="23"/>
                <w:szCs w:val="23"/>
                <w:color w:val="auto"/>
              </w:rPr>
            </w:pPr>
          </w:p>
        </w:tc>
        <w:tc>
          <w:tcPr>
            <w:tcW w:w="560" w:type="dxa"/>
            <w:vAlign w:val="bottom"/>
            <w:tcBorders>
              <w:bottom w:val="single" w:sz="8" w:color="BCBEC0"/>
            </w:tcBorders>
          </w:tcPr>
          <w:p>
            <w:pPr>
              <w:jc w:val="right"/>
              <w:spacing w:after="0"/>
              <w:rPr>
                <w:sz w:val="20"/>
                <w:szCs w:val="20"/>
                <w:color w:val="auto"/>
              </w:rPr>
            </w:pPr>
            <w:r>
              <w:rPr>
                <w:rFonts w:ascii="Arial" w:cs="Arial" w:eastAsia="Arial" w:hAnsi="Arial"/>
                <w:sz w:val="16"/>
                <w:szCs w:val="16"/>
                <w:color w:val="auto"/>
              </w:rPr>
              <w:t>3</w:t>
            </w:r>
          </w:p>
        </w:tc>
      </w:tr>
      <w:tr>
        <w:trPr>
          <w:trHeight w:val="257"/>
        </w:trPr>
        <w:tc>
          <w:tcPr>
            <w:tcW w:w="5440" w:type="dxa"/>
            <w:vAlign w:val="bottom"/>
            <w:tcBorders>
              <w:bottom w:val="single" w:sz="8" w:color="0C3471"/>
            </w:tcBorders>
          </w:tcPr>
          <w:p>
            <w:pPr>
              <w:ind w:left="180"/>
              <w:spacing w:after="0"/>
              <w:rPr>
                <w:sz w:val="20"/>
                <w:szCs w:val="20"/>
                <w:color w:val="auto"/>
              </w:rPr>
            </w:pPr>
            <w:r>
              <w:rPr>
                <w:rFonts w:ascii="Arial" w:cs="Arial" w:eastAsia="Arial" w:hAnsi="Arial"/>
                <w:sz w:val="16"/>
                <w:szCs w:val="16"/>
                <w:color w:val="auto"/>
              </w:rPr>
              <w:t>Total</w:t>
            </w:r>
          </w:p>
        </w:tc>
        <w:tc>
          <w:tcPr>
            <w:tcW w:w="4200" w:type="dxa"/>
            <w:vAlign w:val="bottom"/>
            <w:tcBorders>
              <w:bottom w:val="single" w:sz="8" w:color="0C3471"/>
            </w:tcBorders>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0C3471"/>
            </w:tcBorders>
          </w:tcPr>
          <w:p>
            <w:pPr>
              <w:jc w:val="right"/>
              <w:ind w:right="120"/>
              <w:spacing w:after="0"/>
              <w:rPr>
                <w:sz w:val="20"/>
                <w:szCs w:val="20"/>
                <w:color w:val="auto"/>
              </w:rPr>
            </w:pPr>
            <w:r>
              <w:rPr>
                <w:rFonts w:ascii="Arial" w:cs="Arial" w:eastAsia="Arial" w:hAnsi="Arial"/>
                <w:sz w:val="16"/>
                <w:szCs w:val="16"/>
                <w:color w:val="auto"/>
              </w:rPr>
              <w:t>8,079</w:t>
            </w:r>
          </w:p>
        </w:tc>
        <w:tc>
          <w:tcPr>
            <w:tcW w:w="340" w:type="dxa"/>
            <w:vAlign w:val="bottom"/>
            <w:tcBorders>
              <w:bottom w:val="single" w:sz="8" w:color="0C3471"/>
            </w:tcBorders>
          </w:tcPr>
          <w:p>
            <w:pPr>
              <w:jc w:val="right"/>
              <w:ind w:right="19"/>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0C3471"/>
            </w:tcBorders>
          </w:tcPr>
          <w:p>
            <w:pPr>
              <w:jc w:val="right"/>
              <w:spacing w:after="0"/>
              <w:rPr>
                <w:sz w:val="20"/>
                <w:szCs w:val="20"/>
                <w:color w:val="auto"/>
              </w:rPr>
            </w:pPr>
            <w:r>
              <w:rPr>
                <w:rFonts w:ascii="Arial" w:cs="Arial" w:eastAsia="Arial" w:hAnsi="Arial"/>
                <w:sz w:val="16"/>
                <w:szCs w:val="16"/>
                <w:color w:val="auto"/>
              </w:rPr>
              <w:t>7,798</w:t>
            </w:r>
          </w:p>
        </w:tc>
      </w:tr>
    </w:tbl>
    <w:p>
      <w:pPr>
        <w:spacing w:after="0" w:line="180" w:lineRule="exact"/>
        <w:rPr>
          <w:sz w:val="20"/>
          <w:szCs w:val="20"/>
          <w:color w:val="auto"/>
        </w:rPr>
      </w:pPr>
    </w:p>
    <w:p>
      <w:pPr>
        <w:ind w:left="200" w:right="60" w:hanging="192"/>
        <w:spacing w:after="0" w:line="325" w:lineRule="auto"/>
        <w:tabs>
          <w:tab w:leader="none" w:pos="228" w:val="left"/>
        </w:tabs>
        <w:numPr>
          <w:ilvl w:val="0"/>
          <w:numId w:val="146"/>
        </w:numPr>
        <w:rPr>
          <w:rFonts w:ascii="Arial" w:cs="Arial" w:eastAsia="Arial" w:hAnsi="Arial"/>
          <w:sz w:val="9"/>
          <w:szCs w:val="9"/>
          <w:color w:val="auto"/>
        </w:rPr>
      </w:pPr>
      <w:r>
        <w:rPr>
          <w:rFonts w:ascii="Arial" w:cs="Arial" w:eastAsia="Arial" w:hAnsi="Arial"/>
          <w:sz w:val="14"/>
          <w:szCs w:val="14"/>
          <w:color w:val="auto"/>
        </w:rPr>
        <w:t>Consists of fees for audits of our consolidated annual financial statements and the effectiveness of internal controls over financial reporting, reviews of our quarterly financial statements, statutory audits, reviews of SEC filings, consents for registration statements and comfort letters in connection with securities offerings.</w:t>
      </w:r>
    </w:p>
    <w:p>
      <w:pPr>
        <w:spacing w:after="0" w:line="9" w:lineRule="exact"/>
        <w:rPr>
          <w:rFonts w:ascii="Arial" w:cs="Arial" w:eastAsia="Arial" w:hAnsi="Arial"/>
          <w:sz w:val="9"/>
          <w:szCs w:val="9"/>
          <w:color w:val="auto"/>
        </w:rPr>
      </w:pPr>
    </w:p>
    <w:p>
      <w:pPr>
        <w:ind w:left="220" w:hanging="212"/>
        <w:spacing w:after="0"/>
        <w:tabs>
          <w:tab w:leader="none" w:pos="220" w:val="left"/>
        </w:tabs>
        <w:numPr>
          <w:ilvl w:val="0"/>
          <w:numId w:val="146"/>
        </w:numPr>
        <w:rPr>
          <w:rFonts w:ascii="Arial" w:cs="Arial" w:eastAsia="Arial" w:hAnsi="Arial"/>
          <w:sz w:val="9"/>
          <w:szCs w:val="9"/>
          <w:color w:val="auto"/>
        </w:rPr>
      </w:pPr>
      <w:r>
        <w:rPr>
          <w:rFonts w:ascii="Arial" w:cs="Arial" w:eastAsia="Arial" w:hAnsi="Arial"/>
          <w:sz w:val="14"/>
          <w:szCs w:val="14"/>
          <w:color w:val="auto"/>
        </w:rPr>
        <w:t>Consists of fees for due diligence, employee benefit plan audits, and certain other attest services.</w:t>
      </w:r>
    </w:p>
    <w:p>
      <w:pPr>
        <w:spacing w:after="0" w:line="80" w:lineRule="exact"/>
        <w:rPr>
          <w:rFonts w:ascii="Arial" w:cs="Arial" w:eastAsia="Arial" w:hAnsi="Arial"/>
          <w:sz w:val="9"/>
          <w:szCs w:val="9"/>
          <w:color w:val="auto"/>
        </w:rPr>
      </w:pPr>
    </w:p>
    <w:p>
      <w:pPr>
        <w:ind w:left="220" w:hanging="212"/>
        <w:spacing w:after="0"/>
        <w:tabs>
          <w:tab w:leader="none" w:pos="220" w:val="left"/>
        </w:tabs>
        <w:numPr>
          <w:ilvl w:val="0"/>
          <w:numId w:val="146"/>
        </w:numPr>
        <w:rPr>
          <w:rFonts w:ascii="Arial" w:cs="Arial" w:eastAsia="Arial" w:hAnsi="Arial"/>
          <w:sz w:val="19"/>
          <w:szCs w:val="19"/>
          <w:color w:val="auto"/>
          <w:vertAlign w:val="superscript"/>
        </w:rPr>
      </w:pPr>
      <w:r>
        <w:rPr>
          <w:rFonts w:ascii="Arial" w:cs="Arial" w:eastAsia="Arial" w:hAnsi="Arial"/>
          <w:sz w:val="14"/>
          <w:szCs w:val="14"/>
          <w:color w:val="auto"/>
        </w:rPr>
        <w:t>Consists of fees for tax compliance and return preparation and tax planning and advice.</w:t>
      </w:r>
    </w:p>
    <w:p>
      <w:pPr>
        <w:spacing w:after="0" w:line="57" w:lineRule="exact"/>
        <w:rPr>
          <w:rFonts w:ascii="Arial" w:cs="Arial" w:eastAsia="Arial" w:hAnsi="Arial"/>
          <w:sz w:val="19"/>
          <w:szCs w:val="19"/>
          <w:color w:val="auto"/>
          <w:vertAlign w:val="superscript"/>
        </w:rPr>
      </w:pPr>
    </w:p>
    <w:p>
      <w:pPr>
        <w:ind w:left="200" w:hanging="192"/>
        <w:spacing w:after="0" w:line="219" w:lineRule="auto"/>
        <w:tabs>
          <w:tab w:leader="none" w:pos="200" w:val="left"/>
        </w:tabs>
        <w:numPr>
          <w:ilvl w:val="0"/>
          <w:numId w:val="146"/>
        </w:numPr>
        <w:rPr>
          <w:rFonts w:ascii="Arial" w:cs="Arial" w:eastAsia="Arial" w:hAnsi="Arial"/>
          <w:sz w:val="19"/>
          <w:szCs w:val="19"/>
          <w:color w:val="auto"/>
          <w:vertAlign w:val="superscript"/>
        </w:rPr>
      </w:pPr>
      <w:r>
        <w:rPr>
          <w:rFonts w:ascii="Arial" w:cs="Arial" w:eastAsia="Arial" w:hAnsi="Arial"/>
          <w:sz w:val="14"/>
          <w:szCs w:val="14"/>
          <w:color w:val="auto"/>
        </w:rPr>
        <w:t>Consists of service fees for other permissible non-audit services.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600" w:hanging="574"/>
        <w:spacing w:after="0"/>
        <w:tabs>
          <w:tab w:leader="none" w:pos="600" w:val="left"/>
        </w:tabs>
        <w:numPr>
          <w:ilvl w:val="0"/>
          <w:numId w:val="147"/>
        </w:numPr>
        <w:rPr>
          <w:rFonts w:ascii="Arial" w:cs="Arial" w:eastAsia="Arial" w:hAnsi="Arial"/>
          <w:sz w:val="16"/>
          <w:szCs w:val="16"/>
          <w:b w:val="1"/>
          <w:bCs w:val="1"/>
          <w:color w:val="auto"/>
        </w:rPr>
      </w:pPr>
      <w:r>
        <w:rPr>
          <w:rFonts w:ascii="Arial" w:cs="Arial" w:eastAsia="Arial" w:hAnsi="Arial"/>
          <w:sz w:val="16"/>
          <w:szCs w:val="16"/>
          <w:color w:val="auto"/>
        </w:rPr>
        <w:t xml:space="preserve">Pentair </w:t>
      </w:r>
      <w:r>
        <w:rPr>
          <w:rFonts w:ascii="Arial" w:cs="Arial" w:eastAsia="Arial" w:hAnsi="Arial"/>
          <w:sz w:val="16"/>
          <w:szCs w:val="16"/>
          <w:b w:val="1"/>
          <w:bCs w:val="1"/>
          <w:color w:val="0C3471"/>
        </w:rPr>
        <w:t>|</w:t>
      </w:r>
      <w:r>
        <w:rPr>
          <w:rFonts w:ascii="Arial" w:cs="Arial" w:eastAsia="Arial" w:hAnsi="Arial"/>
          <w:sz w:val="16"/>
          <w:szCs w:val="16"/>
          <w:color w:val="auto"/>
        </w:rPr>
        <w:t xml:space="preserve"> </w:t>
      </w:r>
      <w:r>
        <w:rPr>
          <w:rFonts w:ascii="Arial" w:cs="Arial" w:eastAsia="Arial" w:hAnsi="Arial"/>
          <w:sz w:val="16"/>
          <w:szCs w:val="16"/>
          <w:b w:val="1"/>
          <w:bCs w:val="1"/>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213995</wp:posOffset>
            </wp:positionV>
            <wp:extent cx="7157720" cy="425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2" w:right="339" w:bottom="1440" w:gutter="0" w:footer="0" w:header="0"/>
        </w:sectPr>
      </w:pPr>
    </w:p>
    <w:bookmarkStart w:id="78" w:name="page79"/>
    <w:bookmarkEnd w:id="78"/>
    <w:p>
      <w:pPr>
        <w:jc w:val="right"/>
        <w:ind w:right="2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6354445</wp:posOffset>
            </wp:positionH>
            <wp:positionV relativeFrom="page">
              <wp:posOffset>123190</wp:posOffset>
            </wp:positionV>
            <wp:extent cx="102870" cy="11112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clrChange>
                        <a:clrFrom>
                          <a:srgbClr val="FFFFFF"/>
                        </a:clrFrom>
                        <a:clrTo>
                          <a:srgbClr val="FFFFFF">
                            <a:alpha val="0"/>
                          </a:srgbClr>
                        </a:clrTo>
                      </a:clrChange>
                      <a:extLst>
                        <a:ext uri="{28A0092B-C50C-407E-A947-70E740481C1C}"/>
                      </a:extLst>
                    </a:blip>
                    <a:srcRect/>
                    <a:stretch>
                      <a:fillRect/>
                    </a:stretch>
                  </pic:blipFill>
                  <pic:spPr bwMode="auto">
                    <a:xfrm>
                      <a:off x="0" y="0"/>
                      <a:ext cx="102870" cy="111125"/>
                    </a:xfrm>
                    <a:prstGeom prst="rect">
                      <a:avLst/>
                    </a:prstGeom>
                    <a:noFill/>
                  </pic:spPr>
                </pic:pic>
              </a:graphicData>
            </a:graphic>
          </wp:anchor>
        </w:drawing>
        <w:t>Audit Matters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32"/>
          <w:szCs w:val="32"/>
          <w:color w:val="0C3471"/>
        </w:rPr>
        <w:t>Audit and Finance Committee Report</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color w:val="auto"/>
        </w:rPr>
        <w:t>In connection with the financial statements for the year ended December 31, 2025, the Audit and Finance Committee has:</w:t>
      </w:r>
    </w:p>
    <w:p>
      <w:pPr>
        <w:spacing w:after="0" w:line="127" w:lineRule="exact"/>
        <w:rPr>
          <w:sz w:val="20"/>
          <w:szCs w:val="20"/>
          <w:color w:val="auto"/>
        </w:rPr>
      </w:pPr>
    </w:p>
    <w:p>
      <w:pPr>
        <w:ind w:left="200" w:right="940" w:hanging="192"/>
        <w:spacing w:after="0" w:line="321" w:lineRule="auto"/>
        <w:tabs>
          <w:tab w:leader="none" w:pos="157" w:val="left"/>
        </w:tabs>
        <w:numPr>
          <w:ilvl w:val="0"/>
          <w:numId w:val="148"/>
        </w:numPr>
        <w:rPr>
          <w:rFonts w:ascii="Arial" w:cs="Arial" w:eastAsia="Arial" w:hAnsi="Arial"/>
          <w:sz w:val="13"/>
          <w:szCs w:val="13"/>
          <w:color w:val="64A70B"/>
        </w:rPr>
      </w:pPr>
      <w:r>
        <w:rPr>
          <w:rFonts w:ascii="Arial" w:cs="Arial" w:eastAsia="Arial" w:hAnsi="Arial"/>
          <w:sz w:val="16"/>
          <w:szCs w:val="16"/>
          <w:color w:val="auto"/>
        </w:rPr>
        <w:t>reviewed and discussed our audited U.S. GAAP consolidated financial statements and Irish Statutory Financial Statements for the year ended December 31, 2025, with management;</w:t>
      </w:r>
    </w:p>
    <w:p>
      <w:pPr>
        <w:spacing w:after="0" w:line="7" w:lineRule="exact"/>
        <w:rPr>
          <w:rFonts w:ascii="Arial" w:cs="Arial" w:eastAsia="Arial" w:hAnsi="Arial"/>
          <w:sz w:val="13"/>
          <w:szCs w:val="13"/>
          <w:color w:val="64A70B"/>
        </w:rPr>
      </w:pPr>
    </w:p>
    <w:p>
      <w:pPr>
        <w:ind w:left="200" w:right="800" w:hanging="192"/>
        <w:spacing w:after="0" w:line="316" w:lineRule="auto"/>
        <w:tabs>
          <w:tab w:leader="none" w:pos="157" w:val="left"/>
        </w:tabs>
        <w:numPr>
          <w:ilvl w:val="0"/>
          <w:numId w:val="148"/>
        </w:numPr>
        <w:rPr>
          <w:rFonts w:ascii="Arial" w:cs="Arial" w:eastAsia="Arial" w:hAnsi="Arial"/>
          <w:sz w:val="13"/>
          <w:szCs w:val="13"/>
          <w:color w:val="64A70B"/>
        </w:rPr>
      </w:pPr>
      <w:r>
        <w:rPr>
          <w:rFonts w:ascii="Arial" w:cs="Arial" w:eastAsia="Arial" w:hAnsi="Arial"/>
          <w:sz w:val="16"/>
          <w:szCs w:val="16"/>
          <w:color w:val="auto"/>
        </w:rPr>
        <w:t>discussed with Deloitte &amp; Touche LLP, our independent registered public accounting firm, the matters required to be discussed by the applicable requirements of the Public Company Accounting Oversight Board and the Securities and Exchange Commission; and</w:t>
      </w:r>
    </w:p>
    <w:p>
      <w:pPr>
        <w:spacing w:after="0" w:line="1" w:lineRule="exact"/>
        <w:rPr>
          <w:rFonts w:ascii="Arial" w:cs="Arial" w:eastAsia="Arial" w:hAnsi="Arial"/>
          <w:sz w:val="13"/>
          <w:szCs w:val="13"/>
          <w:color w:val="64A70B"/>
        </w:rPr>
      </w:pPr>
    </w:p>
    <w:p>
      <w:pPr>
        <w:ind w:left="200" w:right="460" w:hanging="192"/>
        <w:spacing w:after="0" w:line="301" w:lineRule="auto"/>
        <w:tabs>
          <w:tab w:leader="none" w:pos="157" w:val="left"/>
        </w:tabs>
        <w:numPr>
          <w:ilvl w:val="0"/>
          <w:numId w:val="148"/>
        </w:numPr>
        <w:rPr>
          <w:rFonts w:ascii="Arial" w:cs="Arial" w:eastAsia="Arial" w:hAnsi="Arial"/>
          <w:sz w:val="13"/>
          <w:szCs w:val="13"/>
          <w:color w:val="64A70B"/>
        </w:rPr>
      </w:pPr>
      <w:r>
        <w:rPr>
          <w:rFonts w:ascii="Arial" w:cs="Arial" w:eastAsia="Arial" w:hAnsi="Arial"/>
          <w:sz w:val="16"/>
          <w:szCs w:val="16"/>
          <w:color w:val="auto"/>
        </w:rPr>
        <w:t>received the written disclosures and the letter from Deloitte &amp; Touche LLP as required by applicable requirements of the Public Company Accounting Oversight Board regarding the independent registered public accounting firm’s communications with the Audit and Finance Committee concerning independence, and discussed with Deloitte &amp; Touche LLP their independence.</w:t>
      </w:r>
    </w:p>
    <w:p>
      <w:pPr>
        <w:spacing w:after="0" w:line="50" w:lineRule="exact"/>
        <w:rPr>
          <w:sz w:val="20"/>
          <w:szCs w:val="20"/>
          <w:color w:val="auto"/>
        </w:rPr>
      </w:pPr>
    </w:p>
    <w:p>
      <w:pPr>
        <w:jc w:val="both"/>
        <w:ind w:right="40"/>
        <w:spacing w:after="0" w:line="292" w:lineRule="auto"/>
        <w:rPr>
          <w:sz w:val="20"/>
          <w:szCs w:val="20"/>
          <w:color w:val="auto"/>
        </w:rPr>
      </w:pPr>
      <w:r>
        <w:rPr>
          <w:rFonts w:ascii="Arial" w:cs="Arial" w:eastAsia="Arial" w:hAnsi="Arial"/>
          <w:sz w:val="16"/>
          <w:szCs w:val="16"/>
          <w:color w:val="auto"/>
        </w:rPr>
        <w:t>Based upon these reviews and discussions, the Audit and Finance Committee recommended to the Board that our audited consolidated financial statements be included in the Annual Report on Form 10-K for the year ended December 31, 2025, filed with the Securities and Exchange Commission on February 24, 2026. The Board has approved these inclusions.</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AUDIT AND FINANCE COMMITTEE</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color w:val="0C3471"/>
        </w:rPr>
        <w:t xml:space="preserve">Michael T. Speetzen, </w:t>
      </w:r>
      <w:r>
        <w:rPr>
          <w:rFonts w:ascii="Arial" w:cs="Arial" w:eastAsia="Arial" w:hAnsi="Arial"/>
          <w:sz w:val="16"/>
          <w:szCs w:val="16"/>
          <w:color w:val="000000"/>
        </w:rPr>
        <w:t>Chair</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b w:val="1"/>
          <w:bCs w:val="1"/>
          <w:color w:val="0C3471"/>
        </w:rPr>
        <w:t>Mona Abutaleb Stephenson*</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b w:val="1"/>
          <w:bCs w:val="1"/>
          <w:color w:val="0C3471"/>
        </w:rPr>
        <w:t>Melissa Barra</w:t>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b w:val="1"/>
          <w:bCs w:val="1"/>
          <w:color w:val="0C3471"/>
        </w:rPr>
        <w:t>Tracey C. Doi</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b w:val="1"/>
          <w:bCs w:val="1"/>
          <w:color w:val="0C3471"/>
        </w:rPr>
        <w:t>Gregory E. Knight</w:t>
      </w:r>
    </w:p>
    <w:p>
      <w:pPr>
        <w:spacing w:after="0" w:line="246" w:lineRule="exact"/>
        <w:rPr>
          <w:sz w:val="20"/>
          <w:szCs w:val="20"/>
          <w:color w:val="auto"/>
        </w:rPr>
      </w:pPr>
    </w:p>
    <w:p>
      <w:pPr>
        <w:ind w:left="200" w:right="400" w:hanging="192"/>
        <w:spacing w:after="0" w:line="305" w:lineRule="auto"/>
        <w:tabs>
          <w:tab w:leader="none" w:pos="222" w:val="left"/>
        </w:tabs>
        <w:numPr>
          <w:ilvl w:val="0"/>
          <w:numId w:val="149"/>
        </w:numPr>
        <w:rPr>
          <w:rFonts w:ascii="Arial" w:cs="Arial" w:eastAsia="Arial" w:hAnsi="Arial"/>
          <w:sz w:val="14"/>
          <w:szCs w:val="14"/>
          <w:color w:val="auto"/>
        </w:rPr>
      </w:pPr>
      <w:r>
        <w:rPr>
          <w:rFonts w:ascii="Arial" w:cs="Arial" w:eastAsia="Arial" w:hAnsi="Arial"/>
          <w:sz w:val="14"/>
          <w:szCs w:val="14"/>
          <w:color w:val="auto"/>
        </w:rPr>
        <w:t>Upon completion of the Annual General Meeting, Ms. Abutaleb will join the Governance Committee and the Compensation Committee and leave the Audit and Finance Committee.</w:t>
      </w: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10780" w:type="dxa"/>
            <w:vAlign w:val="bottom"/>
          </w:tcPr>
          <w:p>
            <w:pPr>
              <w:ind w:left="8260"/>
              <w:spacing w:after="0"/>
              <w:rPr>
                <w:sz w:val="20"/>
                <w:szCs w:val="20"/>
                <w:color w:val="auto"/>
              </w:rPr>
            </w:pPr>
            <w:r>
              <w:rPr>
                <w:rFonts w:ascii="Arial" w:cs="Arial" w:eastAsia="Arial" w:hAnsi="Arial"/>
                <w:sz w:val="16"/>
                <w:szCs w:val="16"/>
                <w:b w:val="1"/>
                <w:bCs w:val="1"/>
                <w:color w:val="auto"/>
              </w:rPr>
              <w:t xml:space="preserve">2026 Proxy Statement </w:t>
            </w:r>
            <w:r>
              <w:rPr>
                <w:rFonts w:ascii="Arial" w:cs="Arial" w:eastAsia="Arial" w:hAnsi="Arial"/>
                <w:sz w:val="16"/>
                <w:szCs w:val="16"/>
                <w:b w:val="1"/>
                <w:bCs w:val="1"/>
                <w:color w:val="0C3471"/>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Pentair</w:t>
            </w:r>
          </w:p>
        </w:tc>
        <w:tc>
          <w:tcPr>
            <w:tcW w:w="460" w:type="dxa"/>
            <w:vAlign w:val="bottom"/>
          </w:tcPr>
          <w:p>
            <w:pPr>
              <w:jc w:val="right"/>
              <w:spacing w:after="0"/>
              <w:rPr>
                <w:sz w:val="20"/>
                <w:szCs w:val="20"/>
                <w:color w:val="auto"/>
              </w:rPr>
            </w:pPr>
            <w:r>
              <w:rPr>
                <w:rFonts w:ascii="Arial" w:cs="Arial" w:eastAsia="Arial" w:hAnsi="Arial"/>
                <w:sz w:val="16"/>
                <w:szCs w:val="16"/>
                <w:b w:val="1"/>
                <w:bCs w:val="1"/>
                <w:color w:val="auto"/>
              </w:rPr>
              <w:t>77</w:t>
            </w:r>
          </w:p>
        </w:tc>
      </w:tr>
      <w:tr>
        <w:trPr>
          <w:trHeight w:val="312"/>
        </w:trPr>
        <w:tc>
          <w:tcPr>
            <w:tcW w:w="107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06" w:right="339" w:bottom="1440" w:gutter="0" w:footer="0" w:header="0"/>
        </w:sectPr>
      </w:pPr>
    </w:p>
    <w:bookmarkStart w:id="79" w:name="page80"/>
    <w:bookmarkEnd w:id="79"/>
    <w:p>
      <w:pPr>
        <w:spacing w:after="0" w:line="18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860425</wp:posOffset>
            </wp:positionV>
            <wp:extent cx="7132320" cy="491172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132320" cy="4911725"/>
                    </a:xfrm>
                    <a:prstGeom prst="rect">
                      <a:avLst/>
                    </a:prstGeom>
                    <a:noFill/>
                  </pic:spPr>
                </pic:pic>
              </a:graphicData>
            </a:graphic>
          </wp:anchor>
        </w:drawing>
      </w:r>
    </w:p>
    <w:p>
      <w:pPr>
        <w:ind w:left="334"/>
        <w:spacing w:after="0"/>
        <w:rPr>
          <w:sz w:val="20"/>
          <w:szCs w:val="20"/>
          <w:color w:val="auto"/>
        </w:rPr>
      </w:pPr>
      <w:r>
        <w:rPr>
          <w:rFonts w:ascii="Arial" w:cs="Arial" w:eastAsia="Arial" w:hAnsi="Arial"/>
          <w:sz w:val="25"/>
          <w:szCs w:val="25"/>
          <w:b w:val="1"/>
          <w:bCs w:val="1"/>
          <w:color w:val="auto"/>
        </w:rPr>
        <w:t>PROPOSAL 4</w:t>
      </w:r>
    </w:p>
    <w:p>
      <w:pPr>
        <w:spacing w:after="0" w:line="86" w:lineRule="exact"/>
        <w:rPr>
          <w:sz w:val="20"/>
          <w:szCs w:val="20"/>
          <w:color w:val="auto"/>
        </w:rPr>
      </w:pPr>
    </w:p>
    <w:p>
      <w:pPr>
        <w:ind w:left="334" w:right="280"/>
        <w:spacing w:after="0" w:line="302" w:lineRule="auto"/>
        <w:rPr>
          <w:sz w:val="20"/>
          <w:szCs w:val="20"/>
          <w:color w:val="auto"/>
        </w:rPr>
      </w:pPr>
      <w:r>
        <w:rPr>
          <w:rFonts w:ascii="Arial" w:cs="Arial" w:eastAsia="Arial" w:hAnsi="Arial"/>
          <w:sz w:val="38"/>
          <w:szCs w:val="38"/>
          <w:color w:val="0C3471"/>
        </w:rPr>
        <w:t>Authorize the Board of Directors to Allot New Shares Under Irish Law</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ind w:right="80"/>
        <w:spacing w:after="0" w:line="273" w:lineRule="auto"/>
        <w:rPr>
          <w:sz w:val="20"/>
          <w:szCs w:val="20"/>
          <w:color w:val="auto"/>
        </w:rPr>
      </w:pPr>
      <w:r>
        <w:rPr>
          <w:rFonts w:ascii="Arial" w:cs="Arial" w:eastAsia="Arial" w:hAnsi="Arial"/>
          <w:sz w:val="13"/>
          <w:szCs w:val="13"/>
          <w:color w:val="auto"/>
        </w:rPr>
        <w:t xml:space="preserve">The Board recommends a vote </w:t>
      </w:r>
      <w:r>
        <w:rPr>
          <w:rFonts w:ascii="Arial" w:cs="Arial" w:eastAsia="Arial" w:hAnsi="Arial"/>
          <w:sz w:val="13"/>
          <w:szCs w:val="13"/>
          <w:b w:val="1"/>
          <w:bCs w:val="1"/>
          <w:color w:val="0C3471"/>
        </w:rPr>
        <w:t>FOR</w:t>
      </w:r>
      <w:r>
        <w:rPr>
          <w:rFonts w:ascii="Arial" w:cs="Arial" w:eastAsia="Arial" w:hAnsi="Arial"/>
          <w:sz w:val="13"/>
          <w:szCs w:val="13"/>
          <w:color w:val="auto"/>
        </w:rPr>
        <w:t xml:space="preserve"> authorization of the Board of Directors to allot new shares under Irish law</w:t>
      </w:r>
    </w:p>
    <w:p>
      <w:pPr>
        <w:spacing w:after="0" w:line="724" w:lineRule="exact"/>
        <w:rPr>
          <w:sz w:val="20"/>
          <w:szCs w:val="20"/>
          <w:color w:val="auto"/>
        </w:rPr>
      </w:pPr>
    </w:p>
    <w:p>
      <w:pPr>
        <w:sectPr>
          <w:pgSz w:w="11900" w:h="16838" w:orient="portrait"/>
          <w:cols w:equalWidth="0" w:num="2">
            <w:col w:w="7254" w:space="720"/>
            <w:col w:w="2880"/>
          </w:cols>
          <w:pgMar w:left="346" w:top="1440" w:right="699" w:bottom="1440" w:gutter="0" w:footer="0" w:header="0"/>
        </w:sectPr>
      </w:pPr>
    </w:p>
    <w:p>
      <w:pPr>
        <w:spacing w:after="0" w:line="308" w:lineRule="exact"/>
        <w:rPr>
          <w:sz w:val="20"/>
          <w:szCs w:val="20"/>
          <w:color w:val="auto"/>
        </w:rPr>
      </w:pPr>
    </w:p>
    <w:p>
      <w:pPr>
        <w:ind w:left="334" w:right="20"/>
        <w:spacing w:after="0" w:line="285" w:lineRule="auto"/>
        <w:rPr>
          <w:sz w:val="20"/>
          <w:szCs w:val="20"/>
          <w:color w:val="auto"/>
        </w:rPr>
      </w:pPr>
      <w:r>
        <w:rPr>
          <w:rFonts w:ascii="Arial" w:cs="Arial" w:eastAsia="Arial" w:hAnsi="Arial"/>
          <w:sz w:val="16"/>
          <w:szCs w:val="16"/>
          <w:color w:val="auto"/>
        </w:rPr>
        <w:t>Under Irish law, directors of an Irish public limited company must have authority from its shareholders to allot (or issue) any shares, including shares that are part of our company’s authorized but unissued share capital. The Board’s current authority to issue up to 20% of the company’s issued ordinary share capital was approved by the shareholders at the 2025 Annual General Meeting and will expire on November 6, 2026. This authority is fundamental to our business and enables us to issue shares, including, if applicable, in connection with funding acquisitions and raising capital.</w:t>
      </w:r>
    </w:p>
    <w:p>
      <w:pPr>
        <w:spacing w:after="0" w:line="287" w:lineRule="exact"/>
        <w:rPr>
          <w:sz w:val="20"/>
          <w:szCs w:val="20"/>
          <w:color w:val="auto"/>
        </w:rPr>
      </w:pPr>
    </w:p>
    <w:p>
      <w:pPr>
        <w:ind w:left="334" w:right="80"/>
        <w:spacing w:after="0" w:line="292" w:lineRule="auto"/>
        <w:rPr>
          <w:sz w:val="20"/>
          <w:szCs w:val="20"/>
          <w:color w:val="auto"/>
        </w:rPr>
      </w:pPr>
      <w:r>
        <w:rPr>
          <w:rFonts w:ascii="Arial" w:cs="Arial" w:eastAsia="Arial" w:hAnsi="Arial"/>
          <w:sz w:val="16"/>
          <w:szCs w:val="16"/>
          <w:color w:val="auto"/>
        </w:rPr>
        <w:t>We are presenting this Proposal 4 to renew the Board’s authority to issue up to a maximum of 20% of the company’s issued ordinary share capital as of March 6, 2026 (the latest practicable date before this Proxy Statement) and for such authority to expire 18 months from the passing of this resolution, unless otherwise varied, revoked or renewed.</w:t>
      </w:r>
    </w:p>
    <w:p>
      <w:pPr>
        <w:spacing w:after="0" w:line="71" w:lineRule="exact"/>
        <w:rPr>
          <w:sz w:val="20"/>
          <w:szCs w:val="20"/>
          <w:color w:val="auto"/>
        </w:rPr>
      </w:pPr>
    </w:p>
    <w:p>
      <w:pPr>
        <w:jc w:val="both"/>
        <w:ind w:left="334"/>
        <w:spacing w:after="0" w:line="275" w:lineRule="auto"/>
        <w:rPr>
          <w:sz w:val="20"/>
          <w:szCs w:val="20"/>
          <w:color w:val="auto"/>
        </w:rPr>
      </w:pPr>
      <w:r>
        <w:rPr>
          <w:rFonts w:ascii="Arial" w:cs="Arial" w:eastAsia="Arial" w:hAnsi="Arial"/>
          <w:sz w:val="16"/>
          <w:szCs w:val="16"/>
          <w:color w:val="auto"/>
        </w:rPr>
        <w:t>Granting the Board this authority is a routine matter for public limited companies incorporated in Ireland and is consistent with Irish market practice. We are not asking you to approve an increase in our authorized share capital or to approve a specific issuance of shares. Instead, approval of this proposal will only grant the Board the authority to allot shares that are already authorized under our Articles of Association upon the terms below.</w:t>
      </w:r>
    </w:p>
    <w:p>
      <w:pPr>
        <w:spacing w:after="0" w:line="2" w:lineRule="exact"/>
        <w:rPr>
          <w:sz w:val="20"/>
          <w:szCs w:val="20"/>
          <w:color w:val="auto"/>
        </w:rPr>
      </w:pPr>
    </w:p>
    <w:p>
      <w:pPr>
        <w:ind w:left="334" w:right="360"/>
        <w:spacing w:after="0" w:line="304" w:lineRule="auto"/>
        <w:rPr>
          <w:sz w:val="20"/>
          <w:szCs w:val="20"/>
          <w:color w:val="auto"/>
        </w:rPr>
      </w:pPr>
      <w:r>
        <w:rPr>
          <w:rFonts w:ascii="Arial" w:cs="Arial" w:eastAsia="Arial" w:hAnsi="Arial"/>
          <w:sz w:val="16"/>
          <w:szCs w:val="16"/>
          <w:color w:val="auto"/>
        </w:rPr>
        <w:t>In addition, we note that, because we are an NYSE-listed company, our shareholders continue to benefit from the protections afforded to them under the rules and regulations of the NYSE and SEC, including those rules that limit our ability to issue shares in specified circumstances.</w:t>
      </w:r>
    </w:p>
    <w:p>
      <w:pPr>
        <w:spacing w:after="0" w:line="60" w:lineRule="exact"/>
        <w:rPr>
          <w:sz w:val="20"/>
          <w:szCs w:val="20"/>
          <w:color w:val="auto"/>
        </w:rPr>
      </w:pPr>
    </w:p>
    <w:p>
      <w:pPr>
        <w:ind w:left="334"/>
        <w:spacing w:after="0"/>
        <w:rPr>
          <w:sz w:val="20"/>
          <w:szCs w:val="20"/>
          <w:color w:val="auto"/>
        </w:rPr>
      </w:pPr>
      <w:r>
        <w:rPr>
          <w:rFonts w:ascii="Arial" w:cs="Arial" w:eastAsia="Arial" w:hAnsi="Arial"/>
          <w:sz w:val="16"/>
          <w:szCs w:val="16"/>
          <w:color w:val="auto"/>
        </w:rPr>
        <w:t>The text of the resolution in respect of Proposal 4 is as follows:</w:t>
      </w:r>
    </w:p>
    <w:p>
      <w:pPr>
        <w:spacing w:after="0" w:line="127" w:lineRule="exact"/>
        <w:rPr>
          <w:sz w:val="20"/>
          <w:szCs w:val="20"/>
          <w:color w:val="auto"/>
        </w:rPr>
      </w:pPr>
    </w:p>
    <w:p>
      <w:pPr>
        <w:ind w:left="334" w:right="20"/>
        <w:spacing w:after="0" w:line="27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IT IS RESOLVED</w:t>
      </w:r>
      <w:r>
        <w:rPr>
          <w:rFonts w:ascii="Arial" w:cs="Arial" w:eastAsia="Arial" w:hAnsi="Arial"/>
          <w:sz w:val="16"/>
          <w:szCs w:val="16"/>
          <w:color w:val="auto"/>
        </w:rPr>
        <w:t>, that, the Board of Directors be and is generally and unconditionally authorized with effect from the passing of this resolution to exercise all powers of the Company to allot relevant securities (as defined in Section 1021 of the Companies Act 2014) in an amount up to an aggregate nominal amount of $323,205 (equivalent to 32,320,560 ordinary shares), being equivalent to approximately 20% of the aggregate nominal value of the issued ordinary share capital of the Company as of March 6, 2026 (the latest practicable date before this Proxy Statement), and the authority conferred by this resolution shall expire eighteen months from the passing of this resolution, unless previously renewed, varied or revoked; provided that the Company may make an offer or agreement before the expiry of this authority, which would or might require any such securities to be allotted after this authority has expired, and in that case, the Directors may allot relevant securities in pursuance of any such offer or agreement as if the authority conferred hereby had not expired.”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251460</wp:posOffset>
            </wp:positionV>
            <wp:extent cx="7132320" cy="53149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132320" cy="531495"/>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ind w:left="334" w:right="400"/>
        <w:spacing w:after="0" w:line="299" w:lineRule="auto"/>
        <w:rPr>
          <w:sz w:val="20"/>
          <w:szCs w:val="20"/>
          <w:color w:val="auto"/>
        </w:rPr>
      </w:pPr>
      <w:r>
        <w:rPr>
          <w:rFonts w:ascii="Arial" w:cs="Arial" w:eastAsia="Arial" w:hAnsi="Arial"/>
          <w:sz w:val="22"/>
          <w:szCs w:val="22"/>
          <w:color w:val="FFFFFF"/>
        </w:rPr>
        <w:t xml:space="preserve">The Board recommends a vote </w:t>
      </w:r>
      <w:r>
        <w:rPr>
          <w:rFonts w:ascii="Arial" w:cs="Arial" w:eastAsia="Arial" w:hAnsi="Arial"/>
          <w:sz w:val="22"/>
          <w:szCs w:val="22"/>
          <w:b w:val="1"/>
          <w:bCs w:val="1"/>
          <w:color w:val="FFFFFF"/>
        </w:rPr>
        <w:t>FOR</w:t>
      </w:r>
      <w:r>
        <w:rPr>
          <w:rFonts w:ascii="Arial" w:cs="Arial" w:eastAsia="Arial" w:hAnsi="Arial"/>
          <w:sz w:val="22"/>
          <w:szCs w:val="22"/>
          <w:color w:val="FFFFFF"/>
        </w:rPr>
        <w:t xml:space="preserve"> authorization of the Board of Directors to allot new shares under Irish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574" w:hanging="574"/>
        <w:spacing w:after="0"/>
        <w:tabs>
          <w:tab w:leader="none" w:pos="574" w:val="left"/>
        </w:tabs>
        <w:numPr>
          <w:ilvl w:val="0"/>
          <w:numId w:val="150"/>
        </w:numPr>
        <w:rPr>
          <w:rFonts w:ascii="Arial" w:cs="Arial" w:eastAsia="Arial" w:hAnsi="Arial"/>
          <w:sz w:val="16"/>
          <w:szCs w:val="16"/>
          <w:b w:val="1"/>
          <w:bCs w:val="1"/>
          <w:color w:val="auto"/>
        </w:rPr>
      </w:pPr>
      <w:r>
        <w:rPr>
          <w:rFonts w:ascii="Arial" w:cs="Arial" w:eastAsia="Arial" w:hAnsi="Arial"/>
          <w:sz w:val="16"/>
          <w:szCs w:val="16"/>
          <w:color w:val="auto"/>
        </w:rPr>
        <w:t xml:space="preserve">Pentair </w:t>
      </w:r>
      <w:r>
        <w:rPr>
          <w:rFonts w:ascii="Arial" w:cs="Arial" w:eastAsia="Arial" w:hAnsi="Arial"/>
          <w:sz w:val="16"/>
          <w:szCs w:val="16"/>
          <w:b w:val="1"/>
          <w:bCs w:val="1"/>
          <w:color w:val="0C3471"/>
        </w:rPr>
        <w:t>|</w:t>
      </w:r>
      <w:r>
        <w:rPr>
          <w:rFonts w:ascii="Arial" w:cs="Arial" w:eastAsia="Arial" w:hAnsi="Arial"/>
          <w:sz w:val="16"/>
          <w:szCs w:val="16"/>
          <w:color w:val="auto"/>
        </w:rPr>
        <w:t xml:space="preserve"> </w:t>
      </w:r>
      <w:r>
        <w:rPr>
          <w:rFonts w:ascii="Arial" w:cs="Arial" w:eastAsia="Arial" w:hAnsi="Arial"/>
          <w:sz w:val="16"/>
          <w:szCs w:val="16"/>
          <w:b w:val="1"/>
          <w:bCs w:val="1"/>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213995</wp:posOffset>
            </wp:positionV>
            <wp:extent cx="7157720" cy="425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54"/>
          </w:cols>
          <w:pgMar w:left="346" w:top="1440" w:right="699" w:bottom="1440" w:gutter="0" w:footer="0" w:header="0"/>
          <w:type w:val="continuous"/>
        </w:sectPr>
      </w:pPr>
    </w:p>
    <w:bookmarkStart w:id="80" w:name="page81"/>
    <w:bookmarkEnd w:id="80"/>
    <w:p>
      <w:pPr>
        <w:spacing w:after="0" w:line="18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860425</wp:posOffset>
            </wp:positionV>
            <wp:extent cx="7132320" cy="597471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132320" cy="5974715"/>
                    </a:xfrm>
                    <a:prstGeom prst="rect">
                      <a:avLst/>
                    </a:prstGeom>
                    <a:noFill/>
                  </pic:spPr>
                </pic:pic>
              </a:graphicData>
            </a:graphic>
          </wp:anchor>
        </w:drawing>
      </w:r>
    </w:p>
    <w:p>
      <w:pPr>
        <w:ind w:left="360"/>
        <w:spacing w:after="0"/>
        <w:rPr>
          <w:sz w:val="20"/>
          <w:szCs w:val="20"/>
          <w:color w:val="auto"/>
        </w:rPr>
      </w:pPr>
      <w:r>
        <w:rPr>
          <w:rFonts w:ascii="Arial" w:cs="Arial" w:eastAsia="Arial" w:hAnsi="Arial"/>
          <w:sz w:val="25"/>
          <w:szCs w:val="25"/>
          <w:b w:val="1"/>
          <w:bCs w:val="1"/>
          <w:color w:val="auto"/>
        </w:rPr>
        <w:t>PROPOSAL 5</w:t>
      </w:r>
    </w:p>
    <w:p>
      <w:pPr>
        <w:spacing w:after="0" w:line="61" w:lineRule="exact"/>
        <w:rPr>
          <w:sz w:val="20"/>
          <w:szCs w:val="20"/>
          <w:color w:val="auto"/>
        </w:rPr>
      </w:pPr>
    </w:p>
    <w:p>
      <w:pPr>
        <w:ind w:left="360" w:right="280"/>
        <w:spacing w:after="0" w:line="243" w:lineRule="auto"/>
        <w:rPr>
          <w:sz w:val="20"/>
          <w:szCs w:val="20"/>
          <w:color w:val="auto"/>
        </w:rPr>
      </w:pPr>
      <w:r>
        <w:rPr>
          <w:rFonts w:ascii="Arial" w:cs="Arial" w:eastAsia="Arial" w:hAnsi="Arial"/>
          <w:sz w:val="38"/>
          <w:szCs w:val="38"/>
          <w:color w:val="0C3471"/>
        </w:rPr>
        <w:t>Authorize the Board of Directors to Opt-Out of Statutory Preemption Rights Under Irish Law</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460"/>
        <w:spacing w:after="0" w:line="273" w:lineRule="auto"/>
        <w:rPr>
          <w:sz w:val="20"/>
          <w:szCs w:val="20"/>
          <w:color w:val="auto"/>
        </w:rPr>
      </w:pPr>
      <w:r>
        <w:rPr>
          <w:rFonts w:ascii="Arial" w:cs="Arial" w:eastAsia="Arial" w:hAnsi="Arial"/>
          <w:sz w:val="13"/>
          <w:szCs w:val="13"/>
          <w:color w:val="auto"/>
        </w:rPr>
        <w:t xml:space="preserve">The Board recommends a vote </w:t>
      </w:r>
      <w:r>
        <w:rPr>
          <w:rFonts w:ascii="Arial" w:cs="Arial" w:eastAsia="Arial" w:hAnsi="Arial"/>
          <w:sz w:val="13"/>
          <w:szCs w:val="13"/>
          <w:b w:val="1"/>
          <w:bCs w:val="1"/>
          <w:color w:val="0C3471"/>
        </w:rPr>
        <w:t>FOR</w:t>
      </w:r>
      <w:r>
        <w:rPr>
          <w:rFonts w:ascii="Arial" w:cs="Arial" w:eastAsia="Arial" w:hAnsi="Arial"/>
          <w:sz w:val="13"/>
          <w:szCs w:val="13"/>
          <w:color w:val="auto"/>
        </w:rPr>
        <w:t xml:space="preserve"> authorization of the Board of Directors to opt-out of statutory preemption rights under Irish law</w:t>
      </w:r>
    </w:p>
    <w:p>
      <w:pPr>
        <w:spacing w:after="0" w:line="926" w:lineRule="exact"/>
        <w:rPr>
          <w:sz w:val="20"/>
          <w:szCs w:val="20"/>
          <w:color w:val="auto"/>
        </w:rPr>
      </w:pPr>
    </w:p>
    <w:p>
      <w:pPr>
        <w:sectPr>
          <w:pgSz w:w="11900" w:h="16838" w:orient="portrait"/>
          <w:cols w:equalWidth="0" w:num="2">
            <w:col w:w="7280" w:space="720"/>
            <w:col w:w="3240"/>
          </w:cols>
          <w:pgMar w:left="320" w:top="1440" w:right="339" w:bottom="1440" w:gutter="0" w:footer="0" w:header="0"/>
        </w:sectPr>
      </w:pPr>
    </w:p>
    <w:p>
      <w:pPr>
        <w:spacing w:after="0" w:line="390" w:lineRule="exact"/>
        <w:rPr>
          <w:sz w:val="20"/>
          <w:szCs w:val="20"/>
          <w:color w:val="auto"/>
        </w:rPr>
      </w:pPr>
    </w:p>
    <w:p>
      <w:pPr>
        <w:ind w:left="360" w:right="540"/>
        <w:spacing w:after="0" w:line="282" w:lineRule="auto"/>
        <w:rPr>
          <w:sz w:val="20"/>
          <w:szCs w:val="20"/>
          <w:color w:val="auto"/>
        </w:rPr>
      </w:pPr>
      <w:r>
        <w:rPr>
          <w:rFonts w:ascii="Arial" w:cs="Arial" w:eastAsia="Arial" w:hAnsi="Arial"/>
          <w:sz w:val="16"/>
          <w:szCs w:val="16"/>
          <w:color w:val="auto"/>
        </w:rPr>
        <w:t>Under Irish law, unless otherwise authorized, certain statutory preemption rights apply automatically in favor of shareholders where shares are to be issued for cash. Under the statutory preemption rights, shares issued for cash must be offered to existing shareholders of our company on a pro rata basis before the shares can be issued to any new shareholders. The Board’s current authority to opt-out of these statutory preemption rights was approved by the shareholders at the 2025 Annual General Meeting and will expire on November 6, 2026. The statutory preemption rights do not apply where shares are issued for non-cash consideration (such as in a stock-for-stock acquisition) and do not apply to the issue of non-equity shares (that is, shares that have the right to participate only up to a specified amount in any income or capital distribution) or where shares are issued pursuant to an employee option or similar equity plan.</w:t>
      </w:r>
    </w:p>
    <w:p>
      <w:pPr>
        <w:spacing w:after="0" w:line="26" w:lineRule="exact"/>
        <w:rPr>
          <w:sz w:val="20"/>
          <w:szCs w:val="20"/>
          <w:color w:val="auto"/>
        </w:rPr>
      </w:pPr>
    </w:p>
    <w:p>
      <w:pPr>
        <w:ind w:left="360" w:right="400"/>
        <w:spacing w:after="0" w:line="301" w:lineRule="auto"/>
        <w:rPr>
          <w:sz w:val="20"/>
          <w:szCs w:val="20"/>
          <w:color w:val="auto"/>
        </w:rPr>
      </w:pPr>
      <w:r>
        <w:rPr>
          <w:rFonts w:ascii="Arial" w:cs="Arial" w:eastAsia="Arial" w:hAnsi="Arial"/>
          <w:sz w:val="16"/>
          <w:szCs w:val="16"/>
          <w:color w:val="auto"/>
        </w:rPr>
        <w:t>We are presenting this Proposal 5 to renew the Board’s authority to opt-out of the statutory preemption rights provision in the event of the issuance of shares for cash. This opt-out will be limited to 20% of the company’s issued ordinary share capital as of March 6, 2026. This authority will be limited to a period expiring 18 months from the passing of this resolution, unless otherwise varied, renewed or revoked.</w:t>
      </w:r>
    </w:p>
    <w:p>
      <w:pPr>
        <w:spacing w:after="0" w:line="23" w:lineRule="exact"/>
        <w:rPr>
          <w:sz w:val="20"/>
          <w:szCs w:val="20"/>
          <w:color w:val="auto"/>
        </w:rPr>
      </w:pPr>
    </w:p>
    <w:p>
      <w:pPr>
        <w:ind w:left="360" w:right="400"/>
        <w:spacing w:after="0" w:line="277" w:lineRule="auto"/>
        <w:rPr>
          <w:sz w:val="20"/>
          <w:szCs w:val="20"/>
          <w:color w:val="auto"/>
        </w:rPr>
      </w:pPr>
      <w:r>
        <w:rPr>
          <w:rFonts w:ascii="Arial" w:cs="Arial" w:eastAsia="Arial" w:hAnsi="Arial"/>
          <w:sz w:val="16"/>
          <w:szCs w:val="16"/>
          <w:color w:val="auto"/>
        </w:rPr>
        <w:t>Granting the Board this authority is a routine matter for public limited companies incorporated in Ireland and is consistent with Irish customary practice. Similar to the authorization sought for Proposal 4, this authority is fundamental to our business and, if applicable, will facilitate our ability to fund acquisitions and otherwise raise capital. We are not asking you to approve an increase in our authorized share capital. Instead, approval of this proposal will only grant the Board the authority to issue shares in the manner already permitted under our Articles of Association upon the terms below. Without this authorization, in each case where we issue shares for cash, we would first have to offer those shares on the same or more favorable terms to all of our existing shareholders. This requirement could cause delays in the completion of acquisitions and capital raising for our business. Furthermore, we note that this authorization is required as a matter of Irish law and is not otherwise required for U.S. companies listed on the NYSE. In addition, under Irish law, the Board will only be authorized to opt-out of preemption rights if it is authorized to issue shares, which authority is being sought in Proposal 4.</w:t>
      </w:r>
    </w:p>
    <w:p>
      <w:pPr>
        <w:spacing w:after="0" w:line="4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resolution with respect to Proposal 5 is a special resolution. The text of the resolution with respect to Proposal 5 is as follows:</w:t>
      </w:r>
    </w:p>
    <w:p>
      <w:pPr>
        <w:spacing w:after="0" w:line="100" w:lineRule="exact"/>
        <w:rPr>
          <w:sz w:val="20"/>
          <w:szCs w:val="20"/>
          <w:color w:val="auto"/>
        </w:rPr>
      </w:pPr>
    </w:p>
    <w:p>
      <w:pPr>
        <w:ind w:left="360" w:right="380"/>
        <w:spacing w:after="0" w:line="28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IT IS RESOLVED</w:t>
      </w:r>
      <w:r>
        <w:rPr>
          <w:rFonts w:ascii="Arial" w:cs="Arial" w:eastAsia="Arial" w:hAnsi="Arial"/>
          <w:sz w:val="16"/>
          <w:szCs w:val="16"/>
          <w:color w:val="auto"/>
        </w:rPr>
        <w:t>, as a special resolution, that, subject to the passing of the resolution in respect of Proposal 4 as set out above and with effect from the passing of this resolution, the directors be and are hereby empowered pursuant to Section 1023 of the Companies Act 2014 to allot equity securities (as defined in Section 1023 of that Act) for cash, pursuant to the authority conferred by Proposal 4 as if sub-section (1) of Section 1022 of that Act did not apply to any such allotment, provided that this power shall be limited to the allotment of equity securities up to an aggregate nominal value of $323,205 (equivalent to 32,320,560 shares), being equivalent to approximately 20% of the aggregate nominal value of the issued ordinary share capital of the Company as of March 6, 2026 (the latest practicable date before this Proxy Statement), and the authority conferred by this resolution shall expire 18 months from the passing of this resolution, unless previously renewed, varied or revoked; provided that the Company may make an offer or agreement before the expiry of this authority, which would or might require any such securities to be allotted after this authority has expired, and in that case, the Board may allot equity securities in pursuance of any such offer or agreement as if the authority conferred hereby had not expired.”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53149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132320" cy="531495"/>
                    </a:xfrm>
                    <a:prstGeom prst="rect">
                      <a:avLst/>
                    </a:prstGeom>
                    <a:noFill/>
                  </pic:spPr>
                </pic:pic>
              </a:graphicData>
            </a:graphic>
          </wp:anchor>
        </w:drawing>
      </w:r>
    </w:p>
    <w:p>
      <w:pPr>
        <w:spacing w:after="0" w:line="330" w:lineRule="exact"/>
        <w:rPr>
          <w:sz w:val="20"/>
          <w:szCs w:val="20"/>
          <w:color w:val="auto"/>
        </w:rPr>
      </w:pPr>
    </w:p>
    <w:p>
      <w:pPr>
        <w:ind w:left="360" w:right="460"/>
        <w:spacing w:after="0" w:line="299" w:lineRule="auto"/>
        <w:rPr>
          <w:sz w:val="20"/>
          <w:szCs w:val="20"/>
          <w:color w:val="auto"/>
        </w:rPr>
      </w:pPr>
      <w:r>
        <w:rPr>
          <w:rFonts w:ascii="Arial" w:cs="Arial" w:eastAsia="Arial" w:hAnsi="Arial"/>
          <w:sz w:val="22"/>
          <w:szCs w:val="22"/>
          <w:color w:val="FFFFFF"/>
        </w:rPr>
        <w:t xml:space="preserve">The Board recommends a vote </w:t>
      </w:r>
      <w:r>
        <w:rPr>
          <w:rFonts w:ascii="Arial" w:cs="Arial" w:eastAsia="Arial" w:hAnsi="Arial"/>
          <w:sz w:val="22"/>
          <w:szCs w:val="22"/>
          <w:b w:val="1"/>
          <w:bCs w:val="1"/>
          <w:color w:val="FFFFFF"/>
        </w:rPr>
        <w:t>FOR</w:t>
      </w:r>
      <w:r>
        <w:rPr>
          <w:rFonts w:ascii="Arial" w:cs="Arial" w:eastAsia="Arial" w:hAnsi="Arial"/>
          <w:sz w:val="22"/>
          <w:szCs w:val="22"/>
          <w:color w:val="FFFFFF"/>
        </w:rPr>
        <w:t xml:space="preserve"> authorization of the Board of Directors to opt-out of statutory preemption rights under Irish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10780" w:type="dxa"/>
            <w:vAlign w:val="bottom"/>
          </w:tcPr>
          <w:p>
            <w:pPr>
              <w:ind w:left="8260"/>
              <w:spacing w:after="0"/>
              <w:rPr>
                <w:sz w:val="20"/>
                <w:szCs w:val="20"/>
                <w:color w:val="auto"/>
              </w:rPr>
            </w:pPr>
            <w:r>
              <w:rPr>
                <w:rFonts w:ascii="Arial" w:cs="Arial" w:eastAsia="Arial" w:hAnsi="Arial"/>
                <w:sz w:val="16"/>
                <w:szCs w:val="16"/>
                <w:b w:val="1"/>
                <w:bCs w:val="1"/>
                <w:color w:val="auto"/>
              </w:rPr>
              <w:t xml:space="preserve">2026 Proxy Statement </w:t>
            </w:r>
            <w:r>
              <w:rPr>
                <w:rFonts w:ascii="Arial" w:cs="Arial" w:eastAsia="Arial" w:hAnsi="Arial"/>
                <w:sz w:val="16"/>
                <w:szCs w:val="16"/>
                <w:b w:val="1"/>
                <w:bCs w:val="1"/>
                <w:color w:val="0C3471"/>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Pentair</w:t>
            </w:r>
          </w:p>
        </w:tc>
        <w:tc>
          <w:tcPr>
            <w:tcW w:w="460" w:type="dxa"/>
            <w:vAlign w:val="bottom"/>
          </w:tcPr>
          <w:p>
            <w:pPr>
              <w:jc w:val="right"/>
              <w:spacing w:after="0"/>
              <w:rPr>
                <w:sz w:val="20"/>
                <w:szCs w:val="20"/>
                <w:color w:val="auto"/>
              </w:rPr>
            </w:pPr>
            <w:r>
              <w:rPr>
                <w:rFonts w:ascii="Arial" w:cs="Arial" w:eastAsia="Arial" w:hAnsi="Arial"/>
                <w:sz w:val="16"/>
                <w:szCs w:val="16"/>
                <w:b w:val="1"/>
                <w:bCs w:val="1"/>
                <w:color w:val="auto"/>
              </w:rPr>
              <w:t>79</w:t>
            </w:r>
          </w:p>
        </w:tc>
      </w:tr>
      <w:tr>
        <w:trPr>
          <w:trHeight w:val="325"/>
        </w:trPr>
        <w:tc>
          <w:tcPr>
            <w:tcW w:w="107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81" w:name="page82"/>
    <w:bookmarkEnd w:id="81"/>
    <w:p>
      <w:pPr>
        <w:spacing w:after="0" w:line="18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860425</wp:posOffset>
            </wp:positionV>
            <wp:extent cx="7132320" cy="579501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132320" cy="5795010"/>
                    </a:xfrm>
                    <a:prstGeom prst="rect">
                      <a:avLst/>
                    </a:prstGeom>
                    <a:noFill/>
                  </pic:spPr>
                </pic:pic>
              </a:graphicData>
            </a:graphic>
          </wp:anchor>
        </w:drawing>
      </w:r>
    </w:p>
    <w:p>
      <w:pPr>
        <w:ind w:left="334"/>
        <w:spacing w:after="0"/>
        <w:rPr>
          <w:sz w:val="20"/>
          <w:szCs w:val="20"/>
          <w:color w:val="auto"/>
        </w:rPr>
      </w:pPr>
      <w:r>
        <w:rPr>
          <w:rFonts w:ascii="Arial" w:cs="Arial" w:eastAsia="Arial" w:hAnsi="Arial"/>
          <w:sz w:val="25"/>
          <w:szCs w:val="25"/>
          <w:b w:val="1"/>
          <w:bCs w:val="1"/>
          <w:color w:val="auto"/>
        </w:rPr>
        <w:t>PROPOSAL 6</w:t>
      </w:r>
    </w:p>
    <w:p>
      <w:pPr>
        <w:spacing w:after="0" w:line="86" w:lineRule="exact"/>
        <w:rPr>
          <w:sz w:val="20"/>
          <w:szCs w:val="20"/>
          <w:color w:val="auto"/>
        </w:rPr>
      </w:pPr>
    </w:p>
    <w:p>
      <w:pPr>
        <w:ind w:left="334" w:right="300"/>
        <w:spacing w:after="0" w:line="299" w:lineRule="auto"/>
        <w:rPr>
          <w:sz w:val="20"/>
          <w:szCs w:val="20"/>
          <w:color w:val="auto"/>
        </w:rPr>
      </w:pPr>
      <w:r>
        <w:rPr>
          <w:rFonts w:ascii="Arial" w:cs="Arial" w:eastAsia="Arial" w:hAnsi="Arial"/>
          <w:sz w:val="37"/>
          <w:szCs w:val="37"/>
          <w:color w:val="0C3471"/>
        </w:rPr>
        <w:t>Authorize the Price Range at Which Pentair plc can Re-Allot Shares it Holds as Treasury Shares Under Irish Law</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line="268" w:lineRule="auto"/>
        <w:rPr>
          <w:sz w:val="20"/>
          <w:szCs w:val="20"/>
          <w:color w:val="auto"/>
        </w:rPr>
      </w:pPr>
      <w:r>
        <w:rPr>
          <w:rFonts w:ascii="Arial" w:cs="Arial" w:eastAsia="Arial" w:hAnsi="Arial"/>
          <w:sz w:val="13"/>
          <w:szCs w:val="13"/>
          <w:color w:val="auto"/>
        </w:rPr>
        <w:t xml:space="preserve">The Board recommends a vote </w:t>
      </w:r>
      <w:r>
        <w:rPr>
          <w:rFonts w:ascii="Arial" w:cs="Arial" w:eastAsia="Arial" w:hAnsi="Arial"/>
          <w:sz w:val="13"/>
          <w:szCs w:val="13"/>
          <w:b w:val="1"/>
          <w:bCs w:val="1"/>
          <w:color w:val="0C3471"/>
        </w:rPr>
        <w:t>FOR</w:t>
      </w:r>
      <w:r>
        <w:rPr>
          <w:rFonts w:ascii="Arial" w:cs="Arial" w:eastAsia="Arial" w:hAnsi="Arial"/>
          <w:sz w:val="13"/>
          <w:szCs w:val="13"/>
          <w:color w:val="auto"/>
        </w:rPr>
        <w:t xml:space="preserve"> the authorization of the price range at which Pentair plc can re-allot shares it holds as treasury shares under Irish law</w:t>
      </w:r>
    </w:p>
    <w:p>
      <w:pPr>
        <w:spacing w:after="0" w:line="1057" w:lineRule="exact"/>
        <w:rPr>
          <w:sz w:val="20"/>
          <w:szCs w:val="20"/>
          <w:color w:val="auto"/>
        </w:rPr>
      </w:pPr>
    </w:p>
    <w:p>
      <w:pPr>
        <w:sectPr>
          <w:pgSz w:w="11900" w:h="16838" w:orient="portrait"/>
          <w:cols w:equalWidth="0" w:num="2">
            <w:col w:w="7254" w:space="720"/>
            <w:col w:w="2860"/>
          </w:cols>
          <w:pgMar w:left="346" w:top="1440" w:right="719" w:bottom="1440" w:gutter="0" w:footer="0" w:header="0"/>
        </w:sectPr>
      </w:pPr>
    </w:p>
    <w:p>
      <w:pPr>
        <w:spacing w:after="0" w:line="317" w:lineRule="exact"/>
        <w:rPr>
          <w:sz w:val="20"/>
          <w:szCs w:val="20"/>
          <w:color w:val="auto"/>
        </w:rPr>
      </w:pPr>
    </w:p>
    <w:p>
      <w:pPr>
        <w:ind w:left="334" w:right="120"/>
        <w:spacing w:after="0" w:line="292" w:lineRule="auto"/>
        <w:rPr>
          <w:sz w:val="20"/>
          <w:szCs w:val="20"/>
          <w:color w:val="auto"/>
        </w:rPr>
      </w:pPr>
      <w:r>
        <w:rPr>
          <w:rFonts w:ascii="Arial" w:cs="Arial" w:eastAsia="Arial" w:hAnsi="Arial"/>
          <w:sz w:val="16"/>
          <w:szCs w:val="16"/>
          <w:color w:val="auto"/>
        </w:rPr>
        <w:t>Our historical open-market share repurchases and other share buyback activities result in ordinary shares being acquired and held by us as treasury shares or cancelled. We may re-allot treasury shares that we acquire through our various share buyback activities in connection with our employee compensation programs or otherwise.</w:t>
      </w:r>
    </w:p>
    <w:p>
      <w:pPr>
        <w:spacing w:after="0" w:line="71" w:lineRule="exact"/>
        <w:rPr>
          <w:sz w:val="20"/>
          <w:szCs w:val="20"/>
          <w:color w:val="auto"/>
        </w:rPr>
      </w:pPr>
    </w:p>
    <w:p>
      <w:pPr>
        <w:ind w:left="334" w:right="180"/>
        <w:spacing w:after="0" w:line="292" w:lineRule="auto"/>
        <w:rPr>
          <w:sz w:val="20"/>
          <w:szCs w:val="20"/>
          <w:color w:val="auto"/>
        </w:rPr>
      </w:pPr>
      <w:r>
        <w:rPr>
          <w:rFonts w:ascii="Arial" w:cs="Arial" w:eastAsia="Arial" w:hAnsi="Arial"/>
          <w:sz w:val="16"/>
          <w:szCs w:val="16"/>
          <w:color w:val="auto"/>
        </w:rPr>
        <w:t>Under Irish law, our shareholders must authorize the price range at which we may re-allot any shares held in treasury. In this proposal, that price range is expressed as a minimum and maximum percentage of the prevailing market price (as defined below). The company’s current authorization was granted by the shareholders at the 2025 Annual General Meeting and will expire on November 6, 2026.</w:t>
      </w:r>
    </w:p>
    <w:p>
      <w:pPr>
        <w:spacing w:after="0" w:line="71" w:lineRule="exact"/>
        <w:rPr>
          <w:sz w:val="20"/>
          <w:szCs w:val="20"/>
          <w:color w:val="auto"/>
        </w:rPr>
      </w:pPr>
    </w:p>
    <w:p>
      <w:pPr>
        <w:ind w:left="334"/>
        <w:spacing w:after="0" w:line="282" w:lineRule="auto"/>
        <w:rPr>
          <w:sz w:val="20"/>
          <w:szCs w:val="20"/>
          <w:color w:val="auto"/>
        </w:rPr>
      </w:pPr>
      <w:r>
        <w:rPr>
          <w:rFonts w:ascii="Arial" w:cs="Arial" w:eastAsia="Arial" w:hAnsi="Arial"/>
          <w:sz w:val="16"/>
          <w:szCs w:val="16"/>
          <w:color w:val="auto"/>
        </w:rPr>
        <w:t>The authority being sought from shareholders provides that the minimum and maximum prices at which an ordinary share held in treasury may be re-allotted are 95% (or nominal value where the re-allotment of treasury shares is required to satisfy an obligation under any employee or director share or option plan operated by Pentair plc) and 120%, respectively, of the average closing price per ordinary share, as reported on the NYSE, for the 30 trading days immediately preceding the proposed date of re-allotment. Any re-allotment of treasury shares will be at price levels that the Board considers in the best interests of our shareholders. Under Irish law, this authorization will expire after 18 months unless renewed. Accordingly, we expect to propose renewal of this authorization at subsequent Annual General Meetings.</w:t>
      </w:r>
    </w:p>
    <w:p>
      <w:pPr>
        <w:spacing w:after="0" w:line="66" w:lineRule="exact"/>
        <w:rPr>
          <w:sz w:val="20"/>
          <w:szCs w:val="20"/>
          <w:color w:val="auto"/>
        </w:rPr>
      </w:pPr>
    </w:p>
    <w:p>
      <w:pPr>
        <w:ind w:left="334"/>
        <w:spacing w:after="0"/>
        <w:rPr>
          <w:sz w:val="20"/>
          <w:szCs w:val="20"/>
          <w:color w:val="auto"/>
        </w:rPr>
      </w:pPr>
      <w:r>
        <w:rPr>
          <w:rFonts w:ascii="Arial" w:cs="Arial" w:eastAsia="Arial" w:hAnsi="Arial"/>
          <w:sz w:val="16"/>
          <w:szCs w:val="16"/>
          <w:color w:val="auto"/>
        </w:rPr>
        <w:t>The resolution with respect to Proposal 6 is a special resolution. The text of the resolution with respect to Proposal 6 is as follows:</w:t>
      </w:r>
    </w:p>
    <w:p>
      <w:pPr>
        <w:spacing w:after="0" w:line="140" w:lineRule="exact"/>
        <w:rPr>
          <w:sz w:val="20"/>
          <w:szCs w:val="20"/>
          <w:color w:val="auto"/>
        </w:rPr>
      </w:pPr>
    </w:p>
    <w:p>
      <w:pPr>
        <w:ind w:left="334" w:right="20"/>
        <w:spacing w:after="0" w:line="30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IT IS RESOLVED</w:t>
      </w:r>
      <w:r>
        <w:rPr>
          <w:rFonts w:ascii="Arial" w:cs="Arial" w:eastAsia="Arial" w:hAnsi="Arial"/>
          <w:sz w:val="16"/>
          <w:szCs w:val="16"/>
          <w:color w:val="auto"/>
        </w:rPr>
        <w:t>, as a special resolution, that for the purposes of Section 1078 of the Companies Act 2014, the re-allotment price range at which any treasury shares (as defined by Section 106 of the Companies Act 2014) for the time being held by Pentair plc may be re-allotted as follows:</w:t>
      </w:r>
    </w:p>
    <w:p>
      <w:pPr>
        <w:spacing w:after="0" w:line="60" w:lineRule="exact"/>
        <w:rPr>
          <w:sz w:val="20"/>
          <w:szCs w:val="20"/>
          <w:color w:val="auto"/>
        </w:rPr>
      </w:pPr>
    </w:p>
    <w:p>
      <w:pPr>
        <w:ind w:left="554" w:hanging="217"/>
        <w:spacing w:after="0"/>
        <w:tabs>
          <w:tab w:leader="none" w:pos="554" w:val="left"/>
        </w:tabs>
        <w:numPr>
          <w:ilvl w:val="0"/>
          <w:numId w:val="151"/>
        </w:numPr>
        <w:rPr>
          <w:rFonts w:ascii="Arial" w:cs="Arial" w:eastAsia="Arial" w:hAnsi="Arial"/>
          <w:sz w:val="16"/>
          <w:szCs w:val="16"/>
          <w:color w:val="auto"/>
        </w:rPr>
      </w:pPr>
      <w:r>
        <w:rPr>
          <w:rFonts w:ascii="Arial" w:cs="Arial" w:eastAsia="Arial" w:hAnsi="Arial"/>
          <w:sz w:val="16"/>
          <w:szCs w:val="16"/>
          <w:color w:val="auto"/>
        </w:rPr>
        <w:t>the maximum price at which a treasury share may be re-allotted shall be an amount equal to 120% of the “market price.”</w:t>
      </w:r>
    </w:p>
    <w:p>
      <w:pPr>
        <w:spacing w:after="0" w:line="99" w:lineRule="exact"/>
        <w:rPr>
          <w:rFonts w:ascii="Arial" w:cs="Arial" w:eastAsia="Arial" w:hAnsi="Arial"/>
          <w:sz w:val="16"/>
          <w:szCs w:val="16"/>
          <w:color w:val="auto"/>
        </w:rPr>
      </w:pPr>
    </w:p>
    <w:p>
      <w:pPr>
        <w:jc w:val="both"/>
        <w:ind w:left="534" w:hanging="197"/>
        <w:spacing w:after="0" w:line="292" w:lineRule="auto"/>
        <w:tabs>
          <w:tab w:leader="none" w:pos="529" w:val="left"/>
        </w:tabs>
        <w:numPr>
          <w:ilvl w:val="0"/>
          <w:numId w:val="151"/>
        </w:numPr>
        <w:rPr>
          <w:rFonts w:ascii="Arial" w:cs="Arial" w:eastAsia="Arial" w:hAnsi="Arial"/>
          <w:sz w:val="16"/>
          <w:szCs w:val="16"/>
          <w:color w:val="auto"/>
        </w:rPr>
      </w:pPr>
      <w:r>
        <w:rPr>
          <w:rFonts w:ascii="Arial" w:cs="Arial" w:eastAsia="Arial" w:hAnsi="Arial"/>
          <w:sz w:val="16"/>
          <w:szCs w:val="16"/>
          <w:color w:val="auto"/>
        </w:rPr>
        <w:t>the minimum price at which a treasury share may be re-allotted shall be the nominal value of the share where such a share is required to satisfy an obligation under any employee or director share or option plan operated by Pentair plc or, in all other cases, not less than 95% of the “market price.”</w:t>
      </w:r>
    </w:p>
    <w:p>
      <w:pPr>
        <w:spacing w:after="0" w:line="30" w:lineRule="exact"/>
        <w:rPr>
          <w:rFonts w:ascii="Arial" w:cs="Arial" w:eastAsia="Arial" w:hAnsi="Arial"/>
          <w:sz w:val="16"/>
          <w:szCs w:val="16"/>
          <w:color w:val="auto"/>
        </w:rPr>
      </w:pPr>
    </w:p>
    <w:p>
      <w:pPr>
        <w:ind w:left="534" w:right="120" w:hanging="197"/>
        <w:spacing w:after="0" w:line="321" w:lineRule="auto"/>
        <w:tabs>
          <w:tab w:leader="none" w:pos="529" w:val="left"/>
        </w:tabs>
        <w:numPr>
          <w:ilvl w:val="0"/>
          <w:numId w:val="151"/>
        </w:numPr>
        <w:rPr>
          <w:rFonts w:ascii="Arial" w:cs="Arial" w:eastAsia="Arial" w:hAnsi="Arial"/>
          <w:sz w:val="16"/>
          <w:szCs w:val="16"/>
          <w:color w:val="auto"/>
        </w:rPr>
      </w:pPr>
      <w:r>
        <w:rPr>
          <w:rFonts w:ascii="Arial" w:cs="Arial" w:eastAsia="Arial" w:hAnsi="Arial"/>
          <w:sz w:val="16"/>
          <w:szCs w:val="16"/>
          <w:color w:val="auto"/>
        </w:rPr>
        <w:t>for the purposes of this resolution, the “market price” shall mean the average closing price per ordinary share of Pentair plc, as reported on the New York Stock Exchange, for the 30 trading days immediately preceding the day on which the relevant share is re-allotted.</w:t>
      </w:r>
    </w:p>
    <w:p>
      <w:pPr>
        <w:spacing w:after="0" w:line="34" w:lineRule="exact"/>
        <w:rPr>
          <w:sz w:val="20"/>
          <w:szCs w:val="20"/>
          <w:color w:val="auto"/>
        </w:rPr>
      </w:pPr>
    </w:p>
    <w:p>
      <w:pPr>
        <w:ind w:left="334" w:right="120"/>
        <w:spacing w:after="0" w:line="289" w:lineRule="auto"/>
        <w:rPr>
          <w:sz w:val="20"/>
          <w:szCs w:val="20"/>
          <w:color w:val="auto"/>
        </w:rPr>
      </w:pPr>
      <w:r>
        <w:rPr>
          <w:rFonts w:ascii="Arial" w:cs="Arial" w:eastAsia="Arial" w:hAnsi="Arial"/>
          <w:sz w:val="16"/>
          <w:szCs w:val="16"/>
          <w:b w:val="1"/>
          <w:bCs w:val="1"/>
          <w:color w:val="auto"/>
        </w:rPr>
        <w:t>FURTHER RESOLVED</w:t>
      </w:r>
      <w:r>
        <w:rPr>
          <w:rFonts w:ascii="Arial" w:cs="Arial" w:eastAsia="Arial" w:hAnsi="Arial"/>
          <w:sz w:val="16"/>
          <w:szCs w:val="16"/>
          <w:color w:val="auto"/>
        </w:rPr>
        <w:t>, that this authority to re-allot treasury shares shall expire on the date 18 months from the date of the passing of this</w:t>
      </w:r>
      <w:r>
        <w:rPr>
          <w:rFonts w:ascii="Arial" w:cs="Arial" w:eastAsia="Arial" w:hAnsi="Arial"/>
          <w:sz w:val="16"/>
          <w:szCs w:val="16"/>
          <w:b w:val="1"/>
          <w:bCs w:val="1"/>
          <w:color w:val="auto"/>
        </w:rPr>
        <w:t xml:space="preserve"> </w:t>
      </w:r>
      <w:r>
        <w:rPr>
          <w:rFonts w:ascii="Arial" w:cs="Arial" w:eastAsia="Arial" w:hAnsi="Arial"/>
          <w:sz w:val="16"/>
          <w:szCs w:val="16"/>
          <w:color w:val="auto"/>
        </w:rPr>
        <w:t>resolution unless previously varied, revoked or renewed in accordance with the provisions of Sections 109 and/or 1078 (as applicable) of the Companies Act 2014 (and/or any corresponding provision of any amended or replacement legislation) and is without prejudice or limitation to any other authority of the Company to re-allot treasury shares on-market.”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174625</wp:posOffset>
            </wp:positionV>
            <wp:extent cx="7132320" cy="53149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132320" cy="531495"/>
                    </a:xfrm>
                    <a:prstGeom prst="rect">
                      <a:avLst/>
                    </a:prstGeom>
                    <a:noFill/>
                  </pic:spPr>
                </pic:pic>
              </a:graphicData>
            </a:graphic>
          </wp:anchor>
        </w:drawing>
      </w:r>
    </w:p>
    <w:p>
      <w:pPr>
        <w:spacing w:after="0" w:line="375" w:lineRule="exact"/>
        <w:rPr>
          <w:sz w:val="20"/>
          <w:szCs w:val="20"/>
          <w:color w:val="auto"/>
        </w:rPr>
      </w:pPr>
    </w:p>
    <w:p>
      <w:pPr>
        <w:ind w:left="334" w:right="560"/>
        <w:spacing w:after="0" w:line="299" w:lineRule="auto"/>
        <w:rPr>
          <w:sz w:val="20"/>
          <w:szCs w:val="20"/>
          <w:color w:val="auto"/>
        </w:rPr>
      </w:pPr>
      <w:r>
        <w:rPr>
          <w:rFonts w:ascii="Arial" w:cs="Arial" w:eastAsia="Arial" w:hAnsi="Arial"/>
          <w:sz w:val="22"/>
          <w:szCs w:val="22"/>
          <w:color w:val="FFFFFF"/>
        </w:rPr>
        <w:t xml:space="preserve">The Board recommends a vote </w:t>
      </w:r>
      <w:r>
        <w:rPr>
          <w:rFonts w:ascii="Arial" w:cs="Arial" w:eastAsia="Arial" w:hAnsi="Arial"/>
          <w:sz w:val="22"/>
          <w:szCs w:val="22"/>
          <w:b w:val="1"/>
          <w:bCs w:val="1"/>
          <w:color w:val="FFFFFF"/>
        </w:rPr>
        <w:t>FOR</w:t>
      </w:r>
      <w:r>
        <w:rPr>
          <w:rFonts w:ascii="Arial" w:cs="Arial" w:eastAsia="Arial" w:hAnsi="Arial"/>
          <w:sz w:val="22"/>
          <w:szCs w:val="22"/>
          <w:color w:val="FFFFFF"/>
        </w:rPr>
        <w:t xml:space="preserve"> the authorization of the price range at which Pentair plc can re-allot shares it holds as treasury shares under Irish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574" w:hanging="574"/>
        <w:spacing w:after="0"/>
        <w:tabs>
          <w:tab w:leader="none" w:pos="574" w:val="left"/>
        </w:tabs>
        <w:numPr>
          <w:ilvl w:val="0"/>
          <w:numId w:val="152"/>
        </w:numPr>
        <w:rPr>
          <w:rFonts w:ascii="Arial" w:cs="Arial" w:eastAsia="Arial" w:hAnsi="Arial"/>
          <w:sz w:val="16"/>
          <w:szCs w:val="16"/>
          <w:b w:val="1"/>
          <w:bCs w:val="1"/>
          <w:color w:val="auto"/>
        </w:rPr>
      </w:pPr>
      <w:r>
        <w:rPr>
          <w:rFonts w:ascii="Arial" w:cs="Arial" w:eastAsia="Arial" w:hAnsi="Arial"/>
          <w:sz w:val="16"/>
          <w:szCs w:val="16"/>
          <w:color w:val="auto"/>
        </w:rPr>
        <w:t xml:space="preserve">Pentair </w:t>
      </w:r>
      <w:r>
        <w:rPr>
          <w:rFonts w:ascii="Arial" w:cs="Arial" w:eastAsia="Arial" w:hAnsi="Arial"/>
          <w:sz w:val="16"/>
          <w:szCs w:val="16"/>
          <w:b w:val="1"/>
          <w:bCs w:val="1"/>
          <w:color w:val="0C3471"/>
        </w:rPr>
        <w:t>|</w:t>
      </w:r>
      <w:r>
        <w:rPr>
          <w:rFonts w:ascii="Arial" w:cs="Arial" w:eastAsia="Arial" w:hAnsi="Arial"/>
          <w:sz w:val="16"/>
          <w:szCs w:val="16"/>
          <w:color w:val="auto"/>
        </w:rPr>
        <w:t xml:space="preserve"> </w:t>
      </w:r>
      <w:r>
        <w:rPr>
          <w:rFonts w:ascii="Arial" w:cs="Arial" w:eastAsia="Arial" w:hAnsi="Arial"/>
          <w:sz w:val="16"/>
          <w:szCs w:val="16"/>
          <w:b w:val="1"/>
          <w:bCs w:val="1"/>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213995</wp:posOffset>
            </wp:positionV>
            <wp:extent cx="7157720" cy="425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34"/>
          </w:cols>
          <w:pgMar w:left="346" w:top="1440" w:right="719" w:bottom="1440" w:gutter="0" w:footer="0" w:header="0"/>
          <w:type w:val="continuous"/>
        </w:sectPr>
      </w:pPr>
    </w:p>
    <w:bookmarkStart w:id="82" w:name="page83"/>
    <w:bookmarkEnd w:id="82"/>
    <w:p>
      <w:pPr>
        <w:spacing w:after="0" w:line="7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216535</wp:posOffset>
            </wp:positionH>
            <wp:positionV relativeFrom="page">
              <wp:posOffset>877570</wp:posOffset>
            </wp:positionV>
            <wp:extent cx="445770" cy="47180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clrChange>
                        <a:clrFrom>
                          <a:srgbClr val="FFFFFF"/>
                        </a:clrFrom>
                        <a:clrTo>
                          <a:srgbClr val="FFFFFF">
                            <a:alpha val="0"/>
                          </a:srgbClr>
                        </a:clrTo>
                      </a:clrChange>
                      <a:extLst>
                        <a:ext uri="{28A0092B-C50C-407E-A947-70E740481C1C}"/>
                      </a:extLst>
                    </a:blip>
                    <a:srcRect/>
                    <a:stretch>
                      <a:fillRect/>
                    </a:stretch>
                  </pic:blipFill>
                  <pic:spPr bwMode="auto">
                    <a:xfrm>
                      <a:off x="0" y="0"/>
                      <a:ext cx="445770" cy="471805"/>
                    </a:xfrm>
                    <a:prstGeom prst="rect">
                      <a:avLst/>
                    </a:prstGeom>
                    <a:noFill/>
                  </pic:spPr>
                </pic:pic>
              </a:graphicData>
            </a:graphic>
          </wp:anchor>
        </w:drawing>
      </w:r>
    </w:p>
    <w:p>
      <w:pPr>
        <w:ind w:left="1080"/>
        <w:spacing w:after="0"/>
        <w:rPr>
          <w:sz w:val="20"/>
          <w:szCs w:val="20"/>
          <w:color w:val="auto"/>
        </w:rPr>
      </w:pPr>
      <w:r>
        <w:rPr>
          <w:rFonts w:ascii="Arial" w:cs="Arial" w:eastAsia="Arial" w:hAnsi="Arial"/>
          <w:sz w:val="43"/>
          <w:szCs w:val="43"/>
          <w:b w:val="1"/>
          <w:bCs w:val="1"/>
          <w:color w:val="0C3471"/>
        </w:rPr>
        <w:t>Ownership of Pentair Securities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32"/>
          <w:szCs w:val="32"/>
          <w:color w:val="0C3471"/>
        </w:rPr>
        <w:t>Security Ownership</w:t>
      </w:r>
    </w:p>
    <w:p>
      <w:pPr>
        <w:spacing w:after="0" w:line="132" w:lineRule="exact"/>
        <w:rPr>
          <w:sz w:val="20"/>
          <w:szCs w:val="20"/>
          <w:color w:val="auto"/>
        </w:rPr>
      </w:pPr>
    </w:p>
    <w:p>
      <w:pPr>
        <w:ind w:right="220"/>
        <w:spacing w:after="0" w:line="289" w:lineRule="auto"/>
        <w:rPr>
          <w:sz w:val="20"/>
          <w:szCs w:val="20"/>
          <w:color w:val="auto"/>
        </w:rPr>
      </w:pPr>
      <w:r>
        <w:rPr>
          <w:rFonts w:ascii="Arial" w:cs="Arial" w:eastAsia="Arial" w:hAnsi="Arial"/>
          <w:sz w:val="16"/>
          <w:szCs w:val="16"/>
          <w:color w:val="auto"/>
        </w:rPr>
        <w:t>The following table contains information concerning the beneficial ownership of our ordinary shares as of March 6, 2026, by each director and nominee to become a director, by each executive officer listed in the Summary Compensation Table, and by all current directors and executive officers as a group. Based on filings with the SEC, the following table also contains information concerning each person we know who beneficially owned more than 5% of our ordinary shares as of December 31, 2025.</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8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Name of</w:t>
            </w:r>
          </w:p>
        </w:tc>
        <w:tc>
          <w:tcPr>
            <w:tcW w:w="1620" w:type="dxa"/>
            <w:vAlign w:val="bottom"/>
          </w:tcPr>
          <w:p>
            <w:pPr>
              <w:spacing w:after="0"/>
              <w:rPr>
                <w:sz w:val="15"/>
                <w:szCs w:val="15"/>
                <w:color w:val="auto"/>
              </w:rPr>
            </w:pPr>
          </w:p>
        </w:tc>
        <w:tc>
          <w:tcPr>
            <w:tcW w:w="1140" w:type="dxa"/>
            <w:vAlign w:val="bottom"/>
            <w:vMerge w:val="restart"/>
          </w:tcPr>
          <w:p>
            <w:pPr>
              <w:jc w:val="right"/>
              <w:ind w:right="180"/>
              <w:spacing w:after="0"/>
              <w:rPr>
                <w:sz w:val="20"/>
                <w:szCs w:val="20"/>
                <w:color w:val="auto"/>
              </w:rPr>
            </w:pPr>
            <w:r>
              <w:rPr>
                <w:rFonts w:ascii="Arial" w:cs="Arial" w:eastAsia="Arial" w:hAnsi="Arial"/>
                <w:sz w:val="14"/>
                <w:szCs w:val="14"/>
                <w:b w:val="1"/>
                <w:bCs w:val="1"/>
                <w:color w:val="auto"/>
              </w:rPr>
              <w:t>Share</w:t>
            </w:r>
          </w:p>
        </w:tc>
        <w:tc>
          <w:tcPr>
            <w:tcW w:w="1520" w:type="dxa"/>
            <w:vAlign w:val="bottom"/>
          </w:tcPr>
          <w:p>
            <w:pPr>
              <w:jc w:val="right"/>
              <w:ind w:right="160"/>
              <w:spacing w:after="0"/>
              <w:rPr>
                <w:sz w:val="20"/>
                <w:szCs w:val="20"/>
                <w:color w:val="auto"/>
              </w:rPr>
            </w:pPr>
            <w:r>
              <w:rPr>
                <w:rFonts w:ascii="Arial" w:cs="Arial" w:eastAsia="Arial" w:hAnsi="Arial"/>
                <w:sz w:val="14"/>
                <w:szCs w:val="14"/>
                <w:b w:val="1"/>
                <w:bCs w:val="1"/>
                <w:color w:val="auto"/>
              </w:rPr>
              <w:t>Right to</w:t>
            </w:r>
          </w:p>
        </w:tc>
        <w:tc>
          <w:tcPr>
            <w:tcW w:w="960" w:type="dxa"/>
            <w:vAlign w:val="bottom"/>
            <w:vMerge w:val="restart"/>
          </w:tcPr>
          <w:p>
            <w:pPr>
              <w:jc w:val="right"/>
              <w:ind w:right="120"/>
              <w:spacing w:after="0"/>
              <w:rPr>
                <w:sz w:val="20"/>
                <w:szCs w:val="20"/>
                <w:color w:val="auto"/>
              </w:rPr>
            </w:pPr>
            <w:r>
              <w:rPr>
                <w:rFonts w:ascii="Arial" w:cs="Arial" w:eastAsia="Arial" w:hAnsi="Arial"/>
                <w:sz w:val="14"/>
                <w:szCs w:val="14"/>
                <w:b w:val="1"/>
                <w:bCs w:val="1"/>
                <w:color w:val="auto"/>
              </w:rPr>
              <w:t>RSIP</w:t>
            </w:r>
          </w:p>
        </w:tc>
        <w:tc>
          <w:tcPr>
            <w:tcW w:w="132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60"/>
        </w:trPr>
        <w:tc>
          <w:tcPr>
            <w:tcW w:w="3840" w:type="dxa"/>
            <w:vAlign w:val="bottom"/>
            <w:vMerge w:val="continue"/>
          </w:tcPr>
          <w:p>
            <w:pPr>
              <w:spacing w:after="0"/>
              <w:rPr>
                <w:sz w:val="13"/>
                <w:szCs w:val="13"/>
                <w:color w:val="auto"/>
              </w:rPr>
            </w:pPr>
          </w:p>
        </w:tc>
        <w:tc>
          <w:tcPr>
            <w:tcW w:w="1620" w:type="dxa"/>
            <w:vAlign w:val="bottom"/>
          </w:tcPr>
          <w:p>
            <w:pPr>
              <w:spacing w:after="0"/>
              <w:rPr>
                <w:sz w:val="13"/>
                <w:szCs w:val="13"/>
                <w:color w:val="auto"/>
              </w:rPr>
            </w:pPr>
          </w:p>
        </w:tc>
        <w:tc>
          <w:tcPr>
            <w:tcW w:w="1140" w:type="dxa"/>
            <w:vAlign w:val="bottom"/>
            <w:vMerge w:val="continue"/>
          </w:tcPr>
          <w:p>
            <w:pPr>
              <w:spacing w:after="0"/>
              <w:rPr>
                <w:sz w:val="13"/>
                <w:szCs w:val="13"/>
                <w:color w:val="auto"/>
              </w:rPr>
            </w:pPr>
          </w:p>
        </w:tc>
        <w:tc>
          <w:tcPr>
            <w:tcW w:w="1520" w:type="dxa"/>
            <w:vAlign w:val="bottom"/>
          </w:tcPr>
          <w:p>
            <w:pPr>
              <w:jc w:val="right"/>
              <w:ind w:right="160"/>
              <w:spacing w:after="0" w:line="159" w:lineRule="exact"/>
              <w:rPr>
                <w:sz w:val="20"/>
                <w:szCs w:val="20"/>
                <w:color w:val="auto"/>
              </w:rPr>
            </w:pPr>
            <w:r>
              <w:rPr>
                <w:rFonts w:ascii="Arial" w:cs="Arial" w:eastAsia="Arial" w:hAnsi="Arial"/>
                <w:sz w:val="14"/>
                <w:szCs w:val="14"/>
                <w:b w:val="1"/>
                <w:bCs w:val="1"/>
                <w:color w:val="auto"/>
              </w:rPr>
              <w:t>Acquire within</w:t>
            </w:r>
          </w:p>
        </w:tc>
        <w:tc>
          <w:tcPr>
            <w:tcW w:w="960" w:type="dxa"/>
            <w:vAlign w:val="bottom"/>
            <w:vMerge w:val="continue"/>
          </w:tcPr>
          <w:p>
            <w:pPr>
              <w:spacing w:after="0"/>
              <w:rPr>
                <w:sz w:val="13"/>
                <w:szCs w:val="13"/>
                <w:color w:val="auto"/>
              </w:rPr>
            </w:pPr>
          </w:p>
        </w:tc>
        <w:tc>
          <w:tcPr>
            <w:tcW w:w="132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4"/>
        </w:trPr>
        <w:tc>
          <w:tcPr>
            <w:tcW w:w="3840" w:type="dxa"/>
            <w:vAlign w:val="bottom"/>
            <w:tcBorders>
              <w:bottom w:val="single" w:sz="8" w:color="0C3471"/>
            </w:tcBorders>
          </w:tcPr>
          <w:p>
            <w:pPr>
              <w:ind w:left="20"/>
              <w:spacing w:after="0"/>
              <w:rPr>
                <w:sz w:val="20"/>
                <w:szCs w:val="20"/>
                <w:color w:val="auto"/>
              </w:rPr>
            </w:pPr>
            <w:r>
              <w:rPr>
                <w:rFonts w:ascii="Arial" w:cs="Arial" w:eastAsia="Arial" w:hAnsi="Arial"/>
                <w:sz w:val="14"/>
                <w:szCs w:val="14"/>
                <w:b w:val="1"/>
                <w:bCs w:val="1"/>
                <w:color w:val="auto"/>
              </w:rPr>
              <w:t>Beneficial Owner</w:t>
            </w:r>
          </w:p>
        </w:tc>
        <w:tc>
          <w:tcPr>
            <w:tcW w:w="1620" w:type="dxa"/>
            <w:vAlign w:val="bottom"/>
            <w:tcBorders>
              <w:bottom w:val="single" w:sz="8" w:color="0C3471"/>
            </w:tcBorders>
          </w:tcPr>
          <w:p>
            <w:pPr>
              <w:jc w:val="right"/>
              <w:ind w:right="159"/>
              <w:spacing w:after="0"/>
              <w:rPr>
                <w:sz w:val="20"/>
                <w:szCs w:val="20"/>
                <w:color w:val="auto"/>
              </w:rPr>
            </w:pPr>
            <w:r>
              <w:rPr>
                <w:rFonts w:ascii="Arial" w:cs="Arial" w:eastAsia="Arial" w:hAnsi="Arial"/>
                <w:sz w:val="14"/>
                <w:szCs w:val="14"/>
                <w:b w:val="1"/>
                <w:bCs w:val="1"/>
                <w:color w:val="auto"/>
              </w:rPr>
              <w:t>Ordinary Shares</w:t>
            </w:r>
            <w:r>
              <w:rPr>
                <w:rFonts w:ascii="Arial" w:cs="Arial" w:eastAsia="Arial" w:hAnsi="Arial"/>
                <w:sz w:val="18"/>
                <w:szCs w:val="18"/>
                <w:b w:val="1"/>
                <w:bCs w:val="1"/>
                <w:color w:val="auto"/>
                <w:vertAlign w:val="superscript"/>
              </w:rPr>
              <w:t>(1)</w:t>
            </w:r>
          </w:p>
        </w:tc>
        <w:tc>
          <w:tcPr>
            <w:tcW w:w="1140" w:type="dxa"/>
            <w:vAlign w:val="bottom"/>
            <w:tcBorders>
              <w:bottom w:val="single" w:sz="8" w:color="0C3471"/>
            </w:tcBorders>
          </w:tcPr>
          <w:p>
            <w:pPr>
              <w:jc w:val="right"/>
              <w:ind w:right="180"/>
              <w:spacing w:after="0"/>
              <w:rPr>
                <w:sz w:val="20"/>
                <w:szCs w:val="20"/>
                <w:color w:val="auto"/>
              </w:rPr>
            </w:pPr>
            <w:r>
              <w:rPr>
                <w:rFonts w:ascii="Arial" w:cs="Arial" w:eastAsia="Arial" w:hAnsi="Arial"/>
                <w:sz w:val="14"/>
                <w:szCs w:val="14"/>
                <w:b w:val="1"/>
                <w:bCs w:val="1"/>
                <w:color w:val="auto"/>
              </w:rPr>
              <w:t>Units</w:t>
            </w:r>
            <w:r>
              <w:rPr>
                <w:rFonts w:ascii="Arial" w:cs="Arial" w:eastAsia="Arial" w:hAnsi="Arial"/>
                <w:sz w:val="18"/>
                <w:szCs w:val="18"/>
                <w:b w:val="1"/>
                <w:bCs w:val="1"/>
                <w:color w:val="auto"/>
                <w:vertAlign w:val="superscript"/>
              </w:rPr>
              <w:t>(2)</w:t>
            </w:r>
          </w:p>
        </w:tc>
        <w:tc>
          <w:tcPr>
            <w:tcW w:w="1520" w:type="dxa"/>
            <w:vAlign w:val="bottom"/>
            <w:tcBorders>
              <w:bottom w:val="single" w:sz="8" w:color="0C3471"/>
            </w:tcBorders>
          </w:tcPr>
          <w:p>
            <w:pPr>
              <w:jc w:val="right"/>
              <w:ind w:right="160"/>
              <w:spacing w:after="0"/>
              <w:rPr>
                <w:sz w:val="20"/>
                <w:szCs w:val="20"/>
                <w:color w:val="auto"/>
              </w:rPr>
            </w:pPr>
            <w:r>
              <w:rPr>
                <w:rFonts w:ascii="Arial" w:cs="Arial" w:eastAsia="Arial" w:hAnsi="Arial"/>
                <w:sz w:val="14"/>
                <w:szCs w:val="14"/>
                <w:b w:val="1"/>
                <w:bCs w:val="1"/>
                <w:color w:val="auto"/>
              </w:rPr>
              <w:t>60 days</w:t>
            </w:r>
          </w:p>
        </w:tc>
        <w:tc>
          <w:tcPr>
            <w:tcW w:w="960" w:type="dxa"/>
            <w:vAlign w:val="bottom"/>
            <w:tcBorders>
              <w:bottom w:val="single" w:sz="8" w:color="0C3471"/>
            </w:tcBorders>
          </w:tcPr>
          <w:p>
            <w:pPr>
              <w:jc w:val="right"/>
              <w:ind w:right="120"/>
              <w:spacing w:after="0"/>
              <w:rPr>
                <w:sz w:val="20"/>
                <w:szCs w:val="20"/>
                <w:color w:val="auto"/>
              </w:rPr>
            </w:pPr>
            <w:r>
              <w:rPr>
                <w:rFonts w:ascii="Arial" w:cs="Arial" w:eastAsia="Arial" w:hAnsi="Arial"/>
                <w:sz w:val="14"/>
                <w:szCs w:val="14"/>
                <w:b w:val="1"/>
                <w:bCs w:val="1"/>
                <w:color w:val="auto"/>
              </w:rPr>
              <w:t>Stock</w:t>
            </w:r>
            <w:r>
              <w:rPr>
                <w:rFonts w:ascii="Arial" w:cs="Arial" w:eastAsia="Arial" w:hAnsi="Arial"/>
                <w:sz w:val="18"/>
                <w:szCs w:val="18"/>
                <w:b w:val="1"/>
                <w:bCs w:val="1"/>
                <w:color w:val="auto"/>
                <w:vertAlign w:val="superscript"/>
              </w:rPr>
              <w:t>(3)</w:t>
            </w:r>
          </w:p>
        </w:tc>
        <w:tc>
          <w:tcPr>
            <w:tcW w:w="1320" w:type="dxa"/>
            <w:vAlign w:val="bottom"/>
            <w:tcBorders>
              <w:bottom w:val="single" w:sz="8" w:color="0C3471"/>
            </w:tcBorders>
          </w:tcPr>
          <w:p>
            <w:pPr>
              <w:jc w:val="right"/>
              <w:ind w:right="179"/>
              <w:spacing w:after="0"/>
              <w:rPr>
                <w:sz w:val="20"/>
                <w:szCs w:val="20"/>
                <w:color w:val="auto"/>
              </w:rPr>
            </w:pPr>
            <w:r>
              <w:rPr>
                <w:rFonts w:ascii="Arial" w:cs="Arial" w:eastAsia="Arial" w:hAnsi="Arial"/>
                <w:sz w:val="14"/>
                <w:szCs w:val="14"/>
                <w:b w:val="1"/>
                <w:bCs w:val="1"/>
                <w:color w:val="auto"/>
              </w:rPr>
              <w:t>Total</w:t>
            </w:r>
          </w:p>
        </w:tc>
        <w:tc>
          <w:tcPr>
            <w:tcW w:w="840" w:type="dxa"/>
            <w:vAlign w:val="bottom"/>
            <w:tcBorders>
              <w:bottom w:val="single" w:sz="8" w:color="0C3471"/>
            </w:tcBorders>
          </w:tcPr>
          <w:p>
            <w:pPr>
              <w:jc w:val="right"/>
              <w:spacing w:after="0"/>
              <w:rPr>
                <w:sz w:val="20"/>
                <w:szCs w:val="20"/>
                <w:color w:val="auto"/>
              </w:rPr>
            </w:pPr>
            <w:r>
              <w:rPr>
                <w:rFonts w:ascii="Arial" w:cs="Arial" w:eastAsia="Arial" w:hAnsi="Arial"/>
                <w:sz w:val="14"/>
                <w:szCs w:val="14"/>
                <w:b w:val="1"/>
                <w:bCs w:val="1"/>
                <w:color w:val="auto"/>
              </w:rPr>
              <w:t>Class</w:t>
            </w:r>
            <w:r>
              <w:rPr>
                <w:rFonts w:ascii="Arial" w:cs="Arial" w:eastAsia="Arial" w:hAnsi="Arial"/>
                <w:sz w:val="18"/>
                <w:szCs w:val="18"/>
                <w:b w:val="1"/>
                <w:bCs w:val="1"/>
                <w:color w:val="auto"/>
                <w:vertAlign w:val="superscript"/>
              </w:rPr>
              <w:t>(4)</w:t>
            </w:r>
          </w:p>
        </w:tc>
        <w:tc>
          <w:tcPr>
            <w:tcW w:w="0" w:type="dxa"/>
            <w:vAlign w:val="bottom"/>
          </w:tcPr>
          <w:p>
            <w:pPr>
              <w:spacing w:after="0"/>
              <w:rPr>
                <w:sz w:val="1"/>
                <w:szCs w:val="1"/>
                <w:color w:val="auto"/>
              </w:rPr>
            </w:pPr>
          </w:p>
        </w:tc>
      </w:tr>
      <w:tr>
        <w:trPr>
          <w:trHeight w:val="260"/>
        </w:trPr>
        <w:tc>
          <w:tcPr>
            <w:tcW w:w="3840" w:type="dxa"/>
            <w:vAlign w:val="bottom"/>
            <w:tcBorders>
              <w:bottom w:val="single" w:sz="8" w:color="BCBEC0"/>
            </w:tcBorders>
          </w:tcPr>
          <w:p>
            <w:pPr>
              <w:ind w:left="20"/>
              <w:spacing w:after="0"/>
              <w:rPr>
                <w:sz w:val="20"/>
                <w:szCs w:val="20"/>
                <w:color w:val="auto"/>
              </w:rPr>
            </w:pPr>
            <w:r>
              <w:rPr>
                <w:rFonts w:ascii="Arial" w:cs="Arial" w:eastAsia="Arial" w:hAnsi="Arial"/>
                <w:sz w:val="16"/>
                <w:szCs w:val="16"/>
                <w:b w:val="1"/>
                <w:bCs w:val="1"/>
                <w:color w:val="0C3471"/>
              </w:rPr>
              <w:t>Mona Abutaleb Stephenson</w:t>
            </w:r>
          </w:p>
        </w:tc>
        <w:tc>
          <w:tcPr>
            <w:tcW w:w="1620" w:type="dxa"/>
            <w:vAlign w:val="bottom"/>
            <w:tcBorders>
              <w:bottom w:val="single" w:sz="8" w:color="BCBEC0"/>
            </w:tcBorders>
          </w:tcPr>
          <w:p>
            <w:pPr>
              <w:jc w:val="right"/>
              <w:ind w:right="199"/>
              <w:spacing w:after="0"/>
              <w:rPr>
                <w:sz w:val="20"/>
                <w:szCs w:val="20"/>
                <w:color w:val="auto"/>
              </w:rPr>
            </w:pPr>
            <w:r>
              <w:rPr>
                <w:rFonts w:ascii="Arial" w:cs="Arial" w:eastAsia="Arial" w:hAnsi="Arial"/>
                <w:sz w:val="16"/>
                <w:szCs w:val="16"/>
                <w:color w:val="auto"/>
              </w:rPr>
              <w:t>14,565</w:t>
            </w:r>
          </w:p>
        </w:tc>
        <w:tc>
          <w:tcPr>
            <w:tcW w:w="1140" w:type="dxa"/>
            <w:vAlign w:val="bottom"/>
            <w:tcBorders>
              <w:bottom w:val="single" w:sz="8" w:color="BCBEC0"/>
            </w:tcBorders>
          </w:tcPr>
          <w:p>
            <w:pPr>
              <w:jc w:val="right"/>
              <w:ind w:right="240"/>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BCBEC0"/>
            </w:tcBorders>
          </w:tcPr>
          <w:p>
            <w:pPr>
              <w:jc w:val="right"/>
              <w:ind w:right="22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BCBEC0"/>
            </w:tcBorders>
          </w:tcPr>
          <w:p>
            <w:pPr>
              <w:jc w:val="right"/>
              <w:ind w:right="18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BCBEC0"/>
            </w:tcBorders>
          </w:tcPr>
          <w:p>
            <w:pPr>
              <w:jc w:val="right"/>
              <w:ind w:right="239"/>
              <w:spacing w:after="0"/>
              <w:rPr>
                <w:sz w:val="20"/>
                <w:szCs w:val="20"/>
                <w:color w:val="auto"/>
              </w:rPr>
            </w:pPr>
            <w:r>
              <w:rPr>
                <w:rFonts w:ascii="Arial" w:cs="Arial" w:eastAsia="Arial" w:hAnsi="Arial"/>
                <w:sz w:val="16"/>
                <w:szCs w:val="16"/>
                <w:color w:val="auto"/>
              </w:rPr>
              <w:t>14,565</w:t>
            </w:r>
          </w:p>
        </w:tc>
        <w:tc>
          <w:tcPr>
            <w:tcW w:w="840" w:type="dxa"/>
            <w:vAlign w:val="bottom"/>
            <w:tcBorders>
              <w:bottom w:val="single" w:sz="8" w:color="BCBEC0"/>
            </w:tcBorders>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3840" w:type="dxa"/>
            <w:vAlign w:val="bottom"/>
            <w:tcBorders>
              <w:bottom w:val="single" w:sz="8" w:color="BCBEC0"/>
            </w:tcBorders>
          </w:tcPr>
          <w:p>
            <w:pPr>
              <w:ind w:left="20"/>
              <w:spacing w:after="0"/>
              <w:rPr>
                <w:sz w:val="20"/>
                <w:szCs w:val="20"/>
                <w:color w:val="auto"/>
              </w:rPr>
            </w:pPr>
            <w:r>
              <w:rPr>
                <w:rFonts w:ascii="Arial" w:cs="Arial" w:eastAsia="Arial" w:hAnsi="Arial"/>
                <w:sz w:val="16"/>
                <w:szCs w:val="16"/>
                <w:b w:val="1"/>
                <w:bCs w:val="1"/>
                <w:color w:val="0C3471"/>
              </w:rPr>
              <w:t>Melissa Barra</w:t>
            </w:r>
          </w:p>
        </w:tc>
        <w:tc>
          <w:tcPr>
            <w:tcW w:w="1620" w:type="dxa"/>
            <w:vAlign w:val="bottom"/>
            <w:tcBorders>
              <w:bottom w:val="single" w:sz="8" w:color="BCBEC0"/>
            </w:tcBorders>
          </w:tcPr>
          <w:p>
            <w:pPr>
              <w:jc w:val="right"/>
              <w:ind w:right="199"/>
              <w:spacing w:after="0"/>
              <w:rPr>
                <w:sz w:val="20"/>
                <w:szCs w:val="20"/>
                <w:color w:val="auto"/>
              </w:rPr>
            </w:pPr>
            <w:r>
              <w:rPr>
                <w:rFonts w:ascii="Arial" w:cs="Arial" w:eastAsia="Arial" w:hAnsi="Arial"/>
                <w:sz w:val="16"/>
                <w:szCs w:val="16"/>
                <w:color w:val="auto"/>
              </w:rPr>
              <w:t>5,725</w:t>
            </w:r>
          </w:p>
        </w:tc>
        <w:tc>
          <w:tcPr>
            <w:tcW w:w="1140" w:type="dxa"/>
            <w:vAlign w:val="bottom"/>
            <w:tcBorders>
              <w:bottom w:val="single" w:sz="8" w:color="BCBEC0"/>
            </w:tcBorders>
          </w:tcPr>
          <w:p>
            <w:pPr>
              <w:jc w:val="right"/>
              <w:ind w:right="240"/>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BCBEC0"/>
            </w:tcBorders>
          </w:tcPr>
          <w:p>
            <w:pPr>
              <w:jc w:val="right"/>
              <w:ind w:right="22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BCBEC0"/>
            </w:tcBorders>
          </w:tcPr>
          <w:p>
            <w:pPr>
              <w:jc w:val="right"/>
              <w:ind w:right="18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BCBEC0"/>
            </w:tcBorders>
          </w:tcPr>
          <w:p>
            <w:pPr>
              <w:jc w:val="right"/>
              <w:ind w:right="239"/>
              <w:spacing w:after="0"/>
              <w:rPr>
                <w:sz w:val="20"/>
                <w:szCs w:val="20"/>
                <w:color w:val="auto"/>
              </w:rPr>
            </w:pPr>
            <w:r>
              <w:rPr>
                <w:rFonts w:ascii="Arial" w:cs="Arial" w:eastAsia="Arial" w:hAnsi="Arial"/>
                <w:sz w:val="16"/>
                <w:szCs w:val="16"/>
                <w:color w:val="auto"/>
              </w:rPr>
              <w:t>5,725</w:t>
            </w:r>
          </w:p>
        </w:tc>
        <w:tc>
          <w:tcPr>
            <w:tcW w:w="840" w:type="dxa"/>
            <w:vAlign w:val="bottom"/>
            <w:tcBorders>
              <w:bottom w:val="single" w:sz="8" w:color="BCBEC0"/>
            </w:tcBorders>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3840" w:type="dxa"/>
            <w:vAlign w:val="bottom"/>
            <w:tcBorders>
              <w:bottom w:val="single" w:sz="8" w:color="BCBEC0"/>
            </w:tcBorders>
          </w:tcPr>
          <w:p>
            <w:pPr>
              <w:ind w:left="20"/>
              <w:spacing w:after="0"/>
              <w:rPr>
                <w:sz w:val="20"/>
                <w:szCs w:val="20"/>
                <w:color w:val="auto"/>
              </w:rPr>
            </w:pPr>
            <w:r>
              <w:rPr>
                <w:rFonts w:ascii="Arial" w:cs="Arial" w:eastAsia="Arial" w:hAnsi="Arial"/>
                <w:sz w:val="16"/>
                <w:szCs w:val="16"/>
                <w:b w:val="1"/>
                <w:bCs w:val="1"/>
                <w:color w:val="0C3471"/>
              </w:rPr>
              <w:t>Adrian C. Chiu</w:t>
            </w:r>
          </w:p>
        </w:tc>
        <w:tc>
          <w:tcPr>
            <w:tcW w:w="1620" w:type="dxa"/>
            <w:vAlign w:val="bottom"/>
            <w:tcBorders>
              <w:bottom w:val="single" w:sz="8" w:color="BCBEC0"/>
            </w:tcBorders>
          </w:tcPr>
          <w:p>
            <w:pPr>
              <w:jc w:val="right"/>
              <w:ind w:right="199"/>
              <w:spacing w:after="0"/>
              <w:rPr>
                <w:sz w:val="20"/>
                <w:szCs w:val="20"/>
                <w:color w:val="auto"/>
              </w:rPr>
            </w:pPr>
            <w:r>
              <w:rPr>
                <w:rFonts w:ascii="Arial" w:cs="Arial" w:eastAsia="Arial" w:hAnsi="Arial"/>
                <w:sz w:val="16"/>
                <w:szCs w:val="16"/>
                <w:color w:val="auto"/>
              </w:rPr>
              <w:t>19,442</w:t>
            </w:r>
          </w:p>
        </w:tc>
        <w:tc>
          <w:tcPr>
            <w:tcW w:w="1140" w:type="dxa"/>
            <w:vAlign w:val="bottom"/>
            <w:tcBorders>
              <w:bottom w:val="single" w:sz="8" w:color="BCBEC0"/>
            </w:tcBorders>
          </w:tcPr>
          <w:p>
            <w:pPr>
              <w:jc w:val="right"/>
              <w:ind w:right="240"/>
              <w:spacing w:after="0"/>
              <w:rPr>
                <w:sz w:val="20"/>
                <w:szCs w:val="20"/>
                <w:color w:val="auto"/>
              </w:rPr>
            </w:pPr>
            <w:r>
              <w:rPr>
                <w:rFonts w:ascii="Arial" w:cs="Arial" w:eastAsia="Arial" w:hAnsi="Arial"/>
                <w:sz w:val="16"/>
                <w:szCs w:val="16"/>
                <w:color w:val="auto"/>
              </w:rPr>
              <w:t>28,546</w:t>
            </w:r>
          </w:p>
        </w:tc>
        <w:tc>
          <w:tcPr>
            <w:tcW w:w="1520" w:type="dxa"/>
            <w:vAlign w:val="bottom"/>
            <w:tcBorders>
              <w:bottom w:val="single" w:sz="8" w:color="BCBEC0"/>
            </w:tcBorders>
          </w:tcPr>
          <w:p>
            <w:pPr>
              <w:jc w:val="right"/>
              <w:ind w:right="220"/>
              <w:spacing w:after="0"/>
              <w:rPr>
                <w:sz w:val="20"/>
                <w:szCs w:val="20"/>
                <w:color w:val="auto"/>
              </w:rPr>
            </w:pPr>
            <w:r>
              <w:rPr>
                <w:rFonts w:ascii="Arial" w:cs="Arial" w:eastAsia="Arial" w:hAnsi="Arial"/>
                <w:sz w:val="16"/>
                <w:szCs w:val="16"/>
                <w:color w:val="auto"/>
              </w:rPr>
              <w:t>60,102</w:t>
            </w:r>
          </w:p>
        </w:tc>
        <w:tc>
          <w:tcPr>
            <w:tcW w:w="960" w:type="dxa"/>
            <w:vAlign w:val="bottom"/>
            <w:tcBorders>
              <w:bottom w:val="single" w:sz="8" w:color="BCBEC0"/>
            </w:tcBorders>
          </w:tcPr>
          <w:p>
            <w:pPr>
              <w:jc w:val="right"/>
              <w:ind w:right="180"/>
              <w:spacing w:after="0"/>
              <w:rPr>
                <w:sz w:val="20"/>
                <w:szCs w:val="20"/>
                <w:color w:val="auto"/>
              </w:rPr>
            </w:pPr>
            <w:r>
              <w:rPr>
                <w:rFonts w:ascii="Arial" w:cs="Arial" w:eastAsia="Arial" w:hAnsi="Arial"/>
                <w:sz w:val="16"/>
                <w:szCs w:val="16"/>
                <w:color w:val="auto"/>
              </w:rPr>
              <w:t>428</w:t>
            </w:r>
          </w:p>
        </w:tc>
        <w:tc>
          <w:tcPr>
            <w:tcW w:w="1320" w:type="dxa"/>
            <w:vAlign w:val="bottom"/>
            <w:tcBorders>
              <w:bottom w:val="single" w:sz="8" w:color="BCBEC0"/>
            </w:tcBorders>
          </w:tcPr>
          <w:p>
            <w:pPr>
              <w:jc w:val="right"/>
              <w:ind w:right="239"/>
              <w:spacing w:after="0"/>
              <w:rPr>
                <w:sz w:val="20"/>
                <w:szCs w:val="20"/>
                <w:color w:val="auto"/>
              </w:rPr>
            </w:pPr>
            <w:r>
              <w:rPr>
                <w:rFonts w:ascii="Arial" w:cs="Arial" w:eastAsia="Arial" w:hAnsi="Arial"/>
                <w:sz w:val="16"/>
                <w:szCs w:val="16"/>
                <w:color w:val="auto"/>
              </w:rPr>
              <w:t>108,518</w:t>
            </w:r>
          </w:p>
        </w:tc>
        <w:tc>
          <w:tcPr>
            <w:tcW w:w="840" w:type="dxa"/>
            <w:vAlign w:val="bottom"/>
            <w:tcBorders>
              <w:bottom w:val="single" w:sz="8" w:color="BCBEC0"/>
            </w:tcBorders>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3840" w:type="dxa"/>
            <w:vAlign w:val="bottom"/>
            <w:tcBorders>
              <w:bottom w:val="single" w:sz="8" w:color="BCBEC0"/>
            </w:tcBorders>
          </w:tcPr>
          <w:p>
            <w:pPr>
              <w:ind w:left="20"/>
              <w:spacing w:after="0"/>
              <w:rPr>
                <w:sz w:val="20"/>
                <w:szCs w:val="20"/>
                <w:color w:val="auto"/>
              </w:rPr>
            </w:pPr>
            <w:r>
              <w:rPr>
                <w:rFonts w:ascii="Arial" w:cs="Arial" w:eastAsia="Arial" w:hAnsi="Arial"/>
                <w:sz w:val="16"/>
                <w:szCs w:val="16"/>
                <w:b w:val="1"/>
                <w:bCs w:val="1"/>
                <w:color w:val="0C3471"/>
              </w:rPr>
              <w:t>Tracey C. Doi</w:t>
            </w:r>
          </w:p>
        </w:tc>
        <w:tc>
          <w:tcPr>
            <w:tcW w:w="1620" w:type="dxa"/>
            <w:vAlign w:val="bottom"/>
            <w:tcBorders>
              <w:bottom w:val="single" w:sz="8" w:color="BCBEC0"/>
            </w:tcBorders>
          </w:tcPr>
          <w:p>
            <w:pPr>
              <w:jc w:val="right"/>
              <w:ind w:right="199"/>
              <w:spacing w:after="0"/>
              <w:rPr>
                <w:sz w:val="20"/>
                <w:szCs w:val="20"/>
                <w:color w:val="auto"/>
              </w:rPr>
            </w:pPr>
            <w:r>
              <w:rPr>
                <w:rFonts w:ascii="Arial" w:cs="Arial" w:eastAsia="Arial" w:hAnsi="Arial"/>
                <w:sz w:val="16"/>
                <w:szCs w:val="16"/>
                <w:color w:val="auto"/>
              </w:rPr>
              <w:t>3,566</w:t>
            </w:r>
          </w:p>
        </w:tc>
        <w:tc>
          <w:tcPr>
            <w:tcW w:w="1140" w:type="dxa"/>
            <w:vAlign w:val="bottom"/>
            <w:tcBorders>
              <w:bottom w:val="single" w:sz="8" w:color="BCBEC0"/>
            </w:tcBorders>
          </w:tcPr>
          <w:p>
            <w:pPr>
              <w:jc w:val="right"/>
              <w:ind w:right="240"/>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BCBEC0"/>
            </w:tcBorders>
          </w:tcPr>
          <w:p>
            <w:pPr>
              <w:jc w:val="right"/>
              <w:ind w:right="22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BCBEC0"/>
            </w:tcBorders>
          </w:tcPr>
          <w:p>
            <w:pPr>
              <w:jc w:val="right"/>
              <w:ind w:right="18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BCBEC0"/>
            </w:tcBorders>
          </w:tcPr>
          <w:p>
            <w:pPr>
              <w:jc w:val="right"/>
              <w:ind w:right="239"/>
              <w:spacing w:after="0"/>
              <w:rPr>
                <w:sz w:val="20"/>
                <w:szCs w:val="20"/>
                <w:color w:val="auto"/>
              </w:rPr>
            </w:pPr>
            <w:r>
              <w:rPr>
                <w:rFonts w:ascii="Arial" w:cs="Arial" w:eastAsia="Arial" w:hAnsi="Arial"/>
                <w:sz w:val="16"/>
                <w:szCs w:val="16"/>
                <w:color w:val="auto"/>
              </w:rPr>
              <w:t>3,566</w:t>
            </w:r>
          </w:p>
        </w:tc>
        <w:tc>
          <w:tcPr>
            <w:tcW w:w="840" w:type="dxa"/>
            <w:vAlign w:val="bottom"/>
            <w:tcBorders>
              <w:bottom w:val="single" w:sz="8" w:color="BCBEC0"/>
            </w:tcBorders>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3840" w:type="dxa"/>
            <w:vAlign w:val="bottom"/>
            <w:tcBorders>
              <w:bottom w:val="single" w:sz="8" w:color="BCBEC0"/>
            </w:tcBorders>
          </w:tcPr>
          <w:p>
            <w:pPr>
              <w:ind w:left="20"/>
              <w:spacing w:after="0"/>
              <w:rPr>
                <w:sz w:val="20"/>
                <w:szCs w:val="20"/>
                <w:color w:val="auto"/>
              </w:rPr>
            </w:pPr>
            <w:r>
              <w:rPr>
                <w:rFonts w:ascii="Arial" w:cs="Arial" w:eastAsia="Arial" w:hAnsi="Arial"/>
                <w:sz w:val="16"/>
                <w:szCs w:val="16"/>
                <w:b w:val="1"/>
                <w:bCs w:val="1"/>
                <w:color w:val="0C3471"/>
              </w:rPr>
              <w:t>Robert P. Fishman</w:t>
            </w:r>
          </w:p>
        </w:tc>
        <w:tc>
          <w:tcPr>
            <w:tcW w:w="1620" w:type="dxa"/>
            <w:vAlign w:val="bottom"/>
            <w:tcBorders>
              <w:bottom w:val="single" w:sz="8" w:color="BCBEC0"/>
            </w:tcBorders>
          </w:tcPr>
          <w:p>
            <w:pPr>
              <w:jc w:val="right"/>
              <w:ind w:right="199"/>
              <w:spacing w:after="0"/>
              <w:rPr>
                <w:sz w:val="20"/>
                <w:szCs w:val="20"/>
                <w:color w:val="auto"/>
              </w:rPr>
            </w:pPr>
            <w:r>
              <w:rPr>
                <w:rFonts w:ascii="Arial" w:cs="Arial" w:eastAsia="Arial" w:hAnsi="Arial"/>
                <w:sz w:val="16"/>
                <w:szCs w:val="16"/>
                <w:color w:val="auto"/>
              </w:rPr>
              <w:t>82,623</w:t>
            </w:r>
          </w:p>
        </w:tc>
        <w:tc>
          <w:tcPr>
            <w:tcW w:w="1140" w:type="dxa"/>
            <w:vAlign w:val="bottom"/>
            <w:tcBorders>
              <w:bottom w:val="single" w:sz="8" w:color="BCBEC0"/>
            </w:tcBorders>
          </w:tcPr>
          <w:p>
            <w:pPr>
              <w:jc w:val="right"/>
              <w:ind w:right="240"/>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BCBEC0"/>
            </w:tcBorders>
          </w:tcPr>
          <w:p>
            <w:pPr>
              <w:jc w:val="right"/>
              <w:ind w:right="22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BCBEC0"/>
            </w:tcBorders>
          </w:tcPr>
          <w:p>
            <w:pPr>
              <w:jc w:val="right"/>
              <w:ind w:right="18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BCBEC0"/>
            </w:tcBorders>
          </w:tcPr>
          <w:p>
            <w:pPr>
              <w:jc w:val="right"/>
              <w:ind w:right="239"/>
              <w:spacing w:after="0"/>
              <w:rPr>
                <w:sz w:val="20"/>
                <w:szCs w:val="20"/>
                <w:color w:val="auto"/>
              </w:rPr>
            </w:pPr>
            <w:r>
              <w:rPr>
                <w:rFonts w:ascii="Arial" w:cs="Arial" w:eastAsia="Arial" w:hAnsi="Arial"/>
                <w:sz w:val="16"/>
                <w:szCs w:val="16"/>
                <w:color w:val="auto"/>
              </w:rPr>
              <w:t>82,623</w:t>
            </w:r>
          </w:p>
        </w:tc>
        <w:tc>
          <w:tcPr>
            <w:tcW w:w="840" w:type="dxa"/>
            <w:vAlign w:val="bottom"/>
            <w:tcBorders>
              <w:bottom w:val="single" w:sz="8" w:color="BCBEC0"/>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3840" w:type="dxa"/>
            <w:vAlign w:val="bottom"/>
            <w:tcBorders>
              <w:bottom w:val="single" w:sz="8" w:color="BCBEC0"/>
            </w:tcBorders>
          </w:tcPr>
          <w:p>
            <w:pPr>
              <w:ind w:left="20"/>
              <w:spacing w:after="0"/>
              <w:rPr>
                <w:sz w:val="20"/>
                <w:szCs w:val="20"/>
                <w:color w:val="auto"/>
              </w:rPr>
            </w:pPr>
            <w:r>
              <w:rPr>
                <w:rFonts w:ascii="Arial" w:cs="Arial" w:eastAsia="Arial" w:hAnsi="Arial"/>
                <w:sz w:val="16"/>
                <w:szCs w:val="16"/>
                <w:b w:val="1"/>
                <w:bCs w:val="1"/>
                <w:color w:val="0C3471"/>
              </w:rPr>
              <w:t>T. Michael Glenn</w:t>
            </w:r>
          </w:p>
        </w:tc>
        <w:tc>
          <w:tcPr>
            <w:tcW w:w="1620" w:type="dxa"/>
            <w:vAlign w:val="bottom"/>
            <w:tcBorders>
              <w:bottom w:val="single" w:sz="8" w:color="BCBEC0"/>
            </w:tcBorders>
          </w:tcPr>
          <w:p>
            <w:pPr>
              <w:jc w:val="right"/>
              <w:ind w:right="199"/>
              <w:spacing w:after="0"/>
              <w:rPr>
                <w:sz w:val="20"/>
                <w:szCs w:val="20"/>
                <w:color w:val="auto"/>
              </w:rPr>
            </w:pPr>
            <w:r>
              <w:rPr>
                <w:rFonts w:ascii="Arial" w:cs="Arial" w:eastAsia="Arial" w:hAnsi="Arial"/>
                <w:sz w:val="16"/>
                <w:szCs w:val="16"/>
                <w:color w:val="auto"/>
              </w:rPr>
              <w:t>34,138</w:t>
            </w:r>
          </w:p>
        </w:tc>
        <w:tc>
          <w:tcPr>
            <w:tcW w:w="1140" w:type="dxa"/>
            <w:vAlign w:val="bottom"/>
            <w:tcBorders>
              <w:bottom w:val="single" w:sz="8" w:color="BCBEC0"/>
            </w:tcBorders>
          </w:tcPr>
          <w:p>
            <w:pPr>
              <w:jc w:val="right"/>
              <w:ind w:right="240"/>
              <w:spacing w:after="0"/>
              <w:rPr>
                <w:sz w:val="20"/>
                <w:szCs w:val="20"/>
                <w:color w:val="auto"/>
              </w:rPr>
            </w:pPr>
            <w:r>
              <w:rPr>
                <w:rFonts w:ascii="Arial" w:cs="Arial" w:eastAsia="Arial" w:hAnsi="Arial"/>
                <w:sz w:val="16"/>
                <w:szCs w:val="16"/>
                <w:color w:val="auto"/>
              </w:rPr>
              <w:t>1,982</w:t>
            </w:r>
          </w:p>
        </w:tc>
        <w:tc>
          <w:tcPr>
            <w:tcW w:w="1520" w:type="dxa"/>
            <w:vAlign w:val="bottom"/>
            <w:tcBorders>
              <w:bottom w:val="single" w:sz="8" w:color="BCBEC0"/>
            </w:tcBorders>
          </w:tcPr>
          <w:p>
            <w:pPr>
              <w:jc w:val="right"/>
              <w:ind w:right="220"/>
              <w:spacing w:after="0"/>
              <w:rPr>
                <w:sz w:val="20"/>
                <w:szCs w:val="20"/>
                <w:color w:val="auto"/>
              </w:rPr>
            </w:pPr>
            <w:r>
              <w:rPr>
                <w:rFonts w:ascii="Arial" w:cs="Arial" w:eastAsia="Arial" w:hAnsi="Arial"/>
                <w:sz w:val="16"/>
                <w:szCs w:val="16"/>
                <w:color w:val="auto"/>
              </w:rPr>
              <w:t>5,244</w:t>
            </w:r>
          </w:p>
        </w:tc>
        <w:tc>
          <w:tcPr>
            <w:tcW w:w="960" w:type="dxa"/>
            <w:vAlign w:val="bottom"/>
            <w:tcBorders>
              <w:bottom w:val="single" w:sz="8" w:color="BCBEC0"/>
            </w:tcBorders>
          </w:tcPr>
          <w:p>
            <w:pPr>
              <w:jc w:val="right"/>
              <w:ind w:right="18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BCBEC0"/>
            </w:tcBorders>
          </w:tcPr>
          <w:p>
            <w:pPr>
              <w:jc w:val="right"/>
              <w:ind w:right="239"/>
              <w:spacing w:after="0"/>
              <w:rPr>
                <w:sz w:val="20"/>
                <w:szCs w:val="20"/>
                <w:color w:val="auto"/>
              </w:rPr>
            </w:pPr>
            <w:r>
              <w:rPr>
                <w:rFonts w:ascii="Arial" w:cs="Arial" w:eastAsia="Arial" w:hAnsi="Arial"/>
                <w:sz w:val="16"/>
                <w:szCs w:val="16"/>
                <w:color w:val="auto"/>
              </w:rPr>
              <w:t>41,364</w:t>
            </w:r>
          </w:p>
        </w:tc>
        <w:tc>
          <w:tcPr>
            <w:tcW w:w="840" w:type="dxa"/>
            <w:vAlign w:val="bottom"/>
            <w:tcBorders>
              <w:bottom w:val="single" w:sz="8" w:color="BCBEC0"/>
            </w:tcBorders>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3840" w:type="dxa"/>
            <w:vAlign w:val="bottom"/>
            <w:tcBorders>
              <w:bottom w:val="single" w:sz="8" w:color="BCBEC0"/>
            </w:tcBorders>
          </w:tcPr>
          <w:p>
            <w:pPr>
              <w:ind w:left="20"/>
              <w:spacing w:after="0"/>
              <w:rPr>
                <w:sz w:val="20"/>
                <w:szCs w:val="20"/>
                <w:color w:val="auto"/>
              </w:rPr>
            </w:pPr>
            <w:r>
              <w:rPr>
                <w:rFonts w:ascii="Arial" w:cs="Arial" w:eastAsia="Arial" w:hAnsi="Arial"/>
                <w:sz w:val="16"/>
                <w:szCs w:val="16"/>
                <w:b w:val="1"/>
                <w:bCs w:val="1"/>
                <w:color w:val="0C3471"/>
              </w:rPr>
              <w:t>Theodore L. Harris</w:t>
            </w:r>
          </w:p>
        </w:tc>
        <w:tc>
          <w:tcPr>
            <w:tcW w:w="1620" w:type="dxa"/>
            <w:vAlign w:val="bottom"/>
            <w:tcBorders>
              <w:bottom w:val="single" w:sz="8" w:color="BCBEC0"/>
            </w:tcBorders>
          </w:tcPr>
          <w:p>
            <w:pPr>
              <w:jc w:val="right"/>
              <w:ind w:right="199"/>
              <w:spacing w:after="0"/>
              <w:rPr>
                <w:sz w:val="20"/>
                <w:szCs w:val="20"/>
                <w:color w:val="auto"/>
              </w:rPr>
            </w:pPr>
            <w:r>
              <w:rPr>
                <w:rFonts w:ascii="Arial" w:cs="Arial" w:eastAsia="Arial" w:hAnsi="Arial"/>
                <w:sz w:val="16"/>
                <w:szCs w:val="16"/>
                <w:color w:val="auto"/>
              </w:rPr>
              <w:t>15,347</w:t>
            </w:r>
          </w:p>
        </w:tc>
        <w:tc>
          <w:tcPr>
            <w:tcW w:w="1140" w:type="dxa"/>
            <w:vAlign w:val="bottom"/>
            <w:tcBorders>
              <w:bottom w:val="single" w:sz="8" w:color="BCBEC0"/>
            </w:tcBorders>
          </w:tcPr>
          <w:p>
            <w:pPr>
              <w:jc w:val="right"/>
              <w:ind w:right="240"/>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BCBEC0"/>
            </w:tcBorders>
          </w:tcPr>
          <w:p>
            <w:pPr>
              <w:jc w:val="right"/>
              <w:ind w:right="22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BCBEC0"/>
            </w:tcBorders>
          </w:tcPr>
          <w:p>
            <w:pPr>
              <w:jc w:val="right"/>
              <w:ind w:right="18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BCBEC0"/>
            </w:tcBorders>
          </w:tcPr>
          <w:p>
            <w:pPr>
              <w:jc w:val="right"/>
              <w:ind w:right="239"/>
              <w:spacing w:after="0"/>
              <w:rPr>
                <w:sz w:val="20"/>
                <w:szCs w:val="20"/>
                <w:color w:val="auto"/>
              </w:rPr>
            </w:pPr>
            <w:r>
              <w:rPr>
                <w:rFonts w:ascii="Arial" w:cs="Arial" w:eastAsia="Arial" w:hAnsi="Arial"/>
                <w:sz w:val="16"/>
                <w:szCs w:val="16"/>
                <w:color w:val="auto"/>
              </w:rPr>
              <w:t>15,347</w:t>
            </w:r>
          </w:p>
        </w:tc>
        <w:tc>
          <w:tcPr>
            <w:tcW w:w="840" w:type="dxa"/>
            <w:vAlign w:val="bottom"/>
            <w:tcBorders>
              <w:bottom w:val="single" w:sz="8" w:color="BCBEC0"/>
            </w:tcBorders>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3840" w:type="dxa"/>
            <w:vAlign w:val="bottom"/>
            <w:tcBorders>
              <w:bottom w:val="single" w:sz="8" w:color="BCBEC0"/>
            </w:tcBorders>
          </w:tcPr>
          <w:p>
            <w:pPr>
              <w:ind w:left="20"/>
              <w:spacing w:after="0"/>
              <w:rPr>
                <w:sz w:val="20"/>
                <w:szCs w:val="20"/>
                <w:color w:val="auto"/>
              </w:rPr>
            </w:pPr>
            <w:r>
              <w:rPr>
                <w:rFonts w:ascii="Arial" w:cs="Arial" w:eastAsia="Arial" w:hAnsi="Arial"/>
                <w:sz w:val="16"/>
                <w:szCs w:val="16"/>
                <w:b w:val="1"/>
                <w:bCs w:val="1"/>
                <w:color w:val="0C3471"/>
              </w:rPr>
              <w:t>David A. Jones</w:t>
            </w:r>
          </w:p>
        </w:tc>
        <w:tc>
          <w:tcPr>
            <w:tcW w:w="1620" w:type="dxa"/>
            <w:vAlign w:val="bottom"/>
            <w:tcBorders>
              <w:bottom w:val="single" w:sz="8" w:color="BCBEC0"/>
            </w:tcBorders>
          </w:tcPr>
          <w:p>
            <w:pPr>
              <w:jc w:val="right"/>
              <w:ind w:right="199"/>
              <w:spacing w:after="0"/>
              <w:rPr>
                <w:sz w:val="20"/>
                <w:szCs w:val="20"/>
                <w:color w:val="auto"/>
              </w:rPr>
            </w:pPr>
            <w:r>
              <w:rPr>
                <w:rFonts w:ascii="Arial" w:cs="Arial" w:eastAsia="Arial" w:hAnsi="Arial"/>
                <w:sz w:val="16"/>
                <w:szCs w:val="16"/>
                <w:color w:val="auto"/>
              </w:rPr>
              <w:t>27,259</w:t>
            </w:r>
          </w:p>
        </w:tc>
        <w:tc>
          <w:tcPr>
            <w:tcW w:w="1140" w:type="dxa"/>
            <w:vAlign w:val="bottom"/>
            <w:tcBorders>
              <w:bottom w:val="single" w:sz="8" w:color="BCBEC0"/>
            </w:tcBorders>
          </w:tcPr>
          <w:p>
            <w:pPr>
              <w:jc w:val="right"/>
              <w:ind w:right="240"/>
              <w:spacing w:after="0"/>
              <w:rPr>
                <w:sz w:val="20"/>
                <w:szCs w:val="20"/>
                <w:color w:val="auto"/>
              </w:rPr>
            </w:pPr>
            <w:r>
              <w:rPr>
                <w:rFonts w:ascii="Arial" w:cs="Arial" w:eastAsia="Arial" w:hAnsi="Arial"/>
                <w:sz w:val="16"/>
                <w:szCs w:val="16"/>
                <w:color w:val="auto"/>
              </w:rPr>
              <w:t>56,954</w:t>
            </w:r>
          </w:p>
        </w:tc>
        <w:tc>
          <w:tcPr>
            <w:tcW w:w="1520" w:type="dxa"/>
            <w:vAlign w:val="bottom"/>
            <w:tcBorders>
              <w:bottom w:val="single" w:sz="8" w:color="BCBEC0"/>
            </w:tcBorders>
          </w:tcPr>
          <w:p>
            <w:pPr>
              <w:jc w:val="right"/>
              <w:ind w:right="220"/>
              <w:spacing w:after="0"/>
              <w:rPr>
                <w:sz w:val="20"/>
                <w:szCs w:val="20"/>
                <w:color w:val="auto"/>
              </w:rPr>
            </w:pPr>
            <w:r>
              <w:rPr>
                <w:rFonts w:ascii="Arial" w:cs="Arial" w:eastAsia="Arial" w:hAnsi="Arial"/>
                <w:sz w:val="16"/>
                <w:szCs w:val="16"/>
                <w:color w:val="auto"/>
              </w:rPr>
              <w:t>5,244</w:t>
            </w:r>
          </w:p>
        </w:tc>
        <w:tc>
          <w:tcPr>
            <w:tcW w:w="960" w:type="dxa"/>
            <w:vAlign w:val="bottom"/>
            <w:tcBorders>
              <w:bottom w:val="single" w:sz="8" w:color="BCBEC0"/>
            </w:tcBorders>
          </w:tcPr>
          <w:p>
            <w:pPr>
              <w:jc w:val="right"/>
              <w:ind w:right="18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BCBEC0"/>
            </w:tcBorders>
          </w:tcPr>
          <w:p>
            <w:pPr>
              <w:jc w:val="right"/>
              <w:ind w:right="239"/>
              <w:spacing w:after="0"/>
              <w:rPr>
                <w:sz w:val="20"/>
                <w:szCs w:val="20"/>
                <w:color w:val="auto"/>
              </w:rPr>
            </w:pPr>
            <w:r>
              <w:rPr>
                <w:rFonts w:ascii="Arial" w:cs="Arial" w:eastAsia="Arial" w:hAnsi="Arial"/>
                <w:sz w:val="16"/>
                <w:szCs w:val="16"/>
                <w:color w:val="auto"/>
              </w:rPr>
              <w:t>89,457</w:t>
            </w:r>
          </w:p>
        </w:tc>
        <w:tc>
          <w:tcPr>
            <w:tcW w:w="840" w:type="dxa"/>
            <w:vAlign w:val="bottom"/>
            <w:tcBorders>
              <w:bottom w:val="single" w:sz="8" w:color="BCBEC0"/>
            </w:tcBorders>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3840" w:type="dxa"/>
            <w:vAlign w:val="bottom"/>
            <w:tcBorders>
              <w:bottom w:val="single" w:sz="8" w:color="BCBEC0"/>
            </w:tcBorders>
          </w:tcPr>
          <w:p>
            <w:pPr>
              <w:ind w:left="20"/>
              <w:spacing w:after="0"/>
              <w:rPr>
                <w:sz w:val="20"/>
                <w:szCs w:val="20"/>
                <w:color w:val="auto"/>
              </w:rPr>
            </w:pPr>
            <w:r>
              <w:rPr>
                <w:rFonts w:ascii="Arial" w:cs="Arial" w:eastAsia="Arial" w:hAnsi="Arial"/>
                <w:sz w:val="16"/>
                <w:szCs w:val="16"/>
                <w:b w:val="1"/>
                <w:bCs w:val="1"/>
                <w:color w:val="0C3471"/>
              </w:rPr>
              <w:t>Gregory E. Knight</w:t>
            </w:r>
          </w:p>
        </w:tc>
        <w:tc>
          <w:tcPr>
            <w:tcW w:w="1620" w:type="dxa"/>
            <w:vAlign w:val="bottom"/>
            <w:tcBorders>
              <w:bottom w:val="single" w:sz="8" w:color="BCBEC0"/>
            </w:tcBorders>
          </w:tcPr>
          <w:p>
            <w:pPr>
              <w:jc w:val="right"/>
              <w:ind w:right="199"/>
              <w:spacing w:after="0"/>
              <w:rPr>
                <w:sz w:val="20"/>
                <w:szCs w:val="20"/>
                <w:color w:val="auto"/>
              </w:rPr>
            </w:pPr>
            <w:r>
              <w:rPr>
                <w:rFonts w:ascii="Arial" w:cs="Arial" w:eastAsia="Arial" w:hAnsi="Arial"/>
                <w:sz w:val="16"/>
                <w:szCs w:val="16"/>
                <w:color w:val="auto"/>
              </w:rPr>
              <w:t>8,489</w:t>
            </w:r>
          </w:p>
        </w:tc>
        <w:tc>
          <w:tcPr>
            <w:tcW w:w="1140" w:type="dxa"/>
            <w:vAlign w:val="bottom"/>
            <w:tcBorders>
              <w:bottom w:val="single" w:sz="8" w:color="BCBEC0"/>
            </w:tcBorders>
          </w:tcPr>
          <w:p>
            <w:pPr>
              <w:jc w:val="right"/>
              <w:ind w:right="240"/>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BCBEC0"/>
            </w:tcBorders>
          </w:tcPr>
          <w:p>
            <w:pPr>
              <w:jc w:val="right"/>
              <w:ind w:right="22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BCBEC0"/>
            </w:tcBorders>
          </w:tcPr>
          <w:p>
            <w:pPr>
              <w:jc w:val="right"/>
              <w:ind w:right="18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BCBEC0"/>
            </w:tcBorders>
          </w:tcPr>
          <w:p>
            <w:pPr>
              <w:jc w:val="right"/>
              <w:ind w:right="239"/>
              <w:spacing w:after="0"/>
              <w:rPr>
                <w:sz w:val="20"/>
                <w:szCs w:val="20"/>
                <w:color w:val="auto"/>
              </w:rPr>
            </w:pPr>
            <w:r>
              <w:rPr>
                <w:rFonts w:ascii="Arial" w:cs="Arial" w:eastAsia="Arial" w:hAnsi="Arial"/>
                <w:sz w:val="16"/>
                <w:szCs w:val="16"/>
                <w:color w:val="auto"/>
              </w:rPr>
              <w:t>8,489</w:t>
            </w:r>
          </w:p>
        </w:tc>
        <w:tc>
          <w:tcPr>
            <w:tcW w:w="840" w:type="dxa"/>
            <w:vAlign w:val="bottom"/>
            <w:tcBorders>
              <w:bottom w:val="single" w:sz="8" w:color="BCBEC0"/>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3840" w:type="dxa"/>
            <w:vAlign w:val="bottom"/>
            <w:tcBorders>
              <w:bottom w:val="single" w:sz="8" w:color="BCBEC0"/>
            </w:tcBorders>
          </w:tcPr>
          <w:p>
            <w:pPr>
              <w:ind w:left="20"/>
              <w:spacing w:after="0"/>
              <w:rPr>
                <w:sz w:val="20"/>
                <w:szCs w:val="20"/>
                <w:color w:val="auto"/>
              </w:rPr>
            </w:pPr>
            <w:r>
              <w:rPr>
                <w:rFonts w:ascii="Arial" w:cs="Arial" w:eastAsia="Arial" w:hAnsi="Arial"/>
                <w:sz w:val="16"/>
                <w:szCs w:val="16"/>
                <w:b w:val="1"/>
                <w:bCs w:val="1"/>
                <w:color w:val="0C3471"/>
              </w:rPr>
              <w:t>Jerome O. Pedretti</w:t>
            </w:r>
          </w:p>
        </w:tc>
        <w:tc>
          <w:tcPr>
            <w:tcW w:w="1620" w:type="dxa"/>
            <w:vAlign w:val="bottom"/>
            <w:tcBorders>
              <w:bottom w:val="single" w:sz="8" w:color="BCBEC0"/>
            </w:tcBorders>
          </w:tcPr>
          <w:p>
            <w:pPr>
              <w:jc w:val="right"/>
              <w:ind w:right="199"/>
              <w:spacing w:after="0"/>
              <w:rPr>
                <w:sz w:val="20"/>
                <w:szCs w:val="20"/>
                <w:color w:val="auto"/>
              </w:rPr>
            </w:pPr>
            <w:r>
              <w:rPr>
                <w:rFonts w:ascii="Arial" w:cs="Arial" w:eastAsia="Arial" w:hAnsi="Arial"/>
                <w:sz w:val="16"/>
                <w:szCs w:val="16"/>
                <w:color w:val="auto"/>
              </w:rPr>
              <w:t>65,267</w:t>
            </w:r>
          </w:p>
        </w:tc>
        <w:tc>
          <w:tcPr>
            <w:tcW w:w="1140" w:type="dxa"/>
            <w:vAlign w:val="bottom"/>
            <w:tcBorders>
              <w:bottom w:val="single" w:sz="8" w:color="BCBEC0"/>
            </w:tcBorders>
          </w:tcPr>
          <w:p>
            <w:pPr>
              <w:jc w:val="right"/>
              <w:ind w:right="240"/>
              <w:spacing w:after="0"/>
              <w:rPr>
                <w:sz w:val="20"/>
                <w:szCs w:val="20"/>
                <w:color w:val="auto"/>
              </w:rPr>
            </w:pPr>
            <w:r>
              <w:rPr>
                <w:rFonts w:ascii="Arial" w:cs="Arial" w:eastAsia="Arial" w:hAnsi="Arial"/>
                <w:sz w:val="16"/>
                <w:szCs w:val="16"/>
                <w:color w:val="auto"/>
              </w:rPr>
              <w:t>2,651</w:t>
            </w:r>
          </w:p>
        </w:tc>
        <w:tc>
          <w:tcPr>
            <w:tcW w:w="1520" w:type="dxa"/>
            <w:vAlign w:val="bottom"/>
            <w:tcBorders>
              <w:bottom w:val="single" w:sz="8" w:color="BCBEC0"/>
            </w:tcBorders>
          </w:tcPr>
          <w:p>
            <w:pPr>
              <w:jc w:val="right"/>
              <w:ind w:right="220"/>
              <w:spacing w:after="0"/>
              <w:rPr>
                <w:sz w:val="20"/>
                <w:szCs w:val="20"/>
                <w:color w:val="auto"/>
              </w:rPr>
            </w:pPr>
            <w:r>
              <w:rPr>
                <w:rFonts w:ascii="Arial" w:cs="Arial" w:eastAsia="Arial" w:hAnsi="Arial"/>
                <w:sz w:val="16"/>
                <w:szCs w:val="16"/>
                <w:color w:val="auto"/>
              </w:rPr>
              <w:t>69,508</w:t>
            </w:r>
          </w:p>
        </w:tc>
        <w:tc>
          <w:tcPr>
            <w:tcW w:w="960" w:type="dxa"/>
            <w:vAlign w:val="bottom"/>
            <w:tcBorders>
              <w:bottom w:val="single" w:sz="8" w:color="BCBEC0"/>
            </w:tcBorders>
          </w:tcPr>
          <w:p>
            <w:pPr>
              <w:jc w:val="right"/>
              <w:ind w:right="18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BCBEC0"/>
            </w:tcBorders>
          </w:tcPr>
          <w:p>
            <w:pPr>
              <w:jc w:val="right"/>
              <w:ind w:right="239"/>
              <w:spacing w:after="0"/>
              <w:rPr>
                <w:sz w:val="20"/>
                <w:szCs w:val="20"/>
                <w:color w:val="auto"/>
              </w:rPr>
            </w:pPr>
            <w:r>
              <w:rPr>
                <w:rFonts w:ascii="Arial" w:cs="Arial" w:eastAsia="Arial" w:hAnsi="Arial"/>
                <w:sz w:val="16"/>
                <w:szCs w:val="16"/>
                <w:color w:val="auto"/>
              </w:rPr>
              <w:t>137,426</w:t>
            </w:r>
          </w:p>
        </w:tc>
        <w:tc>
          <w:tcPr>
            <w:tcW w:w="840" w:type="dxa"/>
            <w:vAlign w:val="bottom"/>
            <w:tcBorders>
              <w:bottom w:val="single" w:sz="8" w:color="BCBEC0"/>
            </w:tcBorders>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3840" w:type="dxa"/>
            <w:vAlign w:val="bottom"/>
            <w:tcBorders>
              <w:bottom w:val="single" w:sz="8" w:color="BCBEC0"/>
            </w:tcBorders>
          </w:tcPr>
          <w:p>
            <w:pPr>
              <w:ind w:left="20"/>
              <w:spacing w:after="0"/>
              <w:rPr>
                <w:sz w:val="20"/>
                <w:szCs w:val="20"/>
                <w:color w:val="auto"/>
              </w:rPr>
            </w:pPr>
            <w:r>
              <w:rPr>
                <w:rFonts w:ascii="Arial" w:cs="Arial" w:eastAsia="Arial" w:hAnsi="Arial"/>
                <w:sz w:val="16"/>
                <w:szCs w:val="16"/>
                <w:b w:val="1"/>
                <w:bCs w:val="1"/>
                <w:color w:val="0C3471"/>
              </w:rPr>
              <w:t>Michael T. Speetzen</w:t>
            </w:r>
          </w:p>
        </w:tc>
        <w:tc>
          <w:tcPr>
            <w:tcW w:w="1620" w:type="dxa"/>
            <w:vAlign w:val="bottom"/>
            <w:tcBorders>
              <w:bottom w:val="single" w:sz="8" w:color="BCBEC0"/>
            </w:tcBorders>
          </w:tcPr>
          <w:p>
            <w:pPr>
              <w:jc w:val="right"/>
              <w:ind w:right="199"/>
              <w:spacing w:after="0"/>
              <w:rPr>
                <w:sz w:val="20"/>
                <w:szCs w:val="20"/>
                <w:color w:val="auto"/>
              </w:rPr>
            </w:pPr>
            <w:r>
              <w:rPr>
                <w:rFonts w:ascii="Arial" w:cs="Arial" w:eastAsia="Arial" w:hAnsi="Arial"/>
                <w:sz w:val="16"/>
                <w:szCs w:val="16"/>
                <w:color w:val="auto"/>
              </w:rPr>
              <w:t>8,290</w:t>
            </w:r>
          </w:p>
        </w:tc>
        <w:tc>
          <w:tcPr>
            <w:tcW w:w="1140" w:type="dxa"/>
            <w:vAlign w:val="bottom"/>
            <w:tcBorders>
              <w:bottom w:val="single" w:sz="8" w:color="BCBEC0"/>
            </w:tcBorders>
          </w:tcPr>
          <w:p>
            <w:pPr>
              <w:jc w:val="right"/>
              <w:ind w:right="240"/>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BCBEC0"/>
            </w:tcBorders>
          </w:tcPr>
          <w:p>
            <w:pPr>
              <w:jc w:val="right"/>
              <w:ind w:right="22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BCBEC0"/>
            </w:tcBorders>
          </w:tcPr>
          <w:p>
            <w:pPr>
              <w:jc w:val="right"/>
              <w:ind w:right="18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BCBEC0"/>
            </w:tcBorders>
          </w:tcPr>
          <w:p>
            <w:pPr>
              <w:jc w:val="right"/>
              <w:ind w:right="239"/>
              <w:spacing w:after="0"/>
              <w:rPr>
                <w:sz w:val="20"/>
                <w:szCs w:val="20"/>
                <w:color w:val="auto"/>
              </w:rPr>
            </w:pPr>
            <w:r>
              <w:rPr>
                <w:rFonts w:ascii="Arial" w:cs="Arial" w:eastAsia="Arial" w:hAnsi="Arial"/>
                <w:sz w:val="16"/>
                <w:szCs w:val="16"/>
                <w:color w:val="auto"/>
              </w:rPr>
              <w:t>8,290</w:t>
            </w:r>
          </w:p>
        </w:tc>
        <w:tc>
          <w:tcPr>
            <w:tcW w:w="840" w:type="dxa"/>
            <w:vAlign w:val="bottom"/>
            <w:tcBorders>
              <w:bottom w:val="single" w:sz="8" w:color="BCBEC0"/>
            </w:tcBorders>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3840" w:type="dxa"/>
            <w:vAlign w:val="bottom"/>
            <w:tcBorders>
              <w:bottom w:val="single" w:sz="8" w:color="BCBEC0"/>
            </w:tcBorders>
          </w:tcPr>
          <w:p>
            <w:pPr>
              <w:ind w:left="20"/>
              <w:spacing w:after="0"/>
              <w:rPr>
                <w:sz w:val="20"/>
                <w:szCs w:val="20"/>
                <w:color w:val="auto"/>
              </w:rPr>
            </w:pPr>
            <w:r>
              <w:rPr>
                <w:rFonts w:ascii="Arial" w:cs="Arial" w:eastAsia="Arial" w:hAnsi="Arial"/>
                <w:sz w:val="16"/>
                <w:szCs w:val="16"/>
                <w:b w:val="1"/>
                <w:bCs w:val="1"/>
                <w:color w:val="0C3471"/>
              </w:rPr>
              <w:t>John L. Stauch</w:t>
            </w:r>
          </w:p>
        </w:tc>
        <w:tc>
          <w:tcPr>
            <w:tcW w:w="1620" w:type="dxa"/>
            <w:vAlign w:val="bottom"/>
            <w:tcBorders>
              <w:bottom w:val="single" w:sz="8" w:color="BCBEC0"/>
            </w:tcBorders>
          </w:tcPr>
          <w:p>
            <w:pPr>
              <w:jc w:val="right"/>
              <w:ind w:right="199"/>
              <w:spacing w:after="0"/>
              <w:rPr>
                <w:sz w:val="20"/>
                <w:szCs w:val="20"/>
                <w:color w:val="auto"/>
              </w:rPr>
            </w:pPr>
            <w:r>
              <w:rPr>
                <w:rFonts w:ascii="Arial" w:cs="Arial" w:eastAsia="Arial" w:hAnsi="Arial"/>
                <w:sz w:val="16"/>
                <w:szCs w:val="16"/>
                <w:color w:val="auto"/>
              </w:rPr>
              <w:t>446,684</w:t>
            </w:r>
          </w:p>
        </w:tc>
        <w:tc>
          <w:tcPr>
            <w:tcW w:w="1140" w:type="dxa"/>
            <w:vAlign w:val="bottom"/>
            <w:tcBorders>
              <w:bottom w:val="single" w:sz="8" w:color="BCBEC0"/>
            </w:tcBorders>
          </w:tcPr>
          <w:p>
            <w:pPr>
              <w:jc w:val="right"/>
              <w:ind w:right="240"/>
              <w:spacing w:after="0"/>
              <w:rPr>
                <w:sz w:val="20"/>
                <w:szCs w:val="20"/>
                <w:color w:val="auto"/>
              </w:rPr>
            </w:pPr>
            <w:r>
              <w:rPr>
                <w:rFonts w:ascii="Arial" w:cs="Arial" w:eastAsia="Arial" w:hAnsi="Arial"/>
                <w:sz w:val="16"/>
                <w:szCs w:val="16"/>
                <w:color w:val="auto"/>
              </w:rPr>
              <w:t>525,340</w:t>
            </w:r>
          </w:p>
        </w:tc>
        <w:tc>
          <w:tcPr>
            <w:tcW w:w="1520" w:type="dxa"/>
            <w:vAlign w:val="bottom"/>
            <w:tcBorders>
              <w:bottom w:val="single" w:sz="8" w:color="BCBEC0"/>
            </w:tcBorders>
          </w:tcPr>
          <w:p>
            <w:pPr>
              <w:jc w:val="right"/>
              <w:ind w:right="220"/>
              <w:spacing w:after="0"/>
              <w:rPr>
                <w:sz w:val="20"/>
                <w:szCs w:val="20"/>
                <w:color w:val="auto"/>
              </w:rPr>
            </w:pPr>
            <w:r>
              <w:rPr>
                <w:rFonts w:ascii="Arial" w:cs="Arial" w:eastAsia="Arial" w:hAnsi="Arial"/>
                <w:sz w:val="16"/>
                <w:szCs w:val="16"/>
                <w:color w:val="auto"/>
              </w:rPr>
              <w:t>499,349</w:t>
            </w:r>
          </w:p>
        </w:tc>
        <w:tc>
          <w:tcPr>
            <w:tcW w:w="960" w:type="dxa"/>
            <w:vAlign w:val="bottom"/>
            <w:tcBorders>
              <w:bottom w:val="single" w:sz="8" w:color="BCBEC0"/>
            </w:tcBorders>
          </w:tcPr>
          <w:p>
            <w:pPr>
              <w:jc w:val="right"/>
              <w:ind w:right="180"/>
              <w:spacing w:after="0"/>
              <w:rPr>
                <w:sz w:val="20"/>
                <w:szCs w:val="20"/>
                <w:color w:val="auto"/>
              </w:rPr>
            </w:pPr>
            <w:r>
              <w:rPr>
                <w:rFonts w:ascii="Arial" w:cs="Arial" w:eastAsia="Arial" w:hAnsi="Arial"/>
                <w:sz w:val="16"/>
                <w:szCs w:val="16"/>
                <w:color w:val="auto"/>
              </w:rPr>
              <w:t>950</w:t>
            </w:r>
          </w:p>
        </w:tc>
        <w:tc>
          <w:tcPr>
            <w:tcW w:w="1320" w:type="dxa"/>
            <w:vAlign w:val="bottom"/>
            <w:tcBorders>
              <w:bottom w:val="single" w:sz="8" w:color="BCBEC0"/>
            </w:tcBorders>
          </w:tcPr>
          <w:p>
            <w:pPr>
              <w:jc w:val="right"/>
              <w:ind w:right="239"/>
              <w:spacing w:after="0"/>
              <w:rPr>
                <w:sz w:val="20"/>
                <w:szCs w:val="20"/>
                <w:color w:val="auto"/>
              </w:rPr>
            </w:pPr>
            <w:r>
              <w:rPr>
                <w:rFonts w:ascii="Arial" w:cs="Arial" w:eastAsia="Arial" w:hAnsi="Arial"/>
                <w:sz w:val="16"/>
                <w:szCs w:val="16"/>
                <w:color w:val="auto"/>
              </w:rPr>
              <w:t>1,472,323</w:t>
            </w:r>
          </w:p>
        </w:tc>
        <w:tc>
          <w:tcPr>
            <w:tcW w:w="840" w:type="dxa"/>
            <w:vAlign w:val="bottom"/>
            <w:tcBorders>
              <w:bottom w:val="single" w:sz="8" w:color="BCBEC0"/>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3840" w:type="dxa"/>
            <w:vAlign w:val="bottom"/>
            <w:tcBorders>
              <w:bottom w:val="single" w:sz="8" w:color="BCBEC0"/>
            </w:tcBorders>
          </w:tcPr>
          <w:p>
            <w:pPr>
              <w:ind w:left="20"/>
              <w:spacing w:after="0"/>
              <w:rPr>
                <w:sz w:val="20"/>
                <w:szCs w:val="20"/>
                <w:color w:val="auto"/>
              </w:rPr>
            </w:pPr>
            <w:r>
              <w:rPr>
                <w:rFonts w:ascii="Arial" w:cs="Arial" w:eastAsia="Arial" w:hAnsi="Arial"/>
                <w:sz w:val="16"/>
                <w:szCs w:val="16"/>
                <w:b w:val="1"/>
                <w:bCs w:val="1"/>
                <w:color w:val="0C3471"/>
              </w:rPr>
              <w:t>De'Mon L. Wiggins</w:t>
            </w:r>
          </w:p>
        </w:tc>
        <w:tc>
          <w:tcPr>
            <w:tcW w:w="1620" w:type="dxa"/>
            <w:vAlign w:val="bottom"/>
            <w:tcBorders>
              <w:bottom w:val="single" w:sz="8" w:color="BCBEC0"/>
            </w:tcBorders>
          </w:tcPr>
          <w:p>
            <w:pPr>
              <w:jc w:val="right"/>
              <w:ind w:right="199"/>
              <w:spacing w:after="0"/>
              <w:rPr>
                <w:sz w:val="20"/>
                <w:szCs w:val="20"/>
                <w:color w:val="auto"/>
              </w:rPr>
            </w:pPr>
            <w:r>
              <w:rPr>
                <w:rFonts w:ascii="Arial" w:cs="Arial" w:eastAsia="Arial" w:hAnsi="Arial"/>
                <w:sz w:val="16"/>
                <w:szCs w:val="16"/>
                <w:color w:val="auto"/>
              </w:rPr>
              <w:t>26,562</w:t>
            </w:r>
          </w:p>
        </w:tc>
        <w:tc>
          <w:tcPr>
            <w:tcW w:w="1140" w:type="dxa"/>
            <w:vAlign w:val="bottom"/>
            <w:tcBorders>
              <w:bottom w:val="single" w:sz="8" w:color="BCBEC0"/>
            </w:tcBorders>
          </w:tcPr>
          <w:p>
            <w:pPr>
              <w:jc w:val="right"/>
              <w:ind w:right="240"/>
              <w:spacing w:after="0"/>
              <w:rPr>
                <w:sz w:val="20"/>
                <w:szCs w:val="20"/>
                <w:color w:val="auto"/>
              </w:rPr>
            </w:pPr>
            <w:r>
              <w:rPr>
                <w:rFonts w:ascii="Arial" w:cs="Arial" w:eastAsia="Arial" w:hAnsi="Arial"/>
                <w:sz w:val="16"/>
                <w:szCs w:val="16"/>
                <w:color w:val="auto"/>
              </w:rPr>
              <w:t>535</w:t>
            </w:r>
          </w:p>
        </w:tc>
        <w:tc>
          <w:tcPr>
            <w:tcW w:w="1520" w:type="dxa"/>
            <w:vAlign w:val="bottom"/>
            <w:tcBorders>
              <w:bottom w:val="single" w:sz="8" w:color="BCBEC0"/>
            </w:tcBorders>
          </w:tcPr>
          <w:p>
            <w:pPr>
              <w:jc w:val="right"/>
              <w:ind w:right="220"/>
              <w:spacing w:after="0"/>
              <w:rPr>
                <w:sz w:val="20"/>
                <w:szCs w:val="20"/>
                <w:color w:val="auto"/>
              </w:rPr>
            </w:pPr>
            <w:r>
              <w:rPr>
                <w:rFonts w:ascii="Arial" w:cs="Arial" w:eastAsia="Arial" w:hAnsi="Arial"/>
                <w:sz w:val="16"/>
                <w:szCs w:val="16"/>
                <w:color w:val="auto"/>
              </w:rPr>
              <w:t>41,474</w:t>
            </w:r>
          </w:p>
        </w:tc>
        <w:tc>
          <w:tcPr>
            <w:tcW w:w="960" w:type="dxa"/>
            <w:vAlign w:val="bottom"/>
            <w:tcBorders>
              <w:bottom w:val="single" w:sz="8" w:color="BCBEC0"/>
            </w:tcBorders>
          </w:tcPr>
          <w:p>
            <w:pPr>
              <w:jc w:val="right"/>
              <w:ind w:right="180"/>
              <w:spacing w:after="0"/>
              <w:rPr>
                <w:sz w:val="20"/>
                <w:szCs w:val="20"/>
                <w:color w:val="auto"/>
              </w:rPr>
            </w:pPr>
            <w:r>
              <w:rPr>
                <w:rFonts w:ascii="Arial" w:cs="Arial" w:eastAsia="Arial" w:hAnsi="Arial"/>
                <w:sz w:val="16"/>
                <w:szCs w:val="16"/>
                <w:color w:val="auto"/>
              </w:rPr>
              <w:t>198</w:t>
            </w:r>
          </w:p>
        </w:tc>
        <w:tc>
          <w:tcPr>
            <w:tcW w:w="1320" w:type="dxa"/>
            <w:vAlign w:val="bottom"/>
            <w:tcBorders>
              <w:bottom w:val="single" w:sz="8" w:color="BCBEC0"/>
            </w:tcBorders>
          </w:tcPr>
          <w:p>
            <w:pPr>
              <w:jc w:val="right"/>
              <w:ind w:right="239"/>
              <w:spacing w:after="0"/>
              <w:rPr>
                <w:sz w:val="20"/>
                <w:szCs w:val="20"/>
                <w:color w:val="auto"/>
              </w:rPr>
            </w:pPr>
            <w:r>
              <w:rPr>
                <w:rFonts w:ascii="Arial" w:cs="Arial" w:eastAsia="Arial" w:hAnsi="Arial"/>
                <w:sz w:val="16"/>
                <w:szCs w:val="16"/>
                <w:color w:val="auto"/>
              </w:rPr>
              <w:t>68,769</w:t>
            </w:r>
          </w:p>
        </w:tc>
        <w:tc>
          <w:tcPr>
            <w:tcW w:w="840" w:type="dxa"/>
            <w:vAlign w:val="bottom"/>
            <w:tcBorders>
              <w:bottom w:val="single" w:sz="8" w:color="BCBEC0"/>
            </w:tcBorders>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3840" w:type="dxa"/>
            <w:vAlign w:val="bottom"/>
            <w:tcBorders>
              <w:bottom w:val="single" w:sz="8" w:color="BCBEC0"/>
            </w:tcBorders>
          </w:tcPr>
          <w:p>
            <w:pPr>
              <w:ind w:left="20"/>
              <w:spacing w:after="0"/>
              <w:rPr>
                <w:sz w:val="20"/>
                <w:szCs w:val="20"/>
                <w:color w:val="auto"/>
              </w:rPr>
            </w:pPr>
            <w:r>
              <w:rPr>
                <w:rFonts w:ascii="Arial" w:cs="Arial" w:eastAsia="Arial" w:hAnsi="Arial"/>
                <w:sz w:val="16"/>
                <w:szCs w:val="16"/>
                <w:b w:val="1"/>
                <w:bCs w:val="1"/>
                <w:color w:val="0C3471"/>
              </w:rPr>
              <w:t>Billie I. Williamson</w:t>
            </w:r>
          </w:p>
        </w:tc>
        <w:tc>
          <w:tcPr>
            <w:tcW w:w="1620" w:type="dxa"/>
            <w:vAlign w:val="bottom"/>
            <w:tcBorders>
              <w:bottom w:val="single" w:sz="8" w:color="BCBEC0"/>
            </w:tcBorders>
          </w:tcPr>
          <w:p>
            <w:pPr>
              <w:jc w:val="right"/>
              <w:ind w:right="199"/>
              <w:spacing w:after="0"/>
              <w:rPr>
                <w:sz w:val="20"/>
                <w:szCs w:val="20"/>
                <w:color w:val="auto"/>
              </w:rPr>
            </w:pPr>
            <w:r>
              <w:rPr>
                <w:rFonts w:ascii="Arial" w:cs="Arial" w:eastAsia="Arial" w:hAnsi="Arial"/>
                <w:sz w:val="16"/>
                <w:szCs w:val="16"/>
                <w:color w:val="auto"/>
              </w:rPr>
              <w:t>21,895</w:t>
            </w:r>
          </w:p>
        </w:tc>
        <w:tc>
          <w:tcPr>
            <w:tcW w:w="1140" w:type="dxa"/>
            <w:vAlign w:val="bottom"/>
            <w:tcBorders>
              <w:bottom w:val="single" w:sz="8" w:color="BCBEC0"/>
            </w:tcBorders>
          </w:tcPr>
          <w:p>
            <w:pPr>
              <w:jc w:val="right"/>
              <w:ind w:right="240"/>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BCBEC0"/>
            </w:tcBorders>
          </w:tcPr>
          <w:p>
            <w:pPr>
              <w:jc w:val="right"/>
              <w:ind w:right="22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BCBEC0"/>
            </w:tcBorders>
          </w:tcPr>
          <w:p>
            <w:pPr>
              <w:jc w:val="right"/>
              <w:ind w:right="18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BCBEC0"/>
            </w:tcBorders>
          </w:tcPr>
          <w:p>
            <w:pPr>
              <w:jc w:val="right"/>
              <w:ind w:right="239"/>
              <w:spacing w:after="0"/>
              <w:rPr>
                <w:sz w:val="20"/>
                <w:szCs w:val="20"/>
                <w:color w:val="auto"/>
              </w:rPr>
            </w:pPr>
            <w:r>
              <w:rPr>
                <w:rFonts w:ascii="Arial" w:cs="Arial" w:eastAsia="Arial" w:hAnsi="Arial"/>
                <w:sz w:val="16"/>
                <w:szCs w:val="16"/>
                <w:color w:val="auto"/>
              </w:rPr>
              <w:t>21,895</w:t>
            </w:r>
          </w:p>
        </w:tc>
        <w:tc>
          <w:tcPr>
            <w:tcW w:w="840" w:type="dxa"/>
            <w:vAlign w:val="bottom"/>
            <w:tcBorders>
              <w:bottom w:val="single" w:sz="8" w:color="BCBEC0"/>
            </w:tcBorders>
          </w:tcPr>
          <w:p>
            <w:pPr>
              <w:spacing w:after="0"/>
              <w:rPr>
                <w:sz w:val="22"/>
                <w:szCs w:val="22"/>
                <w:color w:val="auto"/>
              </w:rPr>
            </w:pPr>
          </w:p>
        </w:tc>
        <w:tc>
          <w:tcPr>
            <w:tcW w:w="0" w:type="dxa"/>
            <w:vAlign w:val="bottom"/>
          </w:tcPr>
          <w:p>
            <w:pPr>
              <w:spacing w:after="0"/>
              <w:rPr>
                <w:sz w:val="1"/>
                <w:szCs w:val="1"/>
                <w:color w:val="auto"/>
              </w:rPr>
            </w:pPr>
          </w:p>
        </w:tc>
      </w:tr>
      <w:tr>
        <w:trPr>
          <w:trHeight w:val="233"/>
        </w:trPr>
        <w:tc>
          <w:tcPr>
            <w:tcW w:w="3840" w:type="dxa"/>
            <w:vAlign w:val="bottom"/>
          </w:tcPr>
          <w:p>
            <w:pPr>
              <w:ind w:left="20"/>
              <w:spacing w:after="0"/>
              <w:rPr>
                <w:sz w:val="20"/>
                <w:szCs w:val="20"/>
                <w:color w:val="auto"/>
              </w:rPr>
            </w:pPr>
            <w:r>
              <w:rPr>
                <w:rFonts w:ascii="Arial" w:cs="Arial" w:eastAsia="Arial" w:hAnsi="Arial"/>
                <w:sz w:val="16"/>
                <w:szCs w:val="16"/>
                <w:b w:val="1"/>
                <w:bCs w:val="1"/>
                <w:color w:val="0C3471"/>
              </w:rPr>
              <w:t>Directors and executive officers as a group (17)</w:t>
            </w:r>
          </w:p>
        </w:tc>
        <w:tc>
          <w:tcPr>
            <w:tcW w:w="1620" w:type="dxa"/>
            <w:vAlign w:val="bottom"/>
          </w:tcPr>
          <w:p>
            <w:pPr>
              <w:jc w:val="right"/>
              <w:ind w:right="199"/>
              <w:spacing w:after="0"/>
              <w:rPr>
                <w:sz w:val="20"/>
                <w:szCs w:val="20"/>
                <w:color w:val="auto"/>
              </w:rPr>
            </w:pPr>
            <w:r>
              <w:rPr>
                <w:rFonts w:ascii="Arial" w:cs="Arial" w:eastAsia="Arial" w:hAnsi="Arial"/>
                <w:sz w:val="16"/>
                <w:szCs w:val="16"/>
                <w:color w:val="auto"/>
              </w:rPr>
              <w:t>718,431</w:t>
            </w:r>
          </w:p>
        </w:tc>
        <w:tc>
          <w:tcPr>
            <w:tcW w:w="1140" w:type="dxa"/>
            <w:vAlign w:val="bottom"/>
          </w:tcPr>
          <w:p>
            <w:pPr>
              <w:jc w:val="right"/>
              <w:ind w:right="240"/>
              <w:spacing w:after="0"/>
              <w:rPr>
                <w:sz w:val="20"/>
                <w:szCs w:val="20"/>
                <w:color w:val="auto"/>
              </w:rPr>
            </w:pPr>
            <w:r>
              <w:rPr>
                <w:rFonts w:ascii="Arial" w:cs="Arial" w:eastAsia="Arial" w:hAnsi="Arial"/>
                <w:sz w:val="16"/>
                <w:szCs w:val="16"/>
                <w:color w:val="auto"/>
              </w:rPr>
              <w:t>616,008</w:t>
            </w:r>
          </w:p>
        </w:tc>
        <w:tc>
          <w:tcPr>
            <w:tcW w:w="1520" w:type="dxa"/>
            <w:vAlign w:val="bottom"/>
          </w:tcPr>
          <w:p>
            <w:pPr>
              <w:jc w:val="right"/>
              <w:ind w:right="220"/>
              <w:spacing w:after="0"/>
              <w:rPr>
                <w:sz w:val="20"/>
                <w:szCs w:val="20"/>
                <w:color w:val="auto"/>
              </w:rPr>
            </w:pPr>
            <w:r>
              <w:rPr>
                <w:rFonts w:ascii="Arial" w:cs="Arial" w:eastAsia="Arial" w:hAnsi="Arial"/>
                <w:sz w:val="16"/>
                <w:szCs w:val="16"/>
                <w:color w:val="auto"/>
              </w:rPr>
              <w:t>702,965</w:t>
            </w:r>
          </w:p>
        </w:tc>
        <w:tc>
          <w:tcPr>
            <w:tcW w:w="960" w:type="dxa"/>
            <w:vAlign w:val="bottom"/>
          </w:tcPr>
          <w:p>
            <w:pPr>
              <w:jc w:val="right"/>
              <w:ind w:right="180"/>
              <w:spacing w:after="0"/>
              <w:rPr>
                <w:sz w:val="20"/>
                <w:szCs w:val="20"/>
                <w:color w:val="auto"/>
              </w:rPr>
            </w:pPr>
            <w:r>
              <w:rPr>
                <w:rFonts w:ascii="Arial" w:cs="Arial" w:eastAsia="Arial" w:hAnsi="Arial"/>
                <w:sz w:val="16"/>
                <w:szCs w:val="16"/>
                <w:color w:val="auto"/>
              </w:rPr>
              <w:t>1,576</w:t>
            </w:r>
          </w:p>
        </w:tc>
        <w:tc>
          <w:tcPr>
            <w:tcW w:w="1320" w:type="dxa"/>
            <w:vAlign w:val="bottom"/>
          </w:tcPr>
          <w:p>
            <w:pPr>
              <w:jc w:val="right"/>
              <w:ind w:right="239"/>
              <w:spacing w:after="0"/>
              <w:rPr>
                <w:sz w:val="20"/>
                <w:szCs w:val="20"/>
                <w:color w:val="auto"/>
              </w:rPr>
            </w:pPr>
            <w:r>
              <w:rPr>
                <w:rFonts w:ascii="Arial" w:cs="Arial" w:eastAsia="Arial" w:hAnsi="Arial"/>
                <w:sz w:val="16"/>
                <w:szCs w:val="16"/>
                <w:color w:val="auto"/>
              </w:rPr>
              <w:t>2,038,980</w:t>
            </w:r>
          </w:p>
        </w:tc>
        <w:tc>
          <w:tcPr>
            <w:tcW w:w="840" w:type="dxa"/>
            <w:vAlign w:val="bottom"/>
          </w:tcPr>
          <w:p>
            <w:pPr>
              <w:jc w:val="right"/>
              <w:spacing w:after="0"/>
              <w:rPr>
                <w:sz w:val="20"/>
                <w:szCs w:val="20"/>
                <w:color w:val="auto"/>
              </w:rPr>
            </w:pPr>
            <w:r>
              <w:rPr>
                <w:rFonts w:ascii="Arial" w:cs="Arial" w:eastAsia="Arial" w:hAnsi="Arial"/>
                <w:sz w:val="16"/>
                <w:szCs w:val="16"/>
                <w:color w:val="auto"/>
              </w:rPr>
              <w:t>1.26%</w:t>
            </w:r>
          </w:p>
        </w:tc>
        <w:tc>
          <w:tcPr>
            <w:tcW w:w="0" w:type="dxa"/>
            <w:vAlign w:val="bottom"/>
          </w:tcPr>
          <w:p>
            <w:pPr>
              <w:spacing w:after="0"/>
              <w:rPr>
                <w:sz w:val="1"/>
                <w:szCs w:val="1"/>
                <w:color w:val="auto"/>
              </w:rPr>
            </w:pPr>
          </w:p>
        </w:tc>
      </w:tr>
      <w:tr>
        <w:trPr>
          <w:trHeight w:val="34"/>
        </w:trPr>
        <w:tc>
          <w:tcPr>
            <w:tcW w:w="3840" w:type="dxa"/>
            <w:vAlign w:val="bottom"/>
            <w:tcBorders>
              <w:bottom w:val="single" w:sz="8" w:color="BCBEC0"/>
            </w:tcBorders>
          </w:tcPr>
          <w:p>
            <w:pPr>
              <w:spacing w:after="0"/>
              <w:rPr>
                <w:sz w:val="3"/>
                <w:szCs w:val="3"/>
                <w:color w:val="auto"/>
              </w:rPr>
            </w:pPr>
          </w:p>
        </w:tc>
        <w:tc>
          <w:tcPr>
            <w:tcW w:w="1620" w:type="dxa"/>
            <w:vAlign w:val="bottom"/>
            <w:tcBorders>
              <w:bottom w:val="single" w:sz="8" w:color="BCBEC0"/>
            </w:tcBorders>
          </w:tcPr>
          <w:p>
            <w:pPr>
              <w:spacing w:after="0"/>
              <w:rPr>
                <w:sz w:val="3"/>
                <w:szCs w:val="3"/>
                <w:color w:val="auto"/>
              </w:rPr>
            </w:pPr>
          </w:p>
        </w:tc>
        <w:tc>
          <w:tcPr>
            <w:tcW w:w="1140" w:type="dxa"/>
            <w:vAlign w:val="bottom"/>
            <w:tcBorders>
              <w:bottom w:val="single" w:sz="8" w:color="BCBEC0"/>
            </w:tcBorders>
          </w:tcPr>
          <w:p>
            <w:pPr>
              <w:spacing w:after="0"/>
              <w:rPr>
                <w:sz w:val="3"/>
                <w:szCs w:val="3"/>
                <w:color w:val="auto"/>
              </w:rPr>
            </w:pPr>
          </w:p>
        </w:tc>
        <w:tc>
          <w:tcPr>
            <w:tcW w:w="1520" w:type="dxa"/>
            <w:vAlign w:val="bottom"/>
            <w:tcBorders>
              <w:bottom w:val="single" w:sz="8" w:color="BCBEC0"/>
            </w:tcBorders>
          </w:tcPr>
          <w:p>
            <w:pPr>
              <w:spacing w:after="0"/>
              <w:rPr>
                <w:sz w:val="3"/>
                <w:szCs w:val="3"/>
                <w:color w:val="auto"/>
              </w:rPr>
            </w:pPr>
          </w:p>
        </w:tc>
        <w:tc>
          <w:tcPr>
            <w:tcW w:w="960" w:type="dxa"/>
            <w:vAlign w:val="bottom"/>
            <w:tcBorders>
              <w:bottom w:val="single" w:sz="8" w:color="BCBEC0"/>
            </w:tcBorders>
          </w:tcPr>
          <w:p>
            <w:pPr>
              <w:spacing w:after="0"/>
              <w:rPr>
                <w:sz w:val="3"/>
                <w:szCs w:val="3"/>
                <w:color w:val="auto"/>
              </w:rPr>
            </w:pPr>
          </w:p>
        </w:tc>
        <w:tc>
          <w:tcPr>
            <w:tcW w:w="1320" w:type="dxa"/>
            <w:vAlign w:val="bottom"/>
            <w:tcBorders>
              <w:bottom w:val="single" w:sz="8" w:color="BCBEC0"/>
            </w:tcBorders>
          </w:tcPr>
          <w:p>
            <w:pPr>
              <w:spacing w:after="0"/>
              <w:rPr>
                <w:sz w:val="3"/>
                <w:szCs w:val="3"/>
                <w:color w:val="auto"/>
              </w:rPr>
            </w:pPr>
          </w:p>
        </w:tc>
        <w:tc>
          <w:tcPr>
            <w:tcW w:w="840" w:type="dxa"/>
            <w:vAlign w:val="bottom"/>
            <w:tcBorders>
              <w:bottom w:val="single" w:sz="8" w:color="BCBEC0"/>
            </w:tcBorders>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3840" w:type="dxa"/>
            <w:vAlign w:val="bottom"/>
            <w:tcBorders>
              <w:bottom w:val="single" w:sz="8" w:color="BCBEC0"/>
            </w:tcBorders>
          </w:tcPr>
          <w:p>
            <w:pPr>
              <w:ind w:left="20"/>
              <w:spacing w:after="0"/>
              <w:rPr>
                <w:sz w:val="20"/>
                <w:szCs w:val="20"/>
                <w:color w:val="auto"/>
              </w:rPr>
            </w:pPr>
            <w:r>
              <w:rPr>
                <w:rFonts w:ascii="Arial" w:cs="Arial" w:eastAsia="Arial" w:hAnsi="Arial"/>
                <w:sz w:val="16"/>
                <w:szCs w:val="16"/>
                <w:b w:val="1"/>
                <w:bCs w:val="1"/>
                <w:color w:val="0C3471"/>
              </w:rPr>
              <w:t>The Vanguard Group</w:t>
            </w:r>
            <w:r>
              <w:rPr>
                <w:rFonts w:ascii="Arial" w:cs="Arial" w:eastAsia="Arial" w:hAnsi="Arial"/>
                <w:sz w:val="21"/>
                <w:szCs w:val="21"/>
                <w:b w:val="1"/>
                <w:bCs w:val="1"/>
                <w:color w:val="0C3471"/>
                <w:vertAlign w:val="superscript"/>
              </w:rPr>
              <w:t>(5)</w:t>
            </w:r>
          </w:p>
        </w:tc>
        <w:tc>
          <w:tcPr>
            <w:tcW w:w="1620" w:type="dxa"/>
            <w:vAlign w:val="bottom"/>
            <w:tcBorders>
              <w:bottom w:val="single" w:sz="8" w:color="BCBEC0"/>
            </w:tcBorders>
          </w:tcPr>
          <w:p>
            <w:pPr>
              <w:jc w:val="right"/>
              <w:ind w:right="199"/>
              <w:spacing w:after="0"/>
              <w:rPr>
                <w:sz w:val="20"/>
                <w:szCs w:val="20"/>
                <w:color w:val="auto"/>
              </w:rPr>
            </w:pPr>
            <w:r>
              <w:rPr>
                <w:rFonts w:ascii="Arial" w:cs="Arial" w:eastAsia="Arial" w:hAnsi="Arial"/>
                <w:sz w:val="16"/>
                <w:szCs w:val="16"/>
                <w:color w:val="auto"/>
              </w:rPr>
              <w:t>19,916,751</w:t>
            </w:r>
          </w:p>
        </w:tc>
        <w:tc>
          <w:tcPr>
            <w:tcW w:w="1140" w:type="dxa"/>
            <w:vAlign w:val="bottom"/>
            <w:tcBorders>
              <w:bottom w:val="single" w:sz="8" w:color="BCBEC0"/>
            </w:tcBorders>
          </w:tcPr>
          <w:p>
            <w:pPr>
              <w:jc w:val="right"/>
              <w:ind w:right="240"/>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BCBEC0"/>
            </w:tcBorders>
          </w:tcPr>
          <w:p>
            <w:pPr>
              <w:jc w:val="right"/>
              <w:ind w:right="22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BCBEC0"/>
            </w:tcBorders>
          </w:tcPr>
          <w:p>
            <w:pPr>
              <w:jc w:val="right"/>
              <w:ind w:right="18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BCBEC0"/>
            </w:tcBorders>
          </w:tcPr>
          <w:p>
            <w:pPr>
              <w:jc w:val="right"/>
              <w:ind w:right="239"/>
              <w:spacing w:after="0"/>
              <w:rPr>
                <w:sz w:val="20"/>
                <w:szCs w:val="20"/>
                <w:color w:val="auto"/>
              </w:rPr>
            </w:pPr>
            <w:r>
              <w:rPr>
                <w:rFonts w:ascii="Arial" w:cs="Arial" w:eastAsia="Arial" w:hAnsi="Arial"/>
                <w:sz w:val="16"/>
                <w:szCs w:val="16"/>
                <w:color w:val="auto"/>
              </w:rPr>
              <w:t>19,916,751</w:t>
            </w:r>
          </w:p>
        </w:tc>
        <w:tc>
          <w:tcPr>
            <w:tcW w:w="840" w:type="dxa"/>
            <w:vAlign w:val="bottom"/>
            <w:tcBorders>
              <w:bottom w:val="single" w:sz="8" w:color="BCBEC0"/>
            </w:tcBorders>
          </w:tcPr>
          <w:p>
            <w:pPr>
              <w:jc w:val="right"/>
              <w:spacing w:after="0"/>
              <w:rPr>
                <w:sz w:val="20"/>
                <w:szCs w:val="20"/>
                <w:color w:val="auto"/>
              </w:rPr>
            </w:pPr>
            <w:r>
              <w:rPr>
                <w:rFonts w:ascii="Arial" w:cs="Arial" w:eastAsia="Arial" w:hAnsi="Arial"/>
                <w:sz w:val="16"/>
                <w:szCs w:val="16"/>
                <w:color w:val="auto"/>
              </w:rPr>
              <w:t>12.32%</w:t>
            </w:r>
          </w:p>
        </w:tc>
        <w:tc>
          <w:tcPr>
            <w:tcW w:w="0" w:type="dxa"/>
            <w:vAlign w:val="bottom"/>
          </w:tcPr>
          <w:p>
            <w:pPr>
              <w:spacing w:after="0"/>
              <w:rPr>
                <w:sz w:val="1"/>
                <w:szCs w:val="1"/>
                <w:color w:val="auto"/>
              </w:rPr>
            </w:pPr>
          </w:p>
        </w:tc>
      </w:tr>
      <w:tr>
        <w:trPr>
          <w:trHeight w:val="263"/>
        </w:trPr>
        <w:tc>
          <w:tcPr>
            <w:tcW w:w="3840" w:type="dxa"/>
            <w:vAlign w:val="bottom"/>
            <w:tcBorders>
              <w:bottom w:val="single" w:sz="8" w:color="BCBEC0"/>
            </w:tcBorders>
          </w:tcPr>
          <w:p>
            <w:pPr>
              <w:ind w:left="20"/>
              <w:spacing w:after="0"/>
              <w:rPr>
                <w:sz w:val="20"/>
                <w:szCs w:val="20"/>
                <w:color w:val="auto"/>
              </w:rPr>
            </w:pPr>
            <w:r>
              <w:rPr>
                <w:rFonts w:ascii="Arial" w:cs="Arial" w:eastAsia="Arial" w:hAnsi="Arial"/>
                <w:sz w:val="16"/>
                <w:szCs w:val="16"/>
                <w:b w:val="1"/>
                <w:bCs w:val="1"/>
                <w:color w:val="0C3471"/>
              </w:rPr>
              <w:t>BlackRock, Inc.</w:t>
            </w:r>
            <w:r>
              <w:rPr>
                <w:rFonts w:ascii="Arial" w:cs="Arial" w:eastAsia="Arial" w:hAnsi="Arial"/>
                <w:sz w:val="21"/>
                <w:szCs w:val="21"/>
                <w:b w:val="1"/>
                <w:bCs w:val="1"/>
                <w:color w:val="0C3471"/>
                <w:vertAlign w:val="superscript"/>
              </w:rPr>
              <w:t>(6)</w:t>
            </w:r>
          </w:p>
        </w:tc>
        <w:tc>
          <w:tcPr>
            <w:tcW w:w="1620" w:type="dxa"/>
            <w:vAlign w:val="bottom"/>
            <w:tcBorders>
              <w:bottom w:val="single" w:sz="8" w:color="BCBEC0"/>
            </w:tcBorders>
          </w:tcPr>
          <w:p>
            <w:pPr>
              <w:jc w:val="right"/>
              <w:ind w:right="199"/>
              <w:spacing w:after="0"/>
              <w:rPr>
                <w:sz w:val="20"/>
                <w:szCs w:val="20"/>
                <w:color w:val="auto"/>
              </w:rPr>
            </w:pPr>
            <w:r>
              <w:rPr>
                <w:rFonts w:ascii="Arial" w:cs="Arial" w:eastAsia="Arial" w:hAnsi="Arial"/>
                <w:sz w:val="16"/>
                <w:szCs w:val="16"/>
                <w:color w:val="auto"/>
              </w:rPr>
              <w:t>14,910,589</w:t>
            </w:r>
          </w:p>
        </w:tc>
        <w:tc>
          <w:tcPr>
            <w:tcW w:w="1140" w:type="dxa"/>
            <w:vAlign w:val="bottom"/>
            <w:tcBorders>
              <w:bottom w:val="single" w:sz="8" w:color="BCBEC0"/>
            </w:tcBorders>
          </w:tcPr>
          <w:p>
            <w:pPr>
              <w:jc w:val="right"/>
              <w:ind w:right="240"/>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BCBEC0"/>
            </w:tcBorders>
          </w:tcPr>
          <w:p>
            <w:pPr>
              <w:jc w:val="right"/>
              <w:ind w:right="22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BCBEC0"/>
            </w:tcBorders>
          </w:tcPr>
          <w:p>
            <w:pPr>
              <w:jc w:val="right"/>
              <w:ind w:right="18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BCBEC0"/>
            </w:tcBorders>
          </w:tcPr>
          <w:p>
            <w:pPr>
              <w:jc w:val="right"/>
              <w:ind w:right="239"/>
              <w:spacing w:after="0"/>
              <w:rPr>
                <w:sz w:val="20"/>
                <w:szCs w:val="20"/>
                <w:color w:val="auto"/>
              </w:rPr>
            </w:pPr>
            <w:r>
              <w:rPr>
                <w:rFonts w:ascii="Arial" w:cs="Arial" w:eastAsia="Arial" w:hAnsi="Arial"/>
                <w:sz w:val="16"/>
                <w:szCs w:val="16"/>
                <w:color w:val="auto"/>
              </w:rPr>
              <w:t>14,910,589</w:t>
            </w:r>
          </w:p>
        </w:tc>
        <w:tc>
          <w:tcPr>
            <w:tcW w:w="840" w:type="dxa"/>
            <w:vAlign w:val="bottom"/>
            <w:tcBorders>
              <w:bottom w:val="single" w:sz="8" w:color="BCBEC0"/>
            </w:tcBorders>
          </w:tcPr>
          <w:p>
            <w:pPr>
              <w:jc w:val="right"/>
              <w:spacing w:after="0"/>
              <w:rPr>
                <w:sz w:val="20"/>
                <w:szCs w:val="20"/>
                <w:color w:val="auto"/>
              </w:rPr>
            </w:pPr>
            <w:r>
              <w:rPr>
                <w:rFonts w:ascii="Arial" w:cs="Arial" w:eastAsia="Arial" w:hAnsi="Arial"/>
                <w:sz w:val="16"/>
                <w:szCs w:val="16"/>
                <w:color w:val="auto"/>
              </w:rPr>
              <w:t>9.23%</w:t>
            </w:r>
          </w:p>
        </w:tc>
        <w:tc>
          <w:tcPr>
            <w:tcW w:w="0" w:type="dxa"/>
            <w:vAlign w:val="bottom"/>
          </w:tcPr>
          <w:p>
            <w:pPr>
              <w:spacing w:after="0"/>
              <w:rPr>
                <w:sz w:val="1"/>
                <w:szCs w:val="1"/>
                <w:color w:val="auto"/>
              </w:rPr>
            </w:pPr>
          </w:p>
        </w:tc>
      </w:tr>
      <w:tr>
        <w:trPr>
          <w:trHeight w:val="263"/>
        </w:trPr>
        <w:tc>
          <w:tcPr>
            <w:tcW w:w="3840" w:type="dxa"/>
            <w:vAlign w:val="bottom"/>
            <w:tcBorders>
              <w:bottom w:val="single" w:sz="8" w:color="0C3471"/>
            </w:tcBorders>
          </w:tcPr>
          <w:p>
            <w:pPr>
              <w:ind w:left="20"/>
              <w:spacing w:after="0"/>
              <w:rPr>
                <w:sz w:val="20"/>
                <w:szCs w:val="20"/>
                <w:color w:val="auto"/>
              </w:rPr>
            </w:pPr>
            <w:r>
              <w:rPr>
                <w:rFonts w:ascii="Arial" w:cs="Arial" w:eastAsia="Arial" w:hAnsi="Arial"/>
                <w:sz w:val="16"/>
                <w:szCs w:val="16"/>
                <w:b w:val="1"/>
                <w:bCs w:val="1"/>
                <w:color w:val="0C3471"/>
              </w:rPr>
              <w:t>State Street Corporation</w:t>
            </w:r>
            <w:r>
              <w:rPr>
                <w:rFonts w:ascii="Arial" w:cs="Arial" w:eastAsia="Arial" w:hAnsi="Arial"/>
                <w:sz w:val="21"/>
                <w:szCs w:val="21"/>
                <w:b w:val="1"/>
                <w:bCs w:val="1"/>
                <w:color w:val="0C3471"/>
                <w:vertAlign w:val="superscript"/>
              </w:rPr>
              <w:t>(7)</w:t>
            </w:r>
          </w:p>
        </w:tc>
        <w:tc>
          <w:tcPr>
            <w:tcW w:w="1620" w:type="dxa"/>
            <w:vAlign w:val="bottom"/>
            <w:tcBorders>
              <w:bottom w:val="single" w:sz="8" w:color="0C3471"/>
            </w:tcBorders>
          </w:tcPr>
          <w:p>
            <w:pPr>
              <w:jc w:val="right"/>
              <w:ind w:right="199"/>
              <w:spacing w:after="0"/>
              <w:rPr>
                <w:sz w:val="20"/>
                <w:szCs w:val="20"/>
                <w:color w:val="auto"/>
              </w:rPr>
            </w:pPr>
            <w:r>
              <w:rPr>
                <w:rFonts w:ascii="Arial" w:cs="Arial" w:eastAsia="Arial" w:hAnsi="Arial"/>
                <w:sz w:val="16"/>
                <w:szCs w:val="16"/>
                <w:color w:val="auto"/>
              </w:rPr>
              <w:t>9,209,527</w:t>
            </w:r>
          </w:p>
        </w:tc>
        <w:tc>
          <w:tcPr>
            <w:tcW w:w="1140" w:type="dxa"/>
            <w:vAlign w:val="bottom"/>
            <w:tcBorders>
              <w:bottom w:val="single" w:sz="8" w:color="0C3471"/>
            </w:tcBorders>
          </w:tcPr>
          <w:p>
            <w:pPr>
              <w:jc w:val="right"/>
              <w:ind w:right="240"/>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0C3471"/>
            </w:tcBorders>
          </w:tcPr>
          <w:p>
            <w:pPr>
              <w:jc w:val="right"/>
              <w:ind w:right="22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0C3471"/>
            </w:tcBorders>
          </w:tcPr>
          <w:p>
            <w:pPr>
              <w:jc w:val="right"/>
              <w:ind w:right="18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0C3471"/>
            </w:tcBorders>
          </w:tcPr>
          <w:p>
            <w:pPr>
              <w:jc w:val="right"/>
              <w:ind w:right="239"/>
              <w:spacing w:after="0"/>
              <w:rPr>
                <w:sz w:val="20"/>
                <w:szCs w:val="20"/>
                <w:color w:val="auto"/>
              </w:rPr>
            </w:pPr>
            <w:r>
              <w:rPr>
                <w:rFonts w:ascii="Arial" w:cs="Arial" w:eastAsia="Arial" w:hAnsi="Arial"/>
                <w:sz w:val="16"/>
                <w:szCs w:val="16"/>
                <w:color w:val="auto"/>
              </w:rPr>
              <w:t>9,209,527</w:t>
            </w:r>
          </w:p>
        </w:tc>
        <w:tc>
          <w:tcPr>
            <w:tcW w:w="840" w:type="dxa"/>
            <w:vAlign w:val="bottom"/>
            <w:tcBorders>
              <w:bottom w:val="single" w:sz="8" w:color="0C3471"/>
            </w:tcBorders>
          </w:tcPr>
          <w:p>
            <w:pPr>
              <w:jc w:val="right"/>
              <w:spacing w:after="0"/>
              <w:rPr>
                <w:sz w:val="20"/>
                <w:szCs w:val="20"/>
                <w:color w:val="auto"/>
              </w:rPr>
            </w:pPr>
            <w:r>
              <w:rPr>
                <w:rFonts w:ascii="Arial" w:cs="Arial" w:eastAsia="Arial" w:hAnsi="Arial"/>
                <w:sz w:val="16"/>
                <w:szCs w:val="16"/>
                <w:color w:val="auto"/>
              </w:rPr>
              <w:t>5.70%</w:t>
            </w: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200" w:right="260" w:hanging="192"/>
        <w:spacing w:after="0" w:line="325" w:lineRule="auto"/>
        <w:tabs>
          <w:tab w:leader="none" w:pos="228" w:val="left"/>
        </w:tabs>
        <w:numPr>
          <w:ilvl w:val="0"/>
          <w:numId w:val="153"/>
        </w:numPr>
        <w:rPr>
          <w:rFonts w:ascii="Arial" w:cs="Arial" w:eastAsia="Arial" w:hAnsi="Arial"/>
          <w:sz w:val="9"/>
          <w:szCs w:val="9"/>
          <w:color w:val="auto"/>
        </w:rPr>
      </w:pPr>
      <w:r>
        <w:rPr>
          <w:rFonts w:ascii="Arial" w:cs="Arial" w:eastAsia="Arial" w:hAnsi="Arial"/>
          <w:sz w:val="14"/>
          <w:szCs w:val="14"/>
          <w:color w:val="auto"/>
        </w:rPr>
        <w:t>Unless otherwise noted, all shares are held either directly or indirectly by individuals possessing sole voting and investment power with respect to such shares. Beneficial ownership of an immaterial number of shares held by spouses or trusts has been disclaimed in some instances.</w:t>
      </w:r>
    </w:p>
    <w:p>
      <w:pPr>
        <w:spacing w:after="0" w:line="22" w:lineRule="exact"/>
        <w:rPr>
          <w:rFonts w:ascii="Arial" w:cs="Arial" w:eastAsia="Arial" w:hAnsi="Arial"/>
          <w:sz w:val="9"/>
          <w:szCs w:val="9"/>
          <w:color w:val="auto"/>
        </w:rPr>
      </w:pPr>
    </w:p>
    <w:p>
      <w:pPr>
        <w:ind w:left="200" w:right="20" w:hanging="192"/>
        <w:spacing w:after="0" w:line="249" w:lineRule="auto"/>
        <w:tabs>
          <w:tab w:leader="none" w:pos="214" w:val="left"/>
        </w:tabs>
        <w:numPr>
          <w:ilvl w:val="0"/>
          <w:numId w:val="153"/>
        </w:numPr>
        <w:rPr>
          <w:rFonts w:ascii="Arial" w:cs="Arial" w:eastAsia="Arial" w:hAnsi="Arial"/>
          <w:sz w:val="19"/>
          <w:szCs w:val="19"/>
          <w:color w:val="auto"/>
          <w:vertAlign w:val="superscript"/>
        </w:rPr>
      </w:pPr>
      <w:r>
        <w:rPr>
          <w:rFonts w:ascii="Arial" w:cs="Arial" w:eastAsia="Arial" w:hAnsi="Arial"/>
          <w:sz w:val="14"/>
          <w:szCs w:val="14"/>
          <w:color w:val="auto"/>
        </w:rPr>
        <w:t>Represents for non-employee directors deferred share units held under our Compensation Plan for Non-Employee Directors. No director has voting or investment power related to these share units. Represents for executive officers restricted stock units, receipt of which was deferred by the executive officer under the company’s Non-Qualified Deferred Compensation Plan and over which the executive officers have no voting or investment power.</w:t>
      </w:r>
    </w:p>
    <w:p>
      <w:pPr>
        <w:spacing w:after="0" w:line="60" w:lineRule="exact"/>
        <w:rPr>
          <w:rFonts w:ascii="Arial" w:cs="Arial" w:eastAsia="Arial" w:hAnsi="Arial"/>
          <w:sz w:val="19"/>
          <w:szCs w:val="19"/>
          <w:color w:val="auto"/>
          <w:vertAlign w:val="superscript"/>
        </w:rPr>
      </w:pPr>
    </w:p>
    <w:p>
      <w:pPr>
        <w:ind w:left="200" w:hanging="192"/>
        <w:spacing w:after="0" w:line="303" w:lineRule="auto"/>
        <w:tabs>
          <w:tab w:leader="none" w:pos="214" w:val="left"/>
        </w:tabs>
        <w:numPr>
          <w:ilvl w:val="0"/>
          <w:numId w:val="153"/>
        </w:numPr>
        <w:rPr>
          <w:rFonts w:ascii="Arial" w:cs="Arial" w:eastAsia="Arial" w:hAnsi="Arial"/>
          <w:sz w:val="9"/>
          <w:szCs w:val="9"/>
          <w:color w:val="auto"/>
        </w:rPr>
      </w:pPr>
      <w:r>
        <w:rPr>
          <w:rFonts w:ascii="Arial" w:cs="Arial" w:eastAsia="Arial" w:hAnsi="Arial"/>
          <w:sz w:val="14"/>
          <w:szCs w:val="14"/>
          <w:color w:val="auto"/>
        </w:rPr>
        <w:t>Represents shares owned as a participant in the RSIP. As of March 6, 2026, Fidelity Management Trust Company (“Fidelity”), the Trustee of the RSIP, held 473,244 ordinary shares (0.29%). Fidelity disclaims beneficial ownership of all shares. The RSIP participants have the right to direct the Trustee to vote their shares, although participants have no investment power over such shares. The Trustee does not vote the shares for which it has received no direction from participants.</w:t>
      </w:r>
    </w:p>
    <w:p>
      <w:pPr>
        <w:spacing w:after="0" w:line="24" w:lineRule="exact"/>
        <w:rPr>
          <w:rFonts w:ascii="Arial" w:cs="Arial" w:eastAsia="Arial" w:hAnsi="Arial"/>
          <w:sz w:val="9"/>
          <w:szCs w:val="9"/>
          <w:color w:val="auto"/>
        </w:rPr>
      </w:pPr>
    </w:p>
    <w:p>
      <w:pPr>
        <w:ind w:left="200" w:hanging="192"/>
        <w:spacing w:after="0"/>
        <w:tabs>
          <w:tab w:leader="none" w:pos="200" w:val="left"/>
        </w:tabs>
        <w:numPr>
          <w:ilvl w:val="0"/>
          <w:numId w:val="153"/>
        </w:numPr>
        <w:rPr>
          <w:rFonts w:ascii="Arial" w:cs="Arial" w:eastAsia="Arial" w:hAnsi="Arial"/>
          <w:sz w:val="9"/>
          <w:szCs w:val="9"/>
          <w:color w:val="auto"/>
        </w:rPr>
      </w:pPr>
      <w:r>
        <w:rPr>
          <w:rFonts w:ascii="Arial" w:cs="Arial" w:eastAsia="Arial" w:hAnsi="Arial"/>
          <w:sz w:val="14"/>
          <w:szCs w:val="14"/>
          <w:color w:val="auto"/>
        </w:rPr>
        <w:t>Less than 1%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10780" w:type="dxa"/>
            <w:vAlign w:val="bottom"/>
          </w:tcPr>
          <w:p>
            <w:pPr>
              <w:ind w:left="8260"/>
              <w:spacing w:after="0"/>
              <w:rPr>
                <w:sz w:val="20"/>
                <w:szCs w:val="20"/>
                <w:color w:val="auto"/>
              </w:rPr>
            </w:pPr>
            <w:r>
              <w:rPr>
                <w:rFonts w:ascii="Arial" w:cs="Arial" w:eastAsia="Arial" w:hAnsi="Arial"/>
                <w:sz w:val="16"/>
                <w:szCs w:val="16"/>
                <w:b w:val="1"/>
                <w:bCs w:val="1"/>
                <w:color w:val="auto"/>
              </w:rPr>
              <w:t xml:space="preserve">2026 Proxy Statement </w:t>
            </w:r>
            <w:r>
              <w:rPr>
                <w:rFonts w:ascii="Arial" w:cs="Arial" w:eastAsia="Arial" w:hAnsi="Arial"/>
                <w:sz w:val="16"/>
                <w:szCs w:val="16"/>
                <w:b w:val="1"/>
                <w:bCs w:val="1"/>
                <w:color w:val="0C3471"/>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Pentair</w:t>
            </w:r>
          </w:p>
        </w:tc>
        <w:tc>
          <w:tcPr>
            <w:tcW w:w="460" w:type="dxa"/>
            <w:vAlign w:val="bottom"/>
          </w:tcPr>
          <w:p>
            <w:pPr>
              <w:jc w:val="right"/>
              <w:spacing w:after="0"/>
              <w:rPr>
                <w:sz w:val="20"/>
                <w:szCs w:val="20"/>
                <w:color w:val="auto"/>
              </w:rPr>
            </w:pPr>
            <w:r>
              <w:rPr>
                <w:rFonts w:ascii="Arial" w:cs="Arial" w:eastAsia="Arial" w:hAnsi="Arial"/>
                <w:sz w:val="16"/>
                <w:szCs w:val="16"/>
                <w:b w:val="1"/>
                <w:bCs w:val="1"/>
                <w:color w:val="auto"/>
              </w:rPr>
              <w:t>81</w:t>
            </w:r>
          </w:p>
        </w:tc>
      </w:tr>
      <w:tr>
        <w:trPr>
          <w:trHeight w:val="325"/>
        </w:trPr>
        <w:tc>
          <w:tcPr>
            <w:tcW w:w="107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3" w:name="page84"/>
    <w:bookmarkEnd w:id="83"/>
    <w:p>
      <w:pPr>
        <w:ind w:left="36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216535</wp:posOffset>
            </wp:positionH>
            <wp:positionV relativeFrom="page">
              <wp:posOffset>106045</wp:posOffset>
            </wp:positionV>
            <wp:extent cx="102870" cy="11176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clrChange>
                        <a:clrFrom>
                          <a:srgbClr val="FFFFFF"/>
                        </a:clrFrom>
                        <a:clrTo>
                          <a:srgbClr val="FFFFFF">
                            <a:alpha val="0"/>
                          </a:srgbClr>
                        </a:clrTo>
                      </a:clrChange>
                      <a:extLst>
                        <a:ext uri="{28A0092B-C50C-407E-A947-70E740481C1C}"/>
                      </a:extLst>
                    </a:blip>
                    <a:srcRect/>
                    <a:stretch>
                      <a:fillRect/>
                    </a:stretch>
                  </pic:blipFill>
                  <pic:spPr bwMode="auto">
                    <a:xfrm>
                      <a:off x="0" y="0"/>
                      <a:ext cx="102870" cy="111760"/>
                    </a:xfrm>
                    <a:prstGeom prst="rect">
                      <a:avLst/>
                    </a:prstGeom>
                    <a:noFill/>
                  </pic:spPr>
                </pic:pic>
              </a:graphicData>
            </a:graphic>
          </wp:anchor>
        </w:drawing>
        <w:t>Ownership of Pentair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200" w:right="40" w:hanging="192"/>
        <w:spacing w:after="0" w:line="257" w:lineRule="auto"/>
        <w:tabs>
          <w:tab w:leader="none" w:pos="214" w:val="left"/>
        </w:tabs>
        <w:numPr>
          <w:ilvl w:val="0"/>
          <w:numId w:val="154"/>
        </w:numPr>
        <w:rPr>
          <w:rFonts w:ascii="Arial" w:cs="Arial" w:eastAsia="Arial" w:hAnsi="Arial"/>
          <w:sz w:val="19"/>
          <w:szCs w:val="19"/>
          <w:color w:val="auto"/>
          <w:vertAlign w:val="superscript"/>
        </w:rPr>
      </w:pPr>
      <w:r>
        <w:rPr>
          <w:rFonts w:ascii="Arial" w:cs="Arial" w:eastAsia="Arial" w:hAnsi="Arial"/>
          <w:sz w:val="14"/>
          <w:szCs w:val="14"/>
          <w:color w:val="auto"/>
        </w:rPr>
        <w:t>Information derived from a Schedule 13G/A filed with the SEC on February 13, 2024. The address of The Vanguard Group is 100 Vanguard Boulevard, Malvern, PA 19355. As of December 29, 2023, The Vanguard Group had shared voting power for 206,753 ordinary shares, sole dispositive power for 19,218,978 ordinary shares and shared dispositive power for 697,773 ordinary shares.</w:t>
      </w:r>
    </w:p>
    <w:p>
      <w:pPr>
        <w:spacing w:after="0" w:line="55" w:lineRule="exact"/>
        <w:rPr>
          <w:rFonts w:ascii="Arial" w:cs="Arial" w:eastAsia="Arial" w:hAnsi="Arial"/>
          <w:sz w:val="19"/>
          <w:szCs w:val="19"/>
          <w:color w:val="auto"/>
          <w:vertAlign w:val="superscript"/>
        </w:rPr>
      </w:pPr>
    </w:p>
    <w:p>
      <w:pPr>
        <w:ind w:left="200" w:hanging="192"/>
        <w:spacing w:after="0" w:line="239" w:lineRule="auto"/>
        <w:tabs>
          <w:tab w:leader="none" w:pos="214" w:val="left"/>
        </w:tabs>
        <w:numPr>
          <w:ilvl w:val="0"/>
          <w:numId w:val="154"/>
        </w:numPr>
        <w:rPr>
          <w:rFonts w:ascii="Arial" w:cs="Arial" w:eastAsia="Arial" w:hAnsi="Arial"/>
          <w:sz w:val="19"/>
          <w:szCs w:val="19"/>
          <w:color w:val="auto"/>
          <w:vertAlign w:val="superscript"/>
        </w:rPr>
      </w:pPr>
      <w:r>
        <w:rPr>
          <w:rFonts w:ascii="Arial" w:cs="Arial" w:eastAsia="Arial" w:hAnsi="Arial"/>
          <w:sz w:val="14"/>
          <w:szCs w:val="14"/>
          <w:color w:val="auto"/>
        </w:rPr>
        <w:t>Information derived from a Schedule 13G/A filed with the SEC on April 23, 2025. The address of BlackRock, Inc. is 50 Hudson Yards, New York, NY 10001. As of March 31, 2025, BlackRock, Inc. had sole voting power for 13,720,902 ordinary shares and sole dispositive power for 14,910,589 ordinary shares.</w:t>
      </w:r>
    </w:p>
    <w:p>
      <w:pPr>
        <w:spacing w:after="0" w:line="67" w:lineRule="exact"/>
        <w:rPr>
          <w:rFonts w:ascii="Arial" w:cs="Arial" w:eastAsia="Arial" w:hAnsi="Arial"/>
          <w:sz w:val="19"/>
          <w:szCs w:val="19"/>
          <w:color w:val="auto"/>
          <w:vertAlign w:val="superscript"/>
        </w:rPr>
      </w:pPr>
    </w:p>
    <w:p>
      <w:pPr>
        <w:ind w:left="200" w:hanging="192"/>
        <w:spacing w:after="0" w:line="257" w:lineRule="auto"/>
        <w:tabs>
          <w:tab w:leader="none" w:pos="214" w:val="left"/>
        </w:tabs>
        <w:numPr>
          <w:ilvl w:val="0"/>
          <w:numId w:val="154"/>
        </w:numPr>
        <w:rPr>
          <w:rFonts w:ascii="Arial" w:cs="Arial" w:eastAsia="Arial" w:hAnsi="Arial"/>
          <w:sz w:val="19"/>
          <w:szCs w:val="19"/>
          <w:color w:val="auto"/>
          <w:vertAlign w:val="superscript"/>
        </w:rPr>
      </w:pPr>
      <w:r>
        <w:rPr>
          <w:rFonts w:ascii="Arial" w:cs="Arial" w:eastAsia="Arial" w:hAnsi="Arial"/>
          <w:sz w:val="14"/>
          <w:szCs w:val="14"/>
          <w:color w:val="auto"/>
        </w:rPr>
        <w:t>Information derived from a Schedule 13G/A filed with the SEC on January 29, 2024. The address of State Street Corporation is State Street Financial Center, 1 Congress Street, Suite 1, Boston, MA 02114. As of December 31, 2023, State Street Corporation had shared voting power for 6,091,085 ordinary shares and shared dispositive power for 9,196,811 ordinary shares.</w:t>
      </w:r>
    </w:p>
    <w:p>
      <w:pPr>
        <w:spacing w:after="0" w:line="293" w:lineRule="exact"/>
        <w:rPr>
          <w:sz w:val="20"/>
          <w:szCs w:val="20"/>
          <w:color w:val="auto"/>
        </w:rPr>
      </w:pPr>
    </w:p>
    <w:p>
      <w:pPr>
        <w:spacing w:after="0"/>
        <w:rPr>
          <w:sz w:val="20"/>
          <w:szCs w:val="20"/>
          <w:color w:val="auto"/>
        </w:rPr>
      </w:pPr>
      <w:r>
        <w:rPr>
          <w:rFonts w:ascii="Arial" w:cs="Arial" w:eastAsia="Arial" w:hAnsi="Arial"/>
          <w:sz w:val="32"/>
          <w:szCs w:val="32"/>
          <w:color w:val="0C3471"/>
        </w:rPr>
        <w:t>Delinquent Section 16(a) Report</w:t>
      </w:r>
    </w:p>
    <w:p>
      <w:pPr>
        <w:spacing w:after="0" w:line="132" w:lineRule="exact"/>
        <w:rPr>
          <w:sz w:val="20"/>
          <w:szCs w:val="20"/>
          <w:color w:val="auto"/>
        </w:rPr>
      </w:pPr>
    </w:p>
    <w:p>
      <w:pPr>
        <w:jc w:val="both"/>
        <w:ind w:right="60"/>
        <w:spacing w:after="0" w:line="321" w:lineRule="auto"/>
        <w:rPr>
          <w:sz w:val="20"/>
          <w:szCs w:val="20"/>
          <w:color w:val="auto"/>
        </w:rPr>
      </w:pPr>
      <w:r>
        <w:rPr>
          <w:rFonts w:ascii="Arial" w:cs="Arial" w:eastAsia="Arial" w:hAnsi="Arial"/>
          <w:sz w:val="16"/>
          <w:szCs w:val="16"/>
          <w:color w:val="auto"/>
        </w:rPr>
        <w:t>Our officers subject to Section 16 of the Securities Exchange Act of 1934, directors and 10% shareholders are required under the Securities and Exchange Act of 1934 to file reports of ownership and changes in ownership with the Securities and Exchange Commission and furnish copies of these reports to us.</w:t>
      </w:r>
    </w:p>
    <w:p>
      <w:pPr>
        <w:spacing w:after="0" w:line="48" w:lineRule="exact"/>
        <w:rPr>
          <w:sz w:val="20"/>
          <w:szCs w:val="20"/>
          <w:color w:val="auto"/>
        </w:rPr>
      </w:pPr>
    </w:p>
    <w:p>
      <w:pPr>
        <w:ind w:right="60"/>
        <w:spacing w:after="0" w:line="292" w:lineRule="auto"/>
        <w:rPr>
          <w:sz w:val="20"/>
          <w:szCs w:val="20"/>
          <w:color w:val="auto"/>
        </w:rPr>
      </w:pPr>
      <w:r>
        <w:rPr>
          <w:rFonts w:ascii="Arial" w:cs="Arial" w:eastAsia="Arial" w:hAnsi="Arial"/>
          <w:sz w:val="16"/>
          <w:szCs w:val="16"/>
          <w:color w:val="auto"/>
        </w:rPr>
        <w:t>We have received copies of reports furnished to us, or written representations that no reports were required. Based solely on these reports, we believe that during 2025 our Section 16 officers and directors complied with all applicable filing requirements, except one report on Form 4 for Jennifer M. Hensley, reporting one transaction, was filed on a delinquent basis in 2025.</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600" w:hanging="574"/>
        <w:spacing w:after="0"/>
        <w:tabs>
          <w:tab w:leader="none" w:pos="600" w:val="left"/>
        </w:tabs>
        <w:numPr>
          <w:ilvl w:val="0"/>
          <w:numId w:val="155"/>
        </w:numPr>
        <w:rPr>
          <w:rFonts w:ascii="Arial" w:cs="Arial" w:eastAsia="Arial" w:hAnsi="Arial"/>
          <w:sz w:val="16"/>
          <w:szCs w:val="16"/>
          <w:b w:val="1"/>
          <w:bCs w:val="1"/>
          <w:color w:val="auto"/>
        </w:rPr>
      </w:pPr>
      <w:r>
        <w:rPr>
          <w:rFonts w:ascii="Arial" w:cs="Arial" w:eastAsia="Arial" w:hAnsi="Arial"/>
          <w:sz w:val="16"/>
          <w:szCs w:val="16"/>
          <w:color w:val="auto"/>
        </w:rPr>
        <w:t xml:space="preserve">Pentair </w:t>
      </w:r>
      <w:r>
        <w:rPr>
          <w:rFonts w:ascii="Arial" w:cs="Arial" w:eastAsia="Arial" w:hAnsi="Arial"/>
          <w:sz w:val="16"/>
          <w:szCs w:val="16"/>
          <w:b w:val="1"/>
          <w:bCs w:val="1"/>
          <w:color w:val="0C3471"/>
        </w:rPr>
        <w:t>|</w:t>
      </w:r>
      <w:r>
        <w:rPr>
          <w:rFonts w:ascii="Arial" w:cs="Arial" w:eastAsia="Arial" w:hAnsi="Arial"/>
          <w:sz w:val="16"/>
          <w:szCs w:val="16"/>
          <w:color w:val="auto"/>
        </w:rPr>
        <w:t xml:space="preserve"> </w:t>
      </w:r>
      <w:r>
        <w:rPr>
          <w:rFonts w:ascii="Arial" w:cs="Arial" w:eastAsia="Arial" w:hAnsi="Arial"/>
          <w:sz w:val="16"/>
          <w:szCs w:val="16"/>
          <w:b w:val="1"/>
          <w:bCs w:val="1"/>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205105</wp:posOffset>
            </wp:positionV>
            <wp:extent cx="7157720" cy="425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79" w:right="439" w:bottom="1440" w:gutter="0" w:footer="0" w:header="0"/>
        </w:sectPr>
      </w:pPr>
    </w:p>
    <w:bookmarkStart w:id="84" w:name="page85"/>
    <w:bookmarkEnd w:id="84"/>
    <w:p>
      <w:pPr>
        <w:ind w:left="1080" w:right="1580"/>
        <w:spacing w:after="0" w:line="298" w:lineRule="auto"/>
        <w:rPr>
          <w:sz w:val="20"/>
          <w:szCs w:val="20"/>
          <w:color w:val="auto"/>
        </w:rPr>
      </w:pPr>
      <w:r>
        <w:rPr>
          <w:rFonts w:ascii="Arial" w:cs="Arial" w:eastAsia="Arial" w:hAnsi="Arial"/>
          <w:sz w:val="43"/>
          <w:szCs w:val="43"/>
          <w:b w:val="1"/>
          <w:bCs w:val="1"/>
          <w:color w:val="0C3471"/>
        </w:rPr>
        <w:t>Questions and Answers about the Annual General Meeting and Voting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-580390</wp:posOffset>
            </wp:positionV>
            <wp:extent cx="445770" cy="47180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445770" cy="471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6"/>
          <w:szCs w:val="16"/>
          <w:b w:val="1"/>
          <w:bCs w:val="1"/>
          <w:color w:val="0C3471"/>
        </w:rPr>
        <w:t>Why did I receive these proxy materials?</w:t>
      </w:r>
    </w:p>
    <w:p>
      <w:pPr>
        <w:spacing w:after="0" w:line="113" w:lineRule="exact"/>
        <w:rPr>
          <w:sz w:val="20"/>
          <w:szCs w:val="20"/>
          <w:color w:val="auto"/>
        </w:rPr>
      </w:pPr>
    </w:p>
    <w:p>
      <w:pPr>
        <w:ind w:right="120"/>
        <w:spacing w:after="0" w:line="282" w:lineRule="auto"/>
        <w:rPr>
          <w:sz w:val="20"/>
          <w:szCs w:val="20"/>
          <w:color w:val="auto"/>
        </w:rPr>
      </w:pPr>
      <w:r>
        <w:rPr>
          <w:rFonts w:ascii="Arial" w:cs="Arial" w:eastAsia="Arial" w:hAnsi="Arial"/>
          <w:sz w:val="16"/>
          <w:szCs w:val="16"/>
          <w:color w:val="auto"/>
        </w:rPr>
        <w:t>We are providing these proxy materials to you because our Board of Directors is soliciting proxies for use at our Annual General Meeting to be held on May 5, 2026. We either (i) mailed you a Notice of Internet Availability of Proxy Materials on or before March 20, 2026, notifying each shareholder entitled to vote at the Annual General Meeting how to vote and how to electronically access a copy of this Proxy Statement and our Annual Report on Form 10-K for the fiscal year ended December 31, 2025 or (ii) mailed you a printed copy of such proxy materials and a proxy card in paper format. You received these proxy materials because you were a shareholder of record as of the close of business on March 6, 2026.</w:t>
      </w:r>
    </w:p>
    <w:p>
      <w:pPr>
        <w:spacing w:after="0" w:line="80" w:lineRule="exact"/>
        <w:rPr>
          <w:sz w:val="20"/>
          <w:szCs w:val="20"/>
          <w:color w:val="auto"/>
        </w:rPr>
      </w:pPr>
    </w:p>
    <w:p>
      <w:pPr>
        <w:ind w:right="280"/>
        <w:spacing w:after="0" w:line="292" w:lineRule="auto"/>
        <w:rPr>
          <w:sz w:val="20"/>
          <w:szCs w:val="20"/>
          <w:color w:val="auto"/>
        </w:rPr>
      </w:pPr>
      <w:r>
        <w:rPr>
          <w:rFonts w:ascii="Arial" w:cs="Arial" w:eastAsia="Arial" w:hAnsi="Arial"/>
          <w:sz w:val="16"/>
          <w:szCs w:val="16"/>
          <w:color w:val="auto"/>
        </w:rPr>
        <w:t>If you received a Notice of Internet Availability of Proxy Materials and would like to receive a printed copy of our proxy materials, including a proxy card in paper format on which you may submit your vote by mail, you should follow the instructions for requesting such proxy materials in the Notice of Internet Availability of Proxy Materials.</w:t>
      </w:r>
    </w:p>
    <w:p>
      <w:pPr>
        <w:spacing w:after="0" w:line="71" w:lineRule="exact"/>
        <w:rPr>
          <w:sz w:val="20"/>
          <w:szCs w:val="20"/>
          <w:color w:val="auto"/>
        </w:rPr>
      </w:pPr>
    </w:p>
    <w:p>
      <w:pPr>
        <w:ind w:right="420"/>
        <w:spacing w:after="0" w:line="304" w:lineRule="auto"/>
        <w:rPr>
          <w:sz w:val="20"/>
          <w:szCs w:val="20"/>
          <w:color w:val="auto"/>
        </w:rPr>
      </w:pPr>
      <w:r>
        <w:rPr>
          <w:rFonts w:ascii="Arial" w:cs="Arial" w:eastAsia="Arial" w:hAnsi="Arial"/>
          <w:sz w:val="16"/>
          <w:szCs w:val="16"/>
          <w:color w:val="auto"/>
        </w:rPr>
        <w:t xml:space="preserve">This Proxy Statement, our Annual Report on Form 10-K for the fiscal year ended December 31, 2025, and our Irish Statutory Financial Statements and directors’ and auditors’ reports are available online at </w:t>
      </w:r>
      <w:r>
        <w:rPr>
          <w:rFonts w:ascii="Arial" w:cs="Arial" w:eastAsia="Arial" w:hAnsi="Arial"/>
          <w:sz w:val="16"/>
          <w:szCs w:val="16"/>
          <w:color w:val="0C3471"/>
        </w:rPr>
        <w:t>www.proxyvote.com</w:t>
      </w:r>
      <w:r>
        <w:rPr>
          <w:rFonts w:ascii="Arial" w:cs="Arial" w:eastAsia="Arial" w:hAnsi="Arial"/>
          <w:sz w:val="16"/>
          <w:szCs w:val="16"/>
          <w:color w:val="auto"/>
        </w:rPr>
        <w:t>.</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b w:val="1"/>
          <w:bCs w:val="1"/>
          <w:color w:val="0C3471"/>
        </w:rPr>
        <w:t>What is a proxy?</w:t>
      </w:r>
    </w:p>
    <w:p>
      <w:pPr>
        <w:spacing w:after="0" w:line="113"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A proxy is your legal designation of another person (the “proxy”) to vote on your behalf. By voting your proxy, you are giving the persons named on the proxy card the authority to vote your shares in the manner you indicate on your proxy card. You may vote your proxy by telephone or over the Internet as directed in the Notice of Internet Availability of Proxy Materials or, if you have requested or received a proxy card, by signing and dating the proxy card and submitting it by mail.</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color w:val="0C3471"/>
        </w:rPr>
        <w:t>What is the difference between a shareholder of record and a beneficial owner?</w:t>
      </w:r>
    </w:p>
    <w:p>
      <w:pPr>
        <w:spacing w:after="0" w:line="113" w:lineRule="exact"/>
        <w:rPr>
          <w:sz w:val="20"/>
          <w:szCs w:val="20"/>
          <w:color w:val="auto"/>
        </w:rPr>
      </w:pPr>
    </w:p>
    <w:p>
      <w:pPr>
        <w:ind w:right="160"/>
        <w:spacing w:after="0" w:line="301" w:lineRule="auto"/>
        <w:rPr>
          <w:sz w:val="20"/>
          <w:szCs w:val="20"/>
          <w:color w:val="auto"/>
        </w:rPr>
      </w:pPr>
      <w:r>
        <w:rPr>
          <w:rFonts w:ascii="Arial" w:cs="Arial" w:eastAsia="Arial" w:hAnsi="Arial"/>
          <w:sz w:val="16"/>
          <w:szCs w:val="16"/>
          <w:color w:val="auto"/>
        </w:rPr>
        <w:t>If your shares are registered directly in your name with Computershare Trust Company, N.A., our transfer agent, you are a “shareholder of record.” If your shares are held in a stock brokerage account or by a bank or other custodian or nominee, you are considered the beneficial owner of shares held in “street name.” As a beneficial owner, you have the right to direct your broker, bank or other custodian or nominee on how to vote your shares.</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b w:val="1"/>
          <w:bCs w:val="1"/>
          <w:color w:val="0C3471"/>
        </w:rPr>
        <w:t>Who is entitled to vote at the Annual General Meeting and how many votes do I have?</w:t>
      </w:r>
    </w:p>
    <w:p>
      <w:pPr>
        <w:spacing w:after="0" w:line="113" w:lineRule="exact"/>
        <w:rPr>
          <w:sz w:val="20"/>
          <w:szCs w:val="20"/>
          <w:color w:val="auto"/>
        </w:rPr>
      </w:pPr>
    </w:p>
    <w:p>
      <w:pPr>
        <w:ind w:right="80"/>
        <w:spacing w:after="0" w:line="282" w:lineRule="auto"/>
        <w:rPr>
          <w:sz w:val="20"/>
          <w:szCs w:val="20"/>
          <w:color w:val="auto"/>
        </w:rPr>
      </w:pPr>
      <w:r>
        <w:rPr>
          <w:rFonts w:ascii="Arial" w:cs="Arial" w:eastAsia="Arial" w:hAnsi="Arial"/>
          <w:sz w:val="16"/>
          <w:szCs w:val="16"/>
          <w:color w:val="auto"/>
        </w:rPr>
        <w:t>The Board has set the close of business (Eastern Standard Time) on March 6, 2026 as the record date for the Annual General Meeting. At the close of business on the record date, we had 161,602,800 ordinary shares issued and outstanding and entitled to vote. All shareholders of record at the close of business on the record date are entitled to vote on the matters set forth in this Proxy Statement and any other matter properly presented at the Annual General Meeting. Beneficial owners whose banks, brokers or other custodians or nominees are shareholders registered in our share register with respect to the beneficial owners’ shares at the close of business on the record date are entitled to vote on the matters set forth in this Proxy Statement and any other matter properly presented at the Annual General Meeting. Each ordinary share is entitled to one vote on each matter properly brought before the Annual General Meeting.</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color w:val="0C3471"/>
        </w:rPr>
        <w:t>How do I vote if I am a shareholder of record?</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If you are a shareholder of record of ordinary shares, you can vote in the following ways:</w:t>
      </w:r>
    </w:p>
    <w:p>
      <w:pPr>
        <w:spacing w:after="0" w:line="140" w:lineRule="exact"/>
        <w:rPr>
          <w:sz w:val="20"/>
          <w:szCs w:val="20"/>
          <w:color w:val="auto"/>
        </w:rPr>
      </w:pPr>
    </w:p>
    <w:p>
      <w:pPr>
        <w:ind w:left="200" w:right="360" w:hanging="192"/>
        <w:spacing w:after="0" w:line="321" w:lineRule="auto"/>
        <w:tabs>
          <w:tab w:leader="none" w:pos="157" w:val="left"/>
        </w:tabs>
        <w:numPr>
          <w:ilvl w:val="0"/>
          <w:numId w:val="156"/>
        </w:numPr>
        <w:rPr>
          <w:rFonts w:ascii="Arial" w:cs="Arial" w:eastAsia="Arial" w:hAnsi="Arial"/>
          <w:sz w:val="13"/>
          <w:szCs w:val="13"/>
          <w:color w:val="64A70B"/>
        </w:rPr>
      </w:pPr>
      <w:r>
        <w:rPr>
          <w:rFonts w:ascii="Arial" w:cs="Arial" w:eastAsia="Arial" w:hAnsi="Arial"/>
          <w:sz w:val="16"/>
          <w:szCs w:val="16"/>
          <w:b w:val="1"/>
          <w:bCs w:val="1"/>
          <w:i w:val="1"/>
          <w:iCs w:val="1"/>
          <w:color w:val="auto"/>
        </w:rPr>
        <w:t xml:space="preserve">By Internet: </w:t>
      </w:r>
      <w:r>
        <w:rPr>
          <w:rFonts w:ascii="Arial" w:cs="Arial" w:eastAsia="Arial" w:hAnsi="Arial"/>
          <w:sz w:val="16"/>
          <w:szCs w:val="16"/>
          <w:color w:val="auto"/>
        </w:rPr>
        <w:t>You can vote over the Internet at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0C3471"/>
        </w:rPr>
        <w:t>www.proxyvote.com</w:t>
      </w:r>
      <w:r>
        <w:rPr>
          <w:rFonts w:ascii="Arial" w:cs="Arial" w:eastAsia="Arial" w:hAnsi="Arial"/>
          <w:sz w:val="16"/>
          <w:szCs w:val="16"/>
          <w:color w:val="auto"/>
        </w:rPr>
        <w:t>. For more information, follow the instructions in the Notice of Internet Availability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Proxy Materials or on the proxy card.</w:t>
      </w:r>
    </w:p>
    <w:p>
      <w:pPr>
        <w:spacing w:after="0" w:line="7" w:lineRule="exact"/>
        <w:rPr>
          <w:rFonts w:ascii="Arial" w:cs="Arial" w:eastAsia="Arial" w:hAnsi="Arial"/>
          <w:sz w:val="13"/>
          <w:szCs w:val="13"/>
          <w:color w:val="64A70B"/>
        </w:rPr>
      </w:pPr>
    </w:p>
    <w:p>
      <w:pPr>
        <w:ind w:left="160" w:hanging="152"/>
        <w:spacing w:after="0"/>
        <w:tabs>
          <w:tab w:leader="none" w:pos="160" w:val="left"/>
        </w:tabs>
        <w:numPr>
          <w:ilvl w:val="0"/>
          <w:numId w:val="156"/>
        </w:numPr>
        <w:rPr>
          <w:rFonts w:ascii="Arial" w:cs="Arial" w:eastAsia="Arial" w:hAnsi="Arial"/>
          <w:sz w:val="13"/>
          <w:szCs w:val="13"/>
          <w:color w:val="64A70B"/>
        </w:rPr>
      </w:pPr>
      <w:r>
        <w:rPr>
          <w:rFonts w:ascii="Arial" w:cs="Arial" w:eastAsia="Arial" w:hAnsi="Arial"/>
          <w:sz w:val="16"/>
          <w:szCs w:val="16"/>
          <w:b w:val="1"/>
          <w:bCs w:val="1"/>
          <w:i w:val="1"/>
          <w:iCs w:val="1"/>
          <w:color w:val="auto"/>
        </w:rPr>
        <w:t xml:space="preserve">By Telephone: </w:t>
      </w:r>
      <w:r>
        <w:rPr>
          <w:rFonts w:ascii="Arial" w:cs="Arial" w:eastAsia="Arial" w:hAnsi="Arial"/>
          <w:sz w:val="16"/>
          <w:szCs w:val="16"/>
          <w:color w:val="auto"/>
        </w:rPr>
        <w:t>You can vote by telephone by calling the telephone number on the proxy card.</w:t>
      </w:r>
    </w:p>
    <w:p>
      <w:pPr>
        <w:spacing w:after="0" w:line="99" w:lineRule="exact"/>
        <w:rPr>
          <w:rFonts w:ascii="Arial" w:cs="Arial" w:eastAsia="Arial" w:hAnsi="Arial"/>
          <w:sz w:val="13"/>
          <w:szCs w:val="13"/>
          <w:color w:val="64A70B"/>
        </w:rPr>
      </w:pPr>
    </w:p>
    <w:p>
      <w:pPr>
        <w:ind w:left="200" w:right="60" w:hanging="192"/>
        <w:spacing w:after="0" w:line="283" w:lineRule="auto"/>
        <w:tabs>
          <w:tab w:leader="none" w:pos="157" w:val="left"/>
        </w:tabs>
        <w:numPr>
          <w:ilvl w:val="0"/>
          <w:numId w:val="156"/>
        </w:numPr>
        <w:rPr>
          <w:rFonts w:ascii="Arial" w:cs="Arial" w:eastAsia="Arial" w:hAnsi="Arial"/>
          <w:sz w:val="13"/>
          <w:szCs w:val="13"/>
          <w:color w:val="64A70B"/>
        </w:rPr>
      </w:pPr>
      <w:r>
        <w:rPr>
          <w:rFonts w:ascii="Arial" w:cs="Arial" w:eastAsia="Arial" w:hAnsi="Arial"/>
          <w:sz w:val="16"/>
          <w:szCs w:val="16"/>
          <w:b w:val="1"/>
          <w:bCs w:val="1"/>
          <w:i w:val="1"/>
          <w:iCs w:val="1"/>
          <w:color w:val="auto"/>
        </w:rPr>
        <w:t xml:space="preserve">By Mail: </w:t>
      </w:r>
      <w:r>
        <w:rPr>
          <w:rFonts w:ascii="Arial" w:cs="Arial" w:eastAsia="Arial" w:hAnsi="Arial"/>
          <w:sz w:val="16"/>
          <w:szCs w:val="16"/>
          <w:color w:val="auto"/>
        </w:rPr>
        <w:t>You can vote by mail by marking, signing and dating your proxy card (or proxy form set out in section 184 of the Companies Act) or voting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instruction form and returning it in the postage-paid envelope, the results of which will be forwarded to Pentair plc’s registered address in Ireland electronically. For more information, follow the instructions in the Notice of Internet Availability of Proxy Materials or on the proxy card or voting instruction form.</w:t>
      </w:r>
    </w:p>
    <w:p>
      <w:pPr>
        <w:sectPr>
          <w:pgSz w:w="11900" w:h="16838" w:orient="portrait"/>
          <w:cols w:equalWidth="0" w:num="1">
            <w:col w:w="11220"/>
          </w:cols>
          <w:pgMar w:left="320" w:top="1352" w:right="359" w:bottom="1440" w:gutter="0" w:footer="0" w:header="0"/>
        </w:sectPr>
      </w:pPr>
    </w:p>
    <w:p>
      <w:pPr>
        <w:spacing w:after="0" w:line="200" w:lineRule="exact"/>
        <w:rPr>
          <w:sz w:val="20"/>
          <w:szCs w:val="20"/>
          <w:color w:val="auto"/>
        </w:rPr>
      </w:pPr>
    </w:p>
    <w:p>
      <w:pPr>
        <w:spacing w:after="0" w:line="377" w:lineRule="exact"/>
        <w:rPr>
          <w:sz w:val="20"/>
          <w:szCs w:val="20"/>
          <w:color w:val="auto"/>
        </w:rPr>
      </w:pPr>
    </w:p>
    <w:p>
      <w:pPr>
        <w:ind w:left="8260"/>
        <w:spacing w:after="0"/>
        <w:tabs>
          <w:tab w:leader="none" w:pos="10980" w:val="left"/>
        </w:tabs>
        <w:rPr>
          <w:sz w:val="20"/>
          <w:szCs w:val="20"/>
          <w:color w:val="auto"/>
        </w:rPr>
      </w:pPr>
      <w:r>
        <w:rPr>
          <w:rFonts w:ascii="Arial" w:cs="Arial" w:eastAsia="Arial" w:hAnsi="Arial"/>
          <w:sz w:val="16"/>
          <w:szCs w:val="16"/>
          <w:b w:val="1"/>
          <w:bCs w:val="1"/>
          <w:color w:val="auto"/>
        </w:rPr>
        <w:t xml:space="preserve">2026 Proxy Statement </w:t>
      </w:r>
      <w:r>
        <w:rPr>
          <w:rFonts w:ascii="Arial" w:cs="Arial" w:eastAsia="Arial" w:hAnsi="Arial"/>
          <w:sz w:val="16"/>
          <w:szCs w:val="16"/>
          <w:b w:val="1"/>
          <w:bCs w:val="1"/>
          <w:color w:val="0C3471"/>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Pentair</w:t>
      </w:r>
      <w:r>
        <w:rPr>
          <w:sz w:val="20"/>
          <w:szCs w:val="20"/>
          <w:color w:val="auto"/>
        </w:rPr>
        <w:tab/>
      </w:r>
      <w:r>
        <w:rPr>
          <w:rFonts w:ascii="Arial" w:cs="Arial" w:eastAsia="Arial" w:hAnsi="Arial"/>
          <w:sz w:val="16"/>
          <w:szCs w:val="16"/>
          <w:b w:val="1"/>
          <w:bCs w:val="1"/>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222250</wp:posOffset>
            </wp:positionV>
            <wp:extent cx="7157720" cy="425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52" w:right="359" w:bottom="1440" w:gutter="0" w:footer="0" w:header="0"/>
          <w:type w:val="continuous"/>
        </w:sectPr>
      </w:pPr>
    </w:p>
    <w:bookmarkStart w:id="85" w:name="page86"/>
    <w:bookmarkEnd w:id="85"/>
    <w:p>
      <w:pPr>
        <w:ind w:left="36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216535</wp:posOffset>
            </wp:positionH>
            <wp:positionV relativeFrom="page">
              <wp:posOffset>106045</wp:posOffset>
            </wp:positionV>
            <wp:extent cx="102870" cy="11176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clrChange>
                        <a:clrFrom>
                          <a:srgbClr val="FFFFFF"/>
                        </a:clrFrom>
                        <a:clrTo>
                          <a:srgbClr val="FFFFFF">
                            <a:alpha val="0"/>
                          </a:srgbClr>
                        </a:clrTo>
                      </a:clrChange>
                      <a:extLst>
                        <a:ext uri="{28A0092B-C50C-407E-A947-70E740481C1C}"/>
                      </a:extLst>
                    </a:blip>
                    <a:srcRect/>
                    <a:stretch>
                      <a:fillRect/>
                    </a:stretch>
                  </pic:blipFill>
                  <pic:spPr bwMode="auto">
                    <a:xfrm>
                      <a:off x="0" y="0"/>
                      <a:ext cx="102870" cy="111760"/>
                    </a:xfrm>
                    <a:prstGeom prst="rect">
                      <a:avLst/>
                    </a:prstGeom>
                    <a:noFill/>
                  </pic:spPr>
                </pic:pic>
              </a:graphicData>
            </a:graphic>
          </wp:anchor>
        </w:drawing>
        <w:t>Questions and Answers about the Annual General Meeting and Voting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200" w:right="320" w:hanging="192"/>
        <w:spacing w:after="0" w:line="321" w:lineRule="auto"/>
        <w:tabs>
          <w:tab w:leader="none" w:pos="157" w:val="left"/>
        </w:tabs>
        <w:numPr>
          <w:ilvl w:val="0"/>
          <w:numId w:val="157"/>
        </w:numPr>
        <w:rPr>
          <w:rFonts w:ascii="Arial" w:cs="Arial" w:eastAsia="Arial" w:hAnsi="Arial"/>
          <w:sz w:val="13"/>
          <w:szCs w:val="13"/>
          <w:color w:val="64A70B"/>
        </w:rPr>
      </w:pPr>
      <w:r>
        <w:rPr>
          <w:rFonts w:ascii="Arial" w:cs="Arial" w:eastAsia="Arial" w:hAnsi="Arial"/>
          <w:sz w:val="16"/>
          <w:szCs w:val="16"/>
          <w:b w:val="1"/>
          <w:bCs w:val="1"/>
          <w:i w:val="1"/>
          <w:iCs w:val="1"/>
          <w:color w:val="auto"/>
        </w:rPr>
        <w:t xml:space="preserve">At the Annual General Meeting: </w:t>
      </w:r>
      <w:r>
        <w:rPr>
          <w:rFonts w:ascii="Arial" w:cs="Arial" w:eastAsia="Arial" w:hAnsi="Arial"/>
          <w:sz w:val="16"/>
          <w:szCs w:val="16"/>
          <w:color w:val="auto"/>
        </w:rPr>
        <w:t>If you plan to attend the Annual General Meeting and wish to vote your ordinary shares in person, we will give you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ballot at the meeting.</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0C3471"/>
        </w:rPr>
        <w:t>How do I vote if I am a beneficial owner?</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If you are a beneficial owner of ordinary shares, you can vote in the following ways:</w:t>
      </w:r>
    </w:p>
    <w:p>
      <w:pPr>
        <w:spacing w:after="0" w:line="140" w:lineRule="exact"/>
        <w:rPr>
          <w:sz w:val="20"/>
          <w:szCs w:val="20"/>
          <w:color w:val="auto"/>
        </w:rPr>
      </w:pPr>
    </w:p>
    <w:p>
      <w:pPr>
        <w:ind w:left="160" w:hanging="152"/>
        <w:spacing w:after="0"/>
        <w:tabs>
          <w:tab w:leader="none" w:pos="160" w:val="left"/>
        </w:tabs>
        <w:numPr>
          <w:ilvl w:val="0"/>
          <w:numId w:val="158"/>
        </w:numPr>
        <w:rPr>
          <w:rFonts w:ascii="Arial" w:cs="Arial" w:eastAsia="Arial" w:hAnsi="Arial"/>
          <w:sz w:val="13"/>
          <w:szCs w:val="13"/>
          <w:color w:val="64A70B"/>
        </w:rPr>
      </w:pPr>
      <w:r>
        <w:rPr>
          <w:rFonts w:ascii="Arial" w:cs="Arial" w:eastAsia="Arial" w:hAnsi="Arial"/>
          <w:sz w:val="16"/>
          <w:szCs w:val="16"/>
          <w:b w:val="1"/>
          <w:bCs w:val="1"/>
          <w:i w:val="1"/>
          <w:iCs w:val="1"/>
          <w:color w:val="auto"/>
        </w:rPr>
        <w:t xml:space="preserve">General: </w:t>
      </w:r>
      <w:r>
        <w:rPr>
          <w:rFonts w:ascii="Arial" w:cs="Arial" w:eastAsia="Arial" w:hAnsi="Arial"/>
          <w:sz w:val="16"/>
          <w:szCs w:val="16"/>
          <w:color w:val="auto"/>
        </w:rPr>
        <w:t>You can vote by following the materials and instructions provided by your bank, broker or other custodian or nominee.</w:t>
      </w:r>
    </w:p>
    <w:p>
      <w:pPr>
        <w:spacing w:after="0" w:line="99" w:lineRule="exact"/>
        <w:rPr>
          <w:rFonts w:ascii="Arial" w:cs="Arial" w:eastAsia="Arial" w:hAnsi="Arial"/>
          <w:sz w:val="13"/>
          <w:szCs w:val="13"/>
          <w:color w:val="64A70B"/>
        </w:rPr>
      </w:pPr>
    </w:p>
    <w:p>
      <w:pPr>
        <w:ind w:left="200" w:right="80" w:hanging="192"/>
        <w:spacing w:after="0" w:line="292" w:lineRule="auto"/>
        <w:tabs>
          <w:tab w:leader="none" w:pos="157" w:val="left"/>
        </w:tabs>
        <w:numPr>
          <w:ilvl w:val="0"/>
          <w:numId w:val="158"/>
        </w:numPr>
        <w:rPr>
          <w:rFonts w:ascii="Arial" w:cs="Arial" w:eastAsia="Arial" w:hAnsi="Arial"/>
          <w:sz w:val="13"/>
          <w:szCs w:val="13"/>
          <w:color w:val="64A70B"/>
        </w:rPr>
      </w:pPr>
      <w:r>
        <w:rPr>
          <w:rFonts w:ascii="Arial" w:cs="Arial" w:eastAsia="Arial" w:hAnsi="Arial"/>
          <w:sz w:val="16"/>
          <w:szCs w:val="16"/>
          <w:b w:val="1"/>
          <w:bCs w:val="1"/>
          <w:i w:val="1"/>
          <w:iCs w:val="1"/>
          <w:color w:val="auto"/>
        </w:rPr>
        <w:t xml:space="preserve">At the Annual General Meeting: </w:t>
      </w:r>
      <w:r>
        <w:rPr>
          <w:rFonts w:ascii="Arial" w:cs="Arial" w:eastAsia="Arial" w:hAnsi="Arial"/>
          <w:sz w:val="16"/>
          <w:szCs w:val="16"/>
          <w:color w:val="auto"/>
        </w:rPr>
        <w:t>If you plan to attend the Annual General Meeting and wish to vote your ordinary shares in person, then you must obtain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 legal proxy, executed in your favor, from the shareholder of record of your shares (i.e., your broker, bank or other custodian or nominee) and bring it to the Annual General Meeting.</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b w:val="1"/>
          <w:bCs w:val="1"/>
          <w:color w:val="0C3471"/>
        </w:rPr>
        <w:t>What is the deadline to vote my shares if I do not vote in person at the Annual General Meeting?</w:t>
      </w:r>
    </w:p>
    <w:p>
      <w:pPr>
        <w:spacing w:after="0" w:line="127" w:lineRule="exact"/>
        <w:rPr>
          <w:sz w:val="20"/>
          <w:szCs w:val="20"/>
          <w:color w:val="auto"/>
        </w:rPr>
      </w:pPr>
    </w:p>
    <w:p>
      <w:pPr>
        <w:ind w:right="300"/>
        <w:spacing w:after="0" w:line="283" w:lineRule="auto"/>
        <w:rPr>
          <w:sz w:val="20"/>
          <w:szCs w:val="20"/>
          <w:color w:val="auto"/>
        </w:rPr>
      </w:pPr>
      <w:r>
        <w:rPr>
          <w:rFonts w:ascii="Arial" w:cs="Arial" w:eastAsia="Arial" w:hAnsi="Arial"/>
          <w:sz w:val="16"/>
          <w:szCs w:val="16"/>
          <w:color w:val="auto"/>
        </w:rPr>
        <w:t>If you are a shareholder of record, you may vote by Internet or by telephone until 4:59 a.m. (British Summer Time) on May 4, 2026 (11:59 p.m. Eastern Daylight Time on May 3, 2026). If you are a shareholder of record and submit a proxy card, the proxy card must be received at the address stated on the proxy card by 4:59 a.m. (British Summer Time) on May 4, 2026 (11:59 p.m. Eastern Daylight Time on May 3, 2026). If you are a beneficial owner, please follow the voting instructions provided by your bank, broker or other custodian or nominee.</w:t>
      </w:r>
    </w:p>
    <w:p>
      <w:pPr>
        <w:spacing w:after="0" w:line="77" w:lineRule="exact"/>
        <w:rPr>
          <w:sz w:val="20"/>
          <w:szCs w:val="20"/>
          <w:color w:val="auto"/>
        </w:rPr>
      </w:pPr>
    </w:p>
    <w:p>
      <w:pPr>
        <w:ind w:right="280"/>
        <w:spacing w:after="0" w:line="321" w:lineRule="auto"/>
        <w:rPr>
          <w:sz w:val="20"/>
          <w:szCs w:val="20"/>
          <w:color w:val="auto"/>
        </w:rPr>
      </w:pPr>
      <w:r>
        <w:rPr>
          <w:rFonts w:ascii="Arial" w:cs="Arial" w:eastAsia="Arial" w:hAnsi="Arial"/>
          <w:sz w:val="16"/>
          <w:szCs w:val="16"/>
          <w:color w:val="auto"/>
        </w:rPr>
        <w:t>If you are a current or former employee voting shares held under the retirement plans or the employee stock purchase plan, you may vote with respect to these plan shares until 4:59 a.m. (British Summer Time) on April 30, 2026 (11:59 p.m. Eastern Daylight Time on April 29, 2026).</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0C3471"/>
        </w:rPr>
        <w:t>How do I attend the Annual General Meeting?</w:t>
      </w:r>
    </w:p>
    <w:p>
      <w:pPr>
        <w:spacing w:after="0" w:line="113" w:lineRule="exact"/>
        <w:rPr>
          <w:sz w:val="20"/>
          <w:szCs w:val="20"/>
          <w:color w:val="auto"/>
        </w:rPr>
      </w:pPr>
    </w:p>
    <w:p>
      <w:pPr>
        <w:spacing w:after="0" w:line="282" w:lineRule="auto"/>
        <w:rPr>
          <w:sz w:val="20"/>
          <w:szCs w:val="20"/>
          <w:color w:val="auto"/>
        </w:rPr>
      </w:pPr>
      <w:r>
        <w:rPr>
          <w:rFonts w:ascii="Arial" w:cs="Arial" w:eastAsia="Arial" w:hAnsi="Arial"/>
          <w:sz w:val="16"/>
          <w:szCs w:val="16"/>
          <w:color w:val="auto"/>
        </w:rPr>
        <w:t>All shareholders of record as of the close of business on the record date are invited to attend and vote at the Annual General Meeting of Shareholders to be held on Tuesday, May 5, 2026, at 8:00 a.m. local time (British Summer Time) at Claridge’s, Brook Street, Mayfair, London, W1K4HR, United Kingdom. For admission to the Annual General Meeting, shareholders should bring a form of photo identification to the shareholders check-in area at the meeting, where their ownership will be verified. Those who beneficially own shares should also bring account statements or letters from their banks, brokers or other custodians or nominees confirming that they own our ordinary shares as of March 6, 2026 (see above for further information if you also intend to vote at the Annual General Meeting). Registration will begin at 7:30 a.m. (British Summer Time) and the Annual General Meeting will begin at 8:00 a.m. (British Summer Time) on May 5, 2026.</w:t>
      </w:r>
    </w:p>
    <w:p>
      <w:pPr>
        <w:spacing w:after="0" w:line="66" w:lineRule="exact"/>
        <w:rPr>
          <w:sz w:val="20"/>
          <w:szCs w:val="20"/>
          <w:color w:val="auto"/>
        </w:rPr>
      </w:pPr>
    </w:p>
    <w:p>
      <w:pPr>
        <w:ind w:right="140"/>
        <w:spacing w:after="0" w:line="301" w:lineRule="auto"/>
        <w:rPr>
          <w:sz w:val="20"/>
          <w:szCs w:val="20"/>
          <w:color w:val="auto"/>
        </w:rPr>
      </w:pPr>
      <w:r>
        <w:rPr>
          <w:rFonts w:ascii="Arial" w:cs="Arial" w:eastAsia="Arial" w:hAnsi="Arial"/>
          <w:sz w:val="16"/>
          <w:szCs w:val="16"/>
          <w:color w:val="auto"/>
        </w:rPr>
        <w:t>Shareholders in Ireland may participate in the Annual General Meeting by audio link at the offices of Arthur Cox LLP at Ten Earlsfort Terrace, Dublin 2, D02 T380, Ireland at 8:00 a.m. (Irish Standard Time) on May 5, 2026, and the requirements for admission to the Annual General Meeting, as set out above, apply.</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b w:val="1"/>
          <w:bCs w:val="1"/>
          <w:color w:val="0C3471"/>
        </w:rPr>
        <w:t>What constitutes a quorum for the Annual General Meeting?</w:t>
      </w:r>
    </w:p>
    <w:p>
      <w:pPr>
        <w:spacing w:after="0" w:line="113" w:lineRule="exact"/>
        <w:rPr>
          <w:sz w:val="20"/>
          <w:szCs w:val="20"/>
          <w:color w:val="auto"/>
        </w:rPr>
      </w:pPr>
    </w:p>
    <w:p>
      <w:pPr>
        <w:ind w:right="500"/>
        <w:spacing w:after="0" w:line="321" w:lineRule="auto"/>
        <w:rPr>
          <w:sz w:val="20"/>
          <w:szCs w:val="20"/>
          <w:color w:val="auto"/>
        </w:rPr>
      </w:pPr>
      <w:r>
        <w:rPr>
          <w:rFonts w:ascii="Arial" w:cs="Arial" w:eastAsia="Arial" w:hAnsi="Arial"/>
          <w:sz w:val="16"/>
          <w:szCs w:val="16"/>
          <w:color w:val="auto"/>
        </w:rPr>
        <w:t>Our Articles of Association provide that all resolutions made at a shareholders’ meeting require the presence, in person or by proxy, of a majority of all shares entitled to vote. Abstentions and broker non-votes will be regarded as present for purposes of establishing the quorum.</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0C3471"/>
        </w:rPr>
        <w:t>May I change or revoke my proxy?</w:t>
      </w:r>
    </w:p>
    <w:p>
      <w:pPr>
        <w:spacing w:after="0" w:line="113" w:lineRule="exact"/>
        <w:rPr>
          <w:sz w:val="20"/>
          <w:szCs w:val="20"/>
          <w:color w:val="auto"/>
        </w:rPr>
      </w:pPr>
    </w:p>
    <w:p>
      <w:pPr>
        <w:ind w:right="80"/>
        <w:spacing w:after="0" w:line="321" w:lineRule="auto"/>
        <w:rPr>
          <w:sz w:val="20"/>
          <w:szCs w:val="20"/>
          <w:color w:val="auto"/>
        </w:rPr>
      </w:pPr>
      <w:r>
        <w:rPr>
          <w:rFonts w:ascii="Arial" w:cs="Arial" w:eastAsia="Arial" w:hAnsi="Arial"/>
          <w:sz w:val="16"/>
          <w:szCs w:val="16"/>
          <w:color w:val="auto"/>
        </w:rPr>
        <w:t>If you are a shareholder of record and have already voted, you may change or revoke your proxy before it is exercised at the Annual General Meeting in the following ways:</w:t>
      </w:r>
    </w:p>
    <w:p>
      <w:pPr>
        <w:spacing w:after="0" w:line="48" w:lineRule="exact"/>
        <w:rPr>
          <w:sz w:val="20"/>
          <w:szCs w:val="20"/>
          <w:color w:val="auto"/>
        </w:rPr>
      </w:pPr>
    </w:p>
    <w:p>
      <w:pPr>
        <w:ind w:left="160" w:hanging="152"/>
        <w:spacing w:after="0"/>
        <w:tabs>
          <w:tab w:leader="none" w:pos="160" w:val="left"/>
        </w:tabs>
        <w:numPr>
          <w:ilvl w:val="0"/>
          <w:numId w:val="159"/>
        </w:numPr>
        <w:rPr>
          <w:rFonts w:ascii="Arial" w:cs="Arial" w:eastAsia="Arial" w:hAnsi="Arial"/>
          <w:sz w:val="13"/>
          <w:szCs w:val="13"/>
          <w:color w:val="64A70B"/>
        </w:rPr>
      </w:pPr>
      <w:r>
        <w:rPr>
          <w:rFonts w:ascii="Arial" w:cs="Arial" w:eastAsia="Arial" w:hAnsi="Arial"/>
          <w:sz w:val="16"/>
          <w:szCs w:val="16"/>
          <w:color w:val="auto"/>
        </w:rPr>
        <w:t>By voting by Internet or telephone at a date later than your previous vote but prior to the voting deadline (described above);</w:t>
      </w:r>
    </w:p>
    <w:p>
      <w:pPr>
        <w:spacing w:after="0" w:line="99" w:lineRule="exact"/>
        <w:rPr>
          <w:rFonts w:ascii="Arial" w:cs="Arial" w:eastAsia="Arial" w:hAnsi="Arial"/>
          <w:sz w:val="13"/>
          <w:szCs w:val="13"/>
          <w:color w:val="64A70B"/>
        </w:rPr>
      </w:pPr>
    </w:p>
    <w:p>
      <w:pPr>
        <w:ind w:left="200" w:right="160" w:hanging="192"/>
        <w:spacing w:after="0" w:line="304" w:lineRule="auto"/>
        <w:tabs>
          <w:tab w:leader="none" w:pos="157" w:val="left"/>
        </w:tabs>
        <w:numPr>
          <w:ilvl w:val="0"/>
          <w:numId w:val="159"/>
        </w:numPr>
        <w:rPr>
          <w:rFonts w:ascii="Arial" w:cs="Arial" w:eastAsia="Arial" w:hAnsi="Arial"/>
          <w:sz w:val="13"/>
          <w:szCs w:val="13"/>
          <w:color w:val="64A70B"/>
        </w:rPr>
      </w:pPr>
      <w:r>
        <w:rPr>
          <w:rFonts w:ascii="Arial" w:cs="Arial" w:eastAsia="Arial" w:hAnsi="Arial"/>
          <w:sz w:val="16"/>
          <w:szCs w:val="16"/>
          <w:color w:val="auto"/>
        </w:rPr>
        <w:t>By mailing a proxy card (in the form mailed to you or in the form set out in section 184 of the Companies Act) that is properly signed and dated later than your previous vote and that is received by us prior to the voting deadline (described above); or</w:t>
      </w:r>
    </w:p>
    <w:p>
      <w:pPr>
        <w:spacing w:after="0" w:line="19" w:lineRule="exact"/>
        <w:rPr>
          <w:rFonts w:ascii="Arial" w:cs="Arial" w:eastAsia="Arial" w:hAnsi="Arial"/>
          <w:sz w:val="13"/>
          <w:szCs w:val="13"/>
          <w:color w:val="64A70B"/>
        </w:rPr>
      </w:pPr>
    </w:p>
    <w:p>
      <w:pPr>
        <w:ind w:left="160" w:hanging="152"/>
        <w:spacing w:after="0"/>
        <w:tabs>
          <w:tab w:leader="none" w:pos="160" w:val="left"/>
        </w:tabs>
        <w:numPr>
          <w:ilvl w:val="0"/>
          <w:numId w:val="159"/>
        </w:numPr>
        <w:rPr>
          <w:rFonts w:ascii="Arial" w:cs="Arial" w:eastAsia="Arial" w:hAnsi="Arial"/>
          <w:sz w:val="13"/>
          <w:szCs w:val="13"/>
          <w:color w:val="64A70B"/>
        </w:rPr>
      </w:pPr>
      <w:r>
        <w:rPr>
          <w:rFonts w:ascii="Arial" w:cs="Arial" w:eastAsia="Arial" w:hAnsi="Arial"/>
          <w:sz w:val="16"/>
          <w:szCs w:val="16"/>
          <w:color w:val="auto"/>
        </w:rPr>
        <w:t>By attending the Annual General Meeting and voting in person, although attendance at the Annual General Meeting will not, by itself, revoke a proxy.</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If you are a beneficial owner, you must contact the record holder of your shares to revoke a previously authorized proxy or voting instructions.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600" w:hanging="574"/>
        <w:spacing w:after="0"/>
        <w:tabs>
          <w:tab w:leader="none" w:pos="600" w:val="left"/>
        </w:tabs>
        <w:numPr>
          <w:ilvl w:val="0"/>
          <w:numId w:val="160"/>
        </w:numPr>
        <w:rPr>
          <w:rFonts w:ascii="Arial" w:cs="Arial" w:eastAsia="Arial" w:hAnsi="Arial"/>
          <w:sz w:val="16"/>
          <w:szCs w:val="16"/>
          <w:b w:val="1"/>
          <w:bCs w:val="1"/>
          <w:color w:val="auto"/>
        </w:rPr>
      </w:pPr>
      <w:r>
        <w:rPr>
          <w:rFonts w:ascii="Arial" w:cs="Arial" w:eastAsia="Arial" w:hAnsi="Arial"/>
          <w:sz w:val="16"/>
          <w:szCs w:val="16"/>
          <w:color w:val="auto"/>
        </w:rPr>
        <w:t xml:space="preserve">Pentair </w:t>
      </w:r>
      <w:r>
        <w:rPr>
          <w:rFonts w:ascii="Arial" w:cs="Arial" w:eastAsia="Arial" w:hAnsi="Arial"/>
          <w:sz w:val="16"/>
          <w:szCs w:val="16"/>
          <w:b w:val="1"/>
          <w:bCs w:val="1"/>
          <w:color w:val="0C3471"/>
        </w:rPr>
        <w:t>|</w:t>
      </w:r>
      <w:r>
        <w:rPr>
          <w:rFonts w:ascii="Arial" w:cs="Arial" w:eastAsia="Arial" w:hAnsi="Arial"/>
          <w:sz w:val="16"/>
          <w:szCs w:val="16"/>
          <w:color w:val="auto"/>
        </w:rPr>
        <w:t xml:space="preserve"> </w:t>
      </w:r>
      <w:r>
        <w:rPr>
          <w:rFonts w:ascii="Arial" w:cs="Arial" w:eastAsia="Arial" w:hAnsi="Arial"/>
          <w:sz w:val="16"/>
          <w:szCs w:val="16"/>
          <w:b w:val="1"/>
          <w:bCs w:val="1"/>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213995</wp:posOffset>
            </wp:positionV>
            <wp:extent cx="7157720" cy="425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9" w:right="359" w:bottom="1440" w:gutter="0" w:footer="0" w:header="0"/>
        </w:sectPr>
      </w:pPr>
    </w:p>
    <w:bookmarkStart w:id="86" w:name="page87"/>
    <w:bookmarkEnd w:id="86"/>
    <w:p>
      <w:pPr>
        <w:ind w:left="6040"/>
        <w:spacing w:after="0"/>
        <w:rPr>
          <w:sz w:val="20"/>
          <w:szCs w:val="20"/>
          <w:color w:val="auto"/>
        </w:rPr>
      </w:pPr>
      <w:r>
        <w:rPr>
          <w:sz w:val="1"/>
          <w:szCs w:val="1"/>
          <w:color w:val="auto"/>
        </w:rPr>
        <w:drawing>
          <wp:inline distT="0" distB="0" distL="0" distR="0">
            <wp:extent cx="102870" cy="111760"/>
            <wp:effectExtent l="0" t="0" r="0" b="0"/>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102870" cy="111760"/>
                    </a:xfrm>
                    <a:prstGeom prst="rect">
                      <a:avLst/>
                    </a:prstGeom>
                    <a:noFill/>
                    <a:ln>
                      <a:noFill/>
                    </a:ln>
                  </pic:spPr>
                </pic:pic>
              </a:graphicData>
            </a:graphic>
          </wp:inline>
        </w:drawing>
      </w:r>
      <w:r>
        <w:rPr>
          <w:rFonts w:ascii="Arial" w:cs="Arial" w:eastAsia="Arial" w:hAnsi="Arial"/>
          <w:sz w:val="16"/>
          <w:szCs w:val="16"/>
          <w:b w:val="1"/>
          <w:bCs w:val="1"/>
          <w:color w:val="auto"/>
        </w:rPr>
        <w:t xml:space="preserve"> Questions and Answers about the Annual General Meeting and</w:t>
      </w:r>
    </w:p>
    <w:p>
      <w:pPr>
        <w:spacing w:after="0" w:line="9" w:lineRule="exact"/>
        <w:rPr>
          <w:sz w:val="20"/>
          <w:szCs w:val="20"/>
          <w:color w:val="auto"/>
        </w:rPr>
      </w:pPr>
    </w:p>
    <w:p>
      <w:pPr>
        <w:ind w:left="6240"/>
        <w:spacing w:after="0"/>
        <w:rPr>
          <w:sz w:val="20"/>
          <w:szCs w:val="20"/>
          <w:color w:val="auto"/>
        </w:rPr>
      </w:pPr>
      <w:r>
        <w:rPr>
          <w:rFonts w:ascii="Arial" w:cs="Arial" w:eastAsia="Arial" w:hAnsi="Arial"/>
          <w:sz w:val="16"/>
          <w:szCs w:val="16"/>
          <w:b w:val="1"/>
          <w:bCs w:val="1"/>
          <w:color w:val="auto"/>
        </w:rPr>
        <w:t>Voting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6"/>
          <w:szCs w:val="16"/>
          <w:b w:val="1"/>
          <w:bCs w:val="1"/>
          <w:color w:val="0C3471"/>
        </w:rPr>
        <w:t>What is the effect of broker non-votes and abstentions?</w:t>
      </w:r>
    </w:p>
    <w:p>
      <w:pPr>
        <w:spacing w:after="0" w:line="113" w:lineRule="exact"/>
        <w:rPr>
          <w:sz w:val="20"/>
          <w:szCs w:val="20"/>
          <w:color w:val="auto"/>
        </w:rPr>
      </w:pPr>
    </w:p>
    <w:p>
      <w:pPr>
        <w:ind w:right="140"/>
        <w:spacing w:after="0" w:line="282" w:lineRule="auto"/>
        <w:rPr>
          <w:sz w:val="20"/>
          <w:szCs w:val="20"/>
          <w:color w:val="auto"/>
        </w:rPr>
      </w:pPr>
      <w:r>
        <w:rPr>
          <w:rFonts w:ascii="Arial" w:cs="Arial" w:eastAsia="Arial" w:hAnsi="Arial"/>
          <w:sz w:val="16"/>
          <w:szCs w:val="16"/>
          <w:color w:val="auto"/>
        </w:rPr>
        <w:t>A broker non-vote occurs when a broker holding shares for a beneficial owner does not vote on a particular agenda item because the broker does not have discretionary voting power for that particular item and has not received instructions from the beneficial owner. Although brokers have discretionary power to vote your shares with respect to “routine” matters, they do not have discretionary power to vote your shares on “non-routine” matters pursuant to NYSE rules. If you do not provide voting instructions for proposals considered “non- routine,” a “broker non-vote” occurs. The chart below summarizes which proposals we believe are routine and non-routine under the NYSE rules and therefore whether brokers have discretion to vote. Ordinary shares owned by shareholders electing to abstain from voting on any of the proposals will have no effect on any of the proposals.</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0C3471"/>
        </w:rPr>
        <w:t>How will my shares be voted if I do not specify how they should be voted?</w:t>
      </w:r>
    </w:p>
    <w:p>
      <w:pPr>
        <w:spacing w:after="0" w:line="113" w:lineRule="exact"/>
        <w:rPr>
          <w:sz w:val="20"/>
          <w:szCs w:val="20"/>
          <w:color w:val="auto"/>
        </w:rPr>
      </w:pPr>
    </w:p>
    <w:p>
      <w:pPr>
        <w:ind w:right="220"/>
        <w:spacing w:after="0" w:line="321" w:lineRule="auto"/>
        <w:rPr>
          <w:sz w:val="20"/>
          <w:szCs w:val="20"/>
          <w:color w:val="auto"/>
        </w:rPr>
      </w:pPr>
      <w:r>
        <w:rPr>
          <w:rFonts w:ascii="Arial" w:cs="Arial" w:eastAsia="Arial" w:hAnsi="Arial"/>
          <w:sz w:val="16"/>
          <w:szCs w:val="16"/>
          <w:color w:val="auto"/>
        </w:rPr>
        <w:t>If you submit a proxy to the company-designated proxy holders and do not provide specific voting instructions, you instruct the company-designated proxy holders to vote your shares in accordance with the recommendations of the Board as set forth in the chart below.</w:t>
      </w:r>
    </w:p>
    <w:p>
      <w:pPr>
        <w:spacing w:after="0" w:line="34" w:lineRule="exact"/>
        <w:rPr>
          <w:sz w:val="20"/>
          <w:szCs w:val="20"/>
          <w:color w:val="auto"/>
        </w:rPr>
      </w:pPr>
    </w:p>
    <w:p>
      <w:pPr>
        <w:ind w:right="140"/>
        <w:spacing w:after="0" w:line="321" w:lineRule="auto"/>
        <w:rPr>
          <w:sz w:val="20"/>
          <w:szCs w:val="20"/>
          <w:color w:val="auto"/>
        </w:rPr>
      </w:pPr>
      <w:r>
        <w:rPr>
          <w:rFonts w:ascii="Arial" w:cs="Arial" w:eastAsia="Arial" w:hAnsi="Arial"/>
          <w:sz w:val="16"/>
          <w:szCs w:val="16"/>
          <w:color w:val="auto"/>
        </w:rPr>
        <w:t>If your shares are held in the Pentair, Inc. Retirement Savings and Stock Incentive Plan or the Pentair, Inc. Non-Qualified Deferred Compensation Plan and you either (1) submit a proxy but do not provide specific voting instructions or (2) do not submit a proxy, then your shares will not be voted.</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0C3471"/>
        </w:rPr>
        <w:t>How will voting on any other business be conducted?</w:t>
      </w:r>
    </w:p>
    <w:p>
      <w:pPr>
        <w:spacing w:after="0" w:line="113" w:lineRule="exact"/>
        <w:rPr>
          <w:sz w:val="20"/>
          <w:szCs w:val="20"/>
          <w:color w:val="auto"/>
        </w:rPr>
      </w:pPr>
    </w:p>
    <w:p>
      <w:pPr>
        <w:ind w:right="180"/>
        <w:spacing w:after="0" w:line="289" w:lineRule="auto"/>
        <w:rPr>
          <w:sz w:val="20"/>
          <w:szCs w:val="20"/>
          <w:color w:val="auto"/>
        </w:rPr>
      </w:pPr>
      <w:r>
        <w:rPr>
          <w:rFonts w:ascii="Arial" w:cs="Arial" w:eastAsia="Arial" w:hAnsi="Arial"/>
          <w:sz w:val="16"/>
          <w:szCs w:val="16"/>
          <w:color w:val="auto"/>
        </w:rPr>
        <w:t>Other than matters incidental to the conduct of the Annual General Meeting and those set forth in this Proxy Statement, we do not know of any business or proposals to be considered at the Annual General Meeting. If any other business is proposed and properly presented at the Annual General Meeting, you instruct the company-designated proxy holders, in the absence of other specific instructions or the appointment of other proxy holders by you, to vote your shares in accordance with the recommendations of the Board.</w:t>
      </w:r>
    </w:p>
    <w:p>
      <w:pPr>
        <w:spacing w:after="0" w:line="72" w:lineRule="exact"/>
        <w:rPr>
          <w:sz w:val="20"/>
          <w:szCs w:val="20"/>
          <w:color w:val="auto"/>
        </w:rPr>
      </w:pPr>
    </w:p>
    <w:p>
      <w:pPr>
        <w:ind w:right="220"/>
        <w:spacing w:after="0" w:line="304" w:lineRule="auto"/>
        <w:rPr>
          <w:sz w:val="20"/>
          <w:szCs w:val="20"/>
          <w:color w:val="auto"/>
        </w:rPr>
      </w:pPr>
      <w:r>
        <w:rPr>
          <w:rFonts w:ascii="Arial" w:cs="Arial" w:eastAsia="Arial" w:hAnsi="Arial"/>
          <w:sz w:val="16"/>
          <w:szCs w:val="16"/>
          <w:color w:val="auto"/>
        </w:rPr>
        <w:t>The following chart describes the proposals to be considered at the meeting, the vote required to elect directors and to adopt each other proposal, and the manner in which votes will be counted:</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54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920" w:type="dxa"/>
            <w:vAlign w:val="bottom"/>
          </w:tcPr>
          <w:p>
            <w:pPr>
              <w:ind w:left="80"/>
              <w:spacing w:after="0"/>
              <w:rPr>
                <w:sz w:val="20"/>
                <w:szCs w:val="20"/>
                <w:color w:val="auto"/>
              </w:rPr>
            </w:pPr>
            <w:r>
              <w:rPr>
                <w:rFonts w:ascii="Arial" w:cs="Arial" w:eastAsia="Arial" w:hAnsi="Arial"/>
                <w:sz w:val="14"/>
                <w:szCs w:val="14"/>
                <w:b w:val="1"/>
                <w:bCs w:val="1"/>
                <w:color w:val="auto"/>
              </w:rPr>
              <w:t>Effect of</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54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182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Vote Required to</w:t>
            </w:r>
          </w:p>
        </w:tc>
        <w:tc>
          <w:tcPr>
            <w:tcW w:w="2240" w:type="dxa"/>
            <w:vAlign w:val="bottom"/>
          </w:tcPr>
          <w:p>
            <w:pPr>
              <w:spacing w:after="0"/>
              <w:rPr>
                <w:sz w:val="15"/>
                <w:szCs w:val="15"/>
                <w:color w:val="auto"/>
              </w:rPr>
            </w:pPr>
          </w:p>
        </w:tc>
        <w:tc>
          <w:tcPr>
            <w:tcW w:w="920" w:type="dxa"/>
            <w:vAlign w:val="bottom"/>
          </w:tcPr>
          <w:p>
            <w:pPr>
              <w:ind w:left="80"/>
              <w:spacing w:after="0"/>
              <w:rPr>
                <w:sz w:val="20"/>
                <w:szCs w:val="20"/>
                <w:color w:val="auto"/>
              </w:rPr>
            </w:pPr>
            <w:r>
              <w:rPr>
                <w:rFonts w:ascii="Arial" w:cs="Arial" w:eastAsia="Arial" w:hAnsi="Arial"/>
                <w:sz w:val="14"/>
                <w:szCs w:val="14"/>
                <w:b w:val="1"/>
                <w:bCs w:val="1"/>
                <w:color w:val="auto"/>
              </w:rPr>
              <w:t>Abstentions</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54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820" w:type="dxa"/>
            <w:vAlign w:val="bottom"/>
            <w:vMerge w:val="continue"/>
          </w:tcPr>
          <w:p>
            <w:pPr>
              <w:spacing w:after="0"/>
              <w:rPr>
                <w:sz w:val="14"/>
                <w:szCs w:val="14"/>
                <w:color w:val="auto"/>
              </w:rPr>
            </w:pPr>
          </w:p>
        </w:tc>
        <w:tc>
          <w:tcPr>
            <w:tcW w:w="2240" w:type="dxa"/>
            <w:vAlign w:val="bottom"/>
          </w:tcPr>
          <w:p>
            <w:pPr>
              <w:spacing w:after="0"/>
              <w:rPr>
                <w:sz w:val="14"/>
                <w:szCs w:val="14"/>
                <w:color w:val="auto"/>
              </w:rPr>
            </w:pPr>
          </w:p>
        </w:tc>
        <w:tc>
          <w:tcPr>
            <w:tcW w:w="920" w:type="dxa"/>
            <w:vAlign w:val="bottom"/>
          </w:tcPr>
          <w:p>
            <w:pPr>
              <w:ind w:left="80"/>
              <w:spacing w:after="0"/>
              <w:rPr>
                <w:sz w:val="20"/>
                <w:szCs w:val="20"/>
                <w:color w:val="auto"/>
              </w:rPr>
            </w:pPr>
            <w:r>
              <w:rPr>
                <w:rFonts w:ascii="Arial" w:cs="Arial" w:eastAsia="Arial" w:hAnsi="Arial"/>
                <w:sz w:val="14"/>
                <w:szCs w:val="14"/>
                <w:b w:val="1"/>
                <w:bCs w:val="1"/>
                <w:color w:val="auto"/>
              </w:rPr>
              <w:t>and Broker</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3540" w:type="dxa"/>
            <w:vAlign w:val="bottom"/>
            <w:tcBorders>
              <w:bottom w:val="single" w:sz="8" w:color="0C3471"/>
            </w:tcBorders>
          </w:tcPr>
          <w:p>
            <w:pPr>
              <w:ind w:left="20"/>
              <w:spacing w:after="0"/>
              <w:rPr>
                <w:sz w:val="20"/>
                <w:szCs w:val="20"/>
                <w:color w:val="auto"/>
              </w:rPr>
            </w:pPr>
            <w:r>
              <w:rPr>
                <w:rFonts w:ascii="Arial" w:cs="Arial" w:eastAsia="Arial" w:hAnsi="Arial"/>
                <w:sz w:val="14"/>
                <w:szCs w:val="14"/>
                <w:b w:val="1"/>
                <w:bCs w:val="1"/>
                <w:color w:val="auto"/>
              </w:rPr>
              <w:t>Proposal</w:t>
            </w:r>
          </w:p>
        </w:tc>
        <w:tc>
          <w:tcPr>
            <w:tcW w:w="2440" w:type="dxa"/>
            <w:vAlign w:val="bottom"/>
            <w:tcBorders>
              <w:bottom w:val="single" w:sz="8" w:color="0C3471"/>
            </w:tcBorders>
          </w:tcPr>
          <w:p>
            <w:pPr>
              <w:ind w:left="100"/>
              <w:spacing w:after="0"/>
              <w:rPr>
                <w:sz w:val="20"/>
                <w:szCs w:val="20"/>
                <w:color w:val="auto"/>
              </w:rPr>
            </w:pPr>
            <w:r>
              <w:rPr>
                <w:rFonts w:ascii="Arial" w:cs="Arial" w:eastAsia="Arial" w:hAnsi="Arial"/>
                <w:sz w:val="14"/>
                <w:szCs w:val="14"/>
                <w:b w:val="1"/>
                <w:bCs w:val="1"/>
                <w:color w:val="auto"/>
              </w:rPr>
              <w:t>Voting Options</w:t>
            </w:r>
          </w:p>
        </w:tc>
        <w:tc>
          <w:tcPr>
            <w:tcW w:w="1820" w:type="dxa"/>
            <w:vAlign w:val="bottom"/>
            <w:tcBorders>
              <w:bottom w:val="single" w:sz="8" w:color="0C3471"/>
            </w:tcBorders>
          </w:tcPr>
          <w:p>
            <w:pPr>
              <w:ind w:left="80"/>
              <w:spacing w:after="0"/>
              <w:rPr>
                <w:sz w:val="20"/>
                <w:szCs w:val="20"/>
                <w:color w:val="auto"/>
              </w:rPr>
            </w:pPr>
            <w:r>
              <w:rPr>
                <w:rFonts w:ascii="Arial" w:cs="Arial" w:eastAsia="Arial" w:hAnsi="Arial"/>
                <w:sz w:val="14"/>
                <w:szCs w:val="14"/>
                <w:b w:val="1"/>
                <w:bCs w:val="1"/>
                <w:color w:val="auto"/>
              </w:rPr>
              <w:t>Adopt the Proposal</w:t>
            </w:r>
          </w:p>
        </w:tc>
        <w:tc>
          <w:tcPr>
            <w:tcW w:w="2240" w:type="dxa"/>
            <w:vAlign w:val="bottom"/>
            <w:tcBorders>
              <w:bottom w:val="single" w:sz="8" w:color="0C3471"/>
            </w:tcBorders>
          </w:tcPr>
          <w:p>
            <w:pPr>
              <w:ind w:left="200"/>
              <w:spacing w:after="0"/>
              <w:rPr>
                <w:sz w:val="20"/>
                <w:szCs w:val="20"/>
                <w:color w:val="auto"/>
              </w:rPr>
            </w:pPr>
            <w:r>
              <w:rPr>
                <w:rFonts w:ascii="Arial" w:cs="Arial" w:eastAsia="Arial" w:hAnsi="Arial"/>
                <w:sz w:val="14"/>
                <w:szCs w:val="14"/>
                <w:b w:val="1"/>
                <w:bCs w:val="1"/>
                <w:color w:val="auto"/>
              </w:rPr>
              <w:t>Broker Discretion</w:t>
            </w:r>
          </w:p>
        </w:tc>
        <w:tc>
          <w:tcPr>
            <w:tcW w:w="920" w:type="dxa"/>
            <w:vAlign w:val="bottom"/>
            <w:tcBorders>
              <w:bottom w:val="single" w:sz="8" w:color="0C3471"/>
            </w:tcBorders>
          </w:tcPr>
          <w:p>
            <w:pPr>
              <w:ind w:left="80"/>
              <w:spacing w:after="0"/>
              <w:rPr>
                <w:sz w:val="20"/>
                <w:szCs w:val="20"/>
                <w:color w:val="auto"/>
              </w:rPr>
            </w:pPr>
            <w:r>
              <w:rPr>
                <w:rFonts w:ascii="Arial" w:cs="Arial" w:eastAsia="Arial" w:hAnsi="Arial"/>
                <w:sz w:val="14"/>
                <w:szCs w:val="14"/>
                <w:b w:val="1"/>
                <w:bCs w:val="1"/>
                <w:color w:val="auto"/>
              </w:rPr>
              <w:t>Non-Voting</w:t>
            </w:r>
          </w:p>
        </w:tc>
        <w:tc>
          <w:tcPr>
            <w:tcW w:w="280" w:type="dxa"/>
            <w:vAlign w:val="bottom"/>
            <w:tcBorders>
              <w:bottom w:val="single" w:sz="8" w:color="0C3471"/>
            </w:tcBorders>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3540" w:type="dxa"/>
            <w:vAlign w:val="bottom"/>
          </w:tcPr>
          <w:p>
            <w:pPr>
              <w:ind w:left="20"/>
              <w:spacing w:after="0"/>
              <w:rPr>
                <w:sz w:val="20"/>
                <w:szCs w:val="20"/>
                <w:color w:val="auto"/>
              </w:rPr>
            </w:pPr>
            <w:r>
              <w:rPr>
                <w:rFonts w:ascii="Arial" w:cs="Arial" w:eastAsia="Arial" w:hAnsi="Arial"/>
                <w:sz w:val="16"/>
                <w:szCs w:val="16"/>
                <w:color w:val="auto"/>
              </w:rPr>
              <w:t>Re-Elect Director Nominees</w:t>
            </w:r>
          </w:p>
        </w:tc>
        <w:tc>
          <w:tcPr>
            <w:tcW w:w="2440" w:type="dxa"/>
            <w:vAlign w:val="bottom"/>
          </w:tcPr>
          <w:p>
            <w:pPr>
              <w:ind w:left="100"/>
              <w:spacing w:after="0"/>
              <w:rPr>
                <w:sz w:val="20"/>
                <w:szCs w:val="20"/>
                <w:color w:val="auto"/>
              </w:rPr>
            </w:pPr>
            <w:r>
              <w:rPr>
                <w:rFonts w:ascii="Arial" w:cs="Arial" w:eastAsia="Arial" w:hAnsi="Arial"/>
                <w:sz w:val="16"/>
                <w:szCs w:val="16"/>
                <w:color w:val="auto"/>
              </w:rPr>
              <w:t>For, against, or abstain on each</w:t>
            </w:r>
          </w:p>
        </w:tc>
        <w:tc>
          <w:tcPr>
            <w:tcW w:w="1820" w:type="dxa"/>
            <w:vAlign w:val="bottom"/>
          </w:tcPr>
          <w:p>
            <w:pPr>
              <w:ind w:left="80"/>
              <w:spacing w:after="0"/>
              <w:rPr>
                <w:sz w:val="20"/>
                <w:szCs w:val="20"/>
                <w:color w:val="auto"/>
              </w:rPr>
            </w:pPr>
            <w:r>
              <w:rPr>
                <w:rFonts w:ascii="Arial" w:cs="Arial" w:eastAsia="Arial" w:hAnsi="Arial"/>
                <w:sz w:val="16"/>
                <w:szCs w:val="16"/>
                <w:color w:val="auto"/>
              </w:rPr>
              <w:t>Majority of votes cast</w:t>
            </w:r>
          </w:p>
        </w:tc>
        <w:tc>
          <w:tcPr>
            <w:tcW w:w="2240" w:type="dxa"/>
            <w:vAlign w:val="bottom"/>
          </w:tcPr>
          <w:p>
            <w:pPr>
              <w:ind w:left="200"/>
              <w:spacing w:after="0"/>
              <w:rPr>
                <w:sz w:val="20"/>
                <w:szCs w:val="20"/>
                <w:color w:val="auto"/>
              </w:rPr>
            </w:pPr>
            <w:r>
              <w:rPr>
                <w:rFonts w:ascii="Arial" w:cs="Arial" w:eastAsia="Arial" w:hAnsi="Arial"/>
                <w:sz w:val="16"/>
                <w:szCs w:val="16"/>
                <w:color w:val="auto"/>
              </w:rPr>
              <w:t>No broker discretion to vote</w:t>
            </w:r>
          </w:p>
        </w:tc>
        <w:tc>
          <w:tcPr>
            <w:tcW w:w="920" w:type="dxa"/>
            <w:vAlign w:val="bottom"/>
          </w:tcPr>
          <w:p>
            <w:pPr>
              <w:ind w:left="80"/>
              <w:spacing w:after="0"/>
              <w:rPr>
                <w:sz w:val="20"/>
                <w:szCs w:val="20"/>
                <w:color w:val="auto"/>
              </w:rPr>
            </w:pPr>
            <w:r>
              <w:rPr>
                <w:rFonts w:ascii="Arial" w:cs="Arial" w:eastAsia="Arial" w:hAnsi="Arial"/>
                <w:sz w:val="16"/>
                <w:szCs w:val="16"/>
                <w:color w:val="auto"/>
              </w:rPr>
              <w:t>No effect</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540" w:type="dxa"/>
            <w:vAlign w:val="bottom"/>
          </w:tcPr>
          <w:p>
            <w:pPr>
              <w:spacing w:after="0"/>
              <w:rPr>
                <w:sz w:val="18"/>
                <w:szCs w:val="18"/>
                <w:color w:val="auto"/>
              </w:rPr>
            </w:pPr>
          </w:p>
        </w:tc>
        <w:tc>
          <w:tcPr>
            <w:tcW w:w="2440" w:type="dxa"/>
            <w:vAlign w:val="bottom"/>
          </w:tcPr>
          <w:p>
            <w:pPr>
              <w:ind w:left="100"/>
              <w:spacing w:after="0"/>
              <w:rPr>
                <w:sz w:val="20"/>
                <w:szCs w:val="20"/>
                <w:color w:val="auto"/>
              </w:rPr>
            </w:pPr>
            <w:r>
              <w:rPr>
                <w:rFonts w:ascii="Arial" w:cs="Arial" w:eastAsia="Arial" w:hAnsi="Arial"/>
                <w:sz w:val="16"/>
                <w:szCs w:val="16"/>
                <w:color w:val="auto"/>
              </w:rPr>
              <w:t>nominee</w:t>
            </w:r>
          </w:p>
        </w:tc>
        <w:tc>
          <w:tcPr>
            <w:tcW w:w="18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
        </w:trPr>
        <w:tc>
          <w:tcPr>
            <w:tcW w:w="3540" w:type="dxa"/>
            <w:vAlign w:val="bottom"/>
            <w:tcBorders>
              <w:bottom w:val="single" w:sz="8" w:color="BCBEC0"/>
            </w:tcBorders>
          </w:tcPr>
          <w:p>
            <w:pPr>
              <w:spacing w:after="0"/>
              <w:rPr>
                <w:sz w:val="2"/>
                <w:szCs w:val="2"/>
                <w:color w:val="auto"/>
              </w:rPr>
            </w:pPr>
          </w:p>
        </w:tc>
        <w:tc>
          <w:tcPr>
            <w:tcW w:w="2440" w:type="dxa"/>
            <w:vAlign w:val="bottom"/>
            <w:tcBorders>
              <w:bottom w:val="single" w:sz="8" w:color="BCBEC0"/>
            </w:tcBorders>
          </w:tcPr>
          <w:p>
            <w:pPr>
              <w:spacing w:after="0"/>
              <w:rPr>
                <w:sz w:val="2"/>
                <w:szCs w:val="2"/>
                <w:color w:val="auto"/>
              </w:rPr>
            </w:pPr>
          </w:p>
        </w:tc>
        <w:tc>
          <w:tcPr>
            <w:tcW w:w="1820" w:type="dxa"/>
            <w:vAlign w:val="bottom"/>
            <w:tcBorders>
              <w:bottom w:val="single" w:sz="8" w:color="BCBEC0"/>
            </w:tcBorders>
          </w:tcPr>
          <w:p>
            <w:pPr>
              <w:spacing w:after="0"/>
              <w:rPr>
                <w:sz w:val="2"/>
                <w:szCs w:val="2"/>
                <w:color w:val="auto"/>
              </w:rPr>
            </w:pPr>
          </w:p>
        </w:tc>
        <w:tc>
          <w:tcPr>
            <w:tcW w:w="2240" w:type="dxa"/>
            <w:vAlign w:val="bottom"/>
            <w:tcBorders>
              <w:bottom w:val="single" w:sz="8" w:color="BCBEC0"/>
            </w:tcBorders>
          </w:tcPr>
          <w:p>
            <w:pPr>
              <w:spacing w:after="0"/>
              <w:rPr>
                <w:sz w:val="2"/>
                <w:szCs w:val="2"/>
                <w:color w:val="auto"/>
              </w:rPr>
            </w:pPr>
          </w:p>
        </w:tc>
        <w:tc>
          <w:tcPr>
            <w:tcW w:w="920" w:type="dxa"/>
            <w:vAlign w:val="bottom"/>
            <w:tcBorders>
              <w:bottom w:val="single" w:sz="8" w:color="BCBEC0"/>
            </w:tcBorders>
          </w:tcPr>
          <w:p>
            <w:pPr>
              <w:spacing w:after="0"/>
              <w:rPr>
                <w:sz w:val="2"/>
                <w:szCs w:val="2"/>
                <w:color w:val="auto"/>
              </w:rPr>
            </w:pPr>
          </w:p>
        </w:tc>
        <w:tc>
          <w:tcPr>
            <w:tcW w:w="280" w:type="dxa"/>
            <w:vAlign w:val="bottom"/>
            <w:tcBorders>
              <w:bottom w:val="single" w:sz="8" w:color="BCBEC0"/>
            </w:tcBorders>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3540" w:type="dxa"/>
            <w:vAlign w:val="bottom"/>
          </w:tcPr>
          <w:p>
            <w:pPr>
              <w:ind w:left="20"/>
              <w:spacing w:after="0"/>
              <w:rPr>
                <w:sz w:val="20"/>
                <w:szCs w:val="20"/>
                <w:color w:val="auto"/>
              </w:rPr>
            </w:pPr>
            <w:r>
              <w:rPr>
                <w:rFonts w:ascii="Arial" w:cs="Arial" w:eastAsia="Arial" w:hAnsi="Arial"/>
                <w:sz w:val="16"/>
                <w:szCs w:val="16"/>
                <w:color w:val="auto"/>
              </w:rPr>
              <w:t>Approve, by Nonbinding, Advisory Vote, the</w:t>
            </w:r>
          </w:p>
        </w:tc>
        <w:tc>
          <w:tcPr>
            <w:tcW w:w="2440" w:type="dxa"/>
            <w:vAlign w:val="bottom"/>
          </w:tcPr>
          <w:p>
            <w:pPr>
              <w:ind w:left="100"/>
              <w:spacing w:after="0"/>
              <w:rPr>
                <w:sz w:val="20"/>
                <w:szCs w:val="20"/>
                <w:color w:val="auto"/>
              </w:rPr>
            </w:pPr>
            <w:r>
              <w:rPr>
                <w:rFonts w:ascii="Arial" w:cs="Arial" w:eastAsia="Arial" w:hAnsi="Arial"/>
                <w:sz w:val="16"/>
                <w:szCs w:val="16"/>
                <w:color w:val="auto"/>
              </w:rPr>
              <w:t>For, against, or abstain</w:t>
            </w:r>
          </w:p>
        </w:tc>
        <w:tc>
          <w:tcPr>
            <w:tcW w:w="1820" w:type="dxa"/>
            <w:vAlign w:val="bottom"/>
          </w:tcPr>
          <w:p>
            <w:pPr>
              <w:ind w:left="80"/>
              <w:spacing w:after="0"/>
              <w:rPr>
                <w:sz w:val="20"/>
                <w:szCs w:val="20"/>
                <w:color w:val="auto"/>
              </w:rPr>
            </w:pPr>
            <w:r>
              <w:rPr>
                <w:rFonts w:ascii="Arial" w:cs="Arial" w:eastAsia="Arial" w:hAnsi="Arial"/>
                <w:sz w:val="16"/>
                <w:szCs w:val="16"/>
                <w:color w:val="auto"/>
              </w:rPr>
              <w:t>Majority of votes cast</w:t>
            </w:r>
          </w:p>
        </w:tc>
        <w:tc>
          <w:tcPr>
            <w:tcW w:w="2240" w:type="dxa"/>
            <w:vAlign w:val="bottom"/>
          </w:tcPr>
          <w:p>
            <w:pPr>
              <w:ind w:left="200"/>
              <w:spacing w:after="0"/>
              <w:rPr>
                <w:sz w:val="20"/>
                <w:szCs w:val="20"/>
                <w:color w:val="auto"/>
              </w:rPr>
            </w:pPr>
            <w:r>
              <w:rPr>
                <w:rFonts w:ascii="Arial" w:cs="Arial" w:eastAsia="Arial" w:hAnsi="Arial"/>
                <w:sz w:val="16"/>
                <w:szCs w:val="16"/>
                <w:color w:val="auto"/>
              </w:rPr>
              <w:t>No broker discretion to vote</w:t>
            </w:r>
          </w:p>
        </w:tc>
        <w:tc>
          <w:tcPr>
            <w:tcW w:w="920" w:type="dxa"/>
            <w:vAlign w:val="bottom"/>
          </w:tcPr>
          <w:p>
            <w:pPr>
              <w:ind w:left="80"/>
              <w:spacing w:after="0"/>
              <w:rPr>
                <w:sz w:val="20"/>
                <w:szCs w:val="20"/>
                <w:color w:val="auto"/>
              </w:rPr>
            </w:pPr>
            <w:r>
              <w:rPr>
                <w:rFonts w:ascii="Arial" w:cs="Arial" w:eastAsia="Arial" w:hAnsi="Arial"/>
                <w:sz w:val="16"/>
                <w:szCs w:val="16"/>
                <w:color w:val="auto"/>
              </w:rPr>
              <w:t>No effect</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540" w:type="dxa"/>
            <w:vAlign w:val="bottom"/>
          </w:tcPr>
          <w:p>
            <w:pPr>
              <w:ind w:left="20"/>
              <w:spacing w:after="0"/>
              <w:rPr>
                <w:sz w:val="20"/>
                <w:szCs w:val="20"/>
                <w:color w:val="auto"/>
              </w:rPr>
            </w:pPr>
            <w:r>
              <w:rPr>
                <w:rFonts w:ascii="Arial" w:cs="Arial" w:eastAsia="Arial" w:hAnsi="Arial"/>
                <w:sz w:val="16"/>
                <w:szCs w:val="16"/>
                <w:color w:val="auto"/>
              </w:rPr>
              <w:t>Compensation of the Named Executive Officers</w:t>
            </w:r>
          </w:p>
        </w:tc>
        <w:tc>
          <w:tcPr>
            <w:tcW w:w="24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
        </w:trPr>
        <w:tc>
          <w:tcPr>
            <w:tcW w:w="3540" w:type="dxa"/>
            <w:vAlign w:val="bottom"/>
            <w:tcBorders>
              <w:bottom w:val="single" w:sz="8" w:color="BCBEC0"/>
            </w:tcBorders>
          </w:tcPr>
          <w:p>
            <w:pPr>
              <w:spacing w:after="0"/>
              <w:rPr>
                <w:sz w:val="2"/>
                <w:szCs w:val="2"/>
                <w:color w:val="auto"/>
              </w:rPr>
            </w:pPr>
          </w:p>
        </w:tc>
        <w:tc>
          <w:tcPr>
            <w:tcW w:w="2440" w:type="dxa"/>
            <w:vAlign w:val="bottom"/>
            <w:tcBorders>
              <w:bottom w:val="single" w:sz="8" w:color="BCBEC0"/>
            </w:tcBorders>
          </w:tcPr>
          <w:p>
            <w:pPr>
              <w:spacing w:after="0"/>
              <w:rPr>
                <w:sz w:val="2"/>
                <w:szCs w:val="2"/>
                <w:color w:val="auto"/>
              </w:rPr>
            </w:pPr>
          </w:p>
        </w:tc>
        <w:tc>
          <w:tcPr>
            <w:tcW w:w="1820" w:type="dxa"/>
            <w:vAlign w:val="bottom"/>
            <w:tcBorders>
              <w:bottom w:val="single" w:sz="8" w:color="BCBEC0"/>
            </w:tcBorders>
          </w:tcPr>
          <w:p>
            <w:pPr>
              <w:spacing w:after="0"/>
              <w:rPr>
                <w:sz w:val="2"/>
                <w:szCs w:val="2"/>
                <w:color w:val="auto"/>
              </w:rPr>
            </w:pPr>
          </w:p>
        </w:tc>
        <w:tc>
          <w:tcPr>
            <w:tcW w:w="2240" w:type="dxa"/>
            <w:vAlign w:val="bottom"/>
            <w:tcBorders>
              <w:bottom w:val="single" w:sz="8" w:color="BCBEC0"/>
            </w:tcBorders>
          </w:tcPr>
          <w:p>
            <w:pPr>
              <w:spacing w:after="0"/>
              <w:rPr>
                <w:sz w:val="2"/>
                <w:szCs w:val="2"/>
                <w:color w:val="auto"/>
              </w:rPr>
            </w:pPr>
          </w:p>
        </w:tc>
        <w:tc>
          <w:tcPr>
            <w:tcW w:w="920" w:type="dxa"/>
            <w:vAlign w:val="bottom"/>
            <w:tcBorders>
              <w:bottom w:val="single" w:sz="8" w:color="BCBEC0"/>
            </w:tcBorders>
          </w:tcPr>
          <w:p>
            <w:pPr>
              <w:spacing w:after="0"/>
              <w:rPr>
                <w:sz w:val="2"/>
                <w:szCs w:val="2"/>
                <w:color w:val="auto"/>
              </w:rPr>
            </w:pPr>
          </w:p>
        </w:tc>
        <w:tc>
          <w:tcPr>
            <w:tcW w:w="280" w:type="dxa"/>
            <w:vAlign w:val="bottom"/>
            <w:tcBorders>
              <w:bottom w:val="single" w:sz="8" w:color="BCBEC0"/>
            </w:tcBorders>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3540" w:type="dxa"/>
            <w:vAlign w:val="bottom"/>
          </w:tcPr>
          <w:p>
            <w:pPr>
              <w:ind w:left="20"/>
              <w:spacing w:after="0"/>
              <w:rPr>
                <w:sz w:val="20"/>
                <w:szCs w:val="20"/>
                <w:color w:val="auto"/>
              </w:rPr>
            </w:pPr>
            <w:r>
              <w:rPr>
                <w:rFonts w:ascii="Arial" w:cs="Arial" w:eastAsia="Arial" w:hAnsi="Arial"/>
                <w:sz w:val="16"/>
                <w:szCs w:val="16"/>
                <w:color w:val="auto"/>
              </w:rPr>
              <w:t>Ratify, by Nonbinding, Advisory Vote, the</w:t>
            </w:r>
          </w:p>
        </w:tc>
        <w:tc>
          <w:tcPr>
            <w:tcW w:w="2440" w:type="dxa"/>
            <w:vAlign w:val="bottom"/>
          </w:tcPr>
          <w:p>
            <w:pPr>
              <w:ind w:left="100"/>
              <w:spacing w:after="0"/>
              <w:rPr>
                <w:sz w:val="20"/>
                <w:szCs w:val="20"/>
                <w:color w:val="auto"/>
              </w:rPr>
            </w:pPr>
            <w:r>
              <w:rPr>
                <w:rFonts w:ascii="Arial" w:cs="Arial" w:eastAsia="Arial" w:hAnsi="Arial"/>
                <w:sz w:val="16"/>
                <w:szCs w:val="16"/>
                <w:color w:val="auto"/>
              </w:rPr>
              <w:t>For, against, or abstain</w:t>
            </w:r>
          </w:p>
        </w:tc>
        <w:tc>
          <w:tcPr>
            <w:tcW w:w="1820" w:type="dxa"/>
            <w:vAlign w:val="bottom"/>
          </w:tcPr>
          <w:p>
            <w:pPr>
              <w:ind w:left="80"/>
              <w:spacing w:after="0"/>
              <w:rPr>
                <w:sz w:val="20"/>
                <w:szCs w:val="20"/>
                <w:color w:val="auto"/>
              </w:rPr>
            </w:pPr>
            <w:r>
              <w:rPr>
                <w:rFonts w:ascii="Arial" w:cs="Arial" w:eastAsia="Arial" w:hAnsi="Arial"/>
                <w:sz w:val="16"/>
                <w:szCs w:val="16"/>
                <w:color w:val="auto"/>
              </w:rPr>
              <w:t>Majority of votes cast</w:t>
            </w:r>
          </w:p>
        </w:tc>
        <w:tc>
          <w:tcPr>
            <w:tcW w:w="2240" w:type="dxa"/>
            <w:vAlign w:val="bottom"/>
          </w:tcPr>
          <w:p>
            <w:pPr>
              <w:ind w:left="200"/>
              <w:spacing w:after="0"/>
              <w:rPr>
                <w:sz w:val="20"/>
                <w:szCs w:val="20"/>
                <w:color w:val="auto"/>
              </w:rPr>
            </w:pPr>
            <w:r>
              <w:rPr>
                <w:rFonts w:ascii="Arial" w:cs="Arial" w:eastAsia="Arial" w:hAnsi="Arial"/>
                <w:sz w:val="16"/>
                <w:szCs w:val="16"/>
                <w:color w:val="auto"/>
              </w:rPr>
              <w:t>Brokers have discretion to</w:t>
            </w:r>
          </w:p>
        </w:tc>
        <w:tc>
          <w:tcPr>
            <w:tcW w:w="920" w:type="dxa"/>
            <w:vAlign w:val="bottom"/>
          </w:tcPr>
          <w:p>
            <w:pPr>
              <w:ind w:left="80"/>
              <w:spacing w:after="0"/>
              <w:rPr>
                <w:sz w:val="20"/>
                <w:szCs w:val="20"/>
                <w:color w:val="auto"/>
              </w:rPr>
            </w:pPr>
            <w:r>
              <w:rPr>
                <w:rFonts w:ascii="Arial" w:cs="Arial" w:eastAsia="Arial" w:hAnsi="Arial"/>
                <w:sz w:val="16"/>
                <w:szCs w:val="16"/>
                <w:color w:val="auto"/>
              </w:rPr>
              <w:t>No effect</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3540" w:type="dxa"/>
            <w:vAlign w:val="bottom"/>
          </w:tcPr>
          <w:p>
            <w:pPr>
              <w:ind w:left="20"/>
              <w:spacing w:after="0"/>
              <w:rPr>
                <w:sz w:val="20"/>
                <w:szCs w:val="20"/>
                <w:color w:val="auto"/>
              </w:rPr>
            </w:pPr>
            <w:r>
              <w:rPr>
                <w:rFonts w:ascii="Arial" w:cs="Arial" w:eastAsia="Arial" w:hAnsi="Arial"/>
                <w:sz w:val="16"/>
                <w:szCs w:val="16"/>
                <w:color w:val="auto"/>
              </w:rPr>
              <w:t>Appointment of the Independent Auditor and</w:t>
            </w:r>
          </w:p>
        </w:tc>
        <w:tc>
          <w:tcPr>
            <w:tcW w:w="244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2240" w:type="dxa"/>
            <w:vAlign w:val="bottom"/>
          </w:tcPr>
          <w:p>
            <w:pPr>
              <w:ind w:left="200"/>
              <w:spacing w:after="0"/>
              <w:rPr>
                <w:sz w:val="20"/>
                <w:szCs w:val="20"/>
                <w:color w:val="auto"/>
              </w:rPr>
            </w:pPr>
            <w:r>
              <w:rPr>
                <w:rFonts w:ascii="Arial" w:cs="Arial" w:eastAsia="Arial" w:hAnsi="Arial"/>
                <w:sz w:val="16"/>
                <w:szCs w:val="16"/>
                <w:color w:val="auto"/>
              </w:rPr>
              <w:t>vote</w:t>
            </w: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3540" w:type="dxa"/>
            <w:vAlign w:val="bottom"/>
          </w:tcPr>
          <w:p>
            <w:pPr>
              <w:ind w:left="20"/>
              <w:spacing w:after="0"/>
              <w:rPr>
                <w:sz w:val="20"/>
                <w:szCs w:val="20"/>
                <w:color w:val="auto"/>
              </w:rPr>
            </w:pPr>
            <w:r>
              <w:rPr>
                <w:rFonts w:ascii="Arial" w:cs="Arial" w:eastAsia="Arial" w:hAnsi="Arial"/>
                <w:sz w:val="16"/>
                <w:szCs w:val="16"/>
                <w:color w:val="auto"/>
              </w:rPr>
              <w:t>Authorize, by Binding Vote, the Audit and</w:t>
            </w:r>
          </w:p>
        </w:tc>
        <w:tc>
          <w:tcPr>
            <w:tcW w:w="24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3540" w:type="dxa"/>
            <w:vAlign w:val="bottom"/>
          </w:tcPr>
          <w:p>
            <w:pPr>
              <w:ind w:left="20"/>
              <w:spacing w:after="0"/>
              <w:rPr>
                <w:sz w:val="20"/>
                <w:szCs w:val="20"/>
                <w:color w:val="auto"/>
              </w:rPr>
            </w:pPr>
            <w:r>
              <w:rPr>
                <w:rFonts w:ascii="Arial" w:cs="Arial" w:eastAsia="Arial" w:hAnsi="Arial"/>
                <w:sz w:val="16"/>
                <w:szCs w:val="16"/>
                <w:color w:val="auto"/>
              </w:rPr>
              <w:t>Finance Committee to Set the Auditor’s</w:t>
            </w:r>
          </w:p>
        </w:tc>
        <w:tc>
          <w:tcPr>
            <w:tcW w:w="244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3540" w:type="dxa"/>
            <w:vAlign w:val="bottom"/>
          </w:tcPr>
          <w:p>
            <w:pPr>
              <w:ind w:left="20"/>
              <w:spacing w:after="0"/>
              <w:rPr>
                <w:sz w:val="20"/>
                <w:szCs w:val="20"/>
                <w:color w:val="auto"/>
              </w:rPr>
            </w:pPr>
            <w:r>
              <w:rPr>
                <w:rFonts w:ascii="Arial" w:cs="Arial" w:eastAsia="Arial" w:hAnsi="Arial"/>
                <w:sz w:val="16"/>
                <w:szCs w:val="16"/>
                <w:color w:val="auto"/>
              </w:rPr>
              <w:t>Remuneration</w:t>
            </w:r>
          </w:p>
        </w:tc>
        <w:tc>
          <w:tcPr>
            <w:tcW w:w="24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
        </w:trPr>
        <w:tc>
          <w:tcPr>
            <w:tcW w:w="3540" w:type="dxa"/>
            <w:vAlign w:val="bottom"/>
            <w:tcBorders>
              <w:bottom w:val="single" w:sz="8" w:color="BCBEC0"/>
            </w:tcBorders>
          </w:tcPr>
          <w:p>
            <w:pPr>
              <w:spacing w:after="0"/>
              <w:rPr>
                <w:sz w:val="3"/>
                <w:szCs w:val="3"/>
                <w:color w:val="auto"/>
              </w:rPr>
            </w:pPr>
          </w:p>
        </w:tc>
        <w:tc>
          <w:tcPr>
            <w:tcW w:w="2440" w:type="dxa"/>
            <w:vAlign w:val="bottom"/>
            <w:tcBorders>
              <w:bottom w:val="single" w:sz="8" w:color="BCBEC0"/>
            </w:tcBorders>
          </w:tcPr>
          <w:p>
            <w:pPr>
              <w:spacing w:after="0"/>
              <w:rPr>
                <w:sz w:val="3"/>
                <w:szCs w:val="3"/>
                <w:color w:val="auto"/>
              </w:rPr>
            </w:pPr>
          </w:p>
        </w:tc>
        <w:tc>
          <w:tcPr>
            <w:tcW w:w="1820" w:type="dxa"/>
            <w:vAlign w:val="bottom"/>
            <w:tcBorders>
              <w:bottom w:val="single" w:sz="8" w:color="BCBEC0"/>
            </w:tcBorders>
          </w:tcPr>
          <w:p>
            <w:pPr>
              <w:spacing w:after="0"/>
              <w:rPr>
                <w:sz w:val="3"/>
                <w:szCs w:val="3"/>
                <w:color w:val="auto"/>
              </w:rPr>
            </w:pPr>
          </w:p>
        </w:tc>
        <w:tc>
          <w:tcPr>
            <w:tcW w:w="2240" w:type="dxa"/>
            <w:vAlign w:val="bottom"/>
            <w:tcBorders>
              <w:bottom w:val="single" w:sz="8" w:color="BCBEC0"/>
            </w:tcBorders>
          </w:tcPr>
          <w:p>
            <w:pPr>
              <w:spacing w:after="0"/>
              <w:rPr>
                <w:sz w:val="3"/>
                <w:szCs w:val="3"/>
                <w:color w:val="auto"/>
              </w:rPr>
            </w:pPr>
          </w:p>
        </w:tc>
        <w:tc>
          <w:tcPr>
            <w:tcW w:w="920" w:type="dxa"/>
            <w:vAlign w:val="bottom"/>
            <w:tcBorders>
              <w:bottom w:val="single" w:sz="8" w:color="BCBEC0"/>
            </w:tcBorders>
          </w:tcPr>
          <w:p>
            <w:pPr>
              <w:spacing w:after="0"/>
              <w:rPr>
                <w:sz w:val="3"/>
                <w:szCs w:val="3"/>
                <w:color w:val="auto"/>
              </w:rPr>
            </w:pPr>
          </w:p>
        </w:tc>
        <w:tc>
          <w:tcPr>
            <w:tcW w:w="280" w:type="dxa"/>
            <w:vAlign w:val="bottom"/>
            <w:tcBorders>
              <w:bottom w:val="single" w:sz="8" w:color="BCBEC0"/>
            </w:tcBorders>
          </w:tcPr>
          <w:p>
            <w:pPr>
              <w:spacing w:after="0"/>
              <w:rPr>
                <w:sz w:val="3"/>
                <w:szCs w:val="3"/>
                <w:color w:val="auto"/>
              </w:rPr>
            </w:pPr>
          </w:p>
        </w:tc>
        <w:tc>
          <w:tcPr>
            <w:tcW w:w="0" w:type="dxa"/>
            <w:vAlign w:val="bottom"/>
          </w:tcPr>
          <w:p>
            <w:pPr>
              <w:spacing w:after="0"/>
              <w:rPr>
                <w:sz w:val="1"/>
                <w:szCs w:val="1"/>
                <w:color w:val="auto"/>
              </w:rPr>
            </w:pPr>
          </w:p>
        </w:tc>
      </w:tr>
      <w:tr>
        <w:trPr>
          <w:trHeight w:val="221"/>
        </w:trPr>
        <w:tc>
          <w:tcPr>
            <w:tcW w:w="3540" w:type="dxa"/>
            <w:vAlign w:val="bottom"/>
          </w:tcPr>
          <w:p>
            <w:pPr>
              <w:ind w:left="20"/>
              <w:spacing w:after="0"/>
              <w:rPr>
                <w:sz w:val="20"/>
                <w:szCs w:val="20"/>
                <w:color w:val="auto"/>
              </w:rPr>
            </w:pPr>
            <w:r>
              <w:rPr>
                <w:rFonts w:ascii="Arial" w:cs="Arial" w:eastAsia="Arial" w:hAnsi="Arial"/>
                <w:sz w:val="16"/>
                <w:szCs w:val="16"/>
                <w:color w:val="auto"/>
              </w:rPr>
              <w:t>Authorize the Board of Directors to Allot New</w:t>
            </w:r>
          </w:p>
        </w:tc>
        <w:tc>
          <w:tcPr>
            <w:tcW w:w="2440" w:type="dxa"/>
            <w:vAlign w:val="bottom"/>
          </w:tcPr>
          <w:p>
            <w:pPr>
              <w:ind w:left="100"/>
              <w:spacing w:after="0"/>
              <w:rPr>
                <w:sz w:val="20"/>
                <w:szCs w:val="20"/>
                <w:color w:val="auto"/>
              </w:rPr>
            </w:pPr>
            <w:r>
              <w:rPr>
                <w:rFonts w:ascii="Arial" w:cs="Arial" w:eastAsia="Arial" w:hAnsi="Arial"/>
                <w:sz w:val="16"/>
                <w:szCs w:val="16"/>
                <w:color w:val="auto"/>
              </w:rPr>
              <w:t>For, against, or abstain</w:t>
            </w:r>
          </w:p>
        </w:tc>
        <w:tc>
          <w:tcPr>
            <w:tcW w:w="1820" w:type="dxa"/>
            <w:vAlign w:val="bottom"/>
          </w:tcPr>
          <w:p>
            <w:pPr>
              <w:ind w:left="80"/>
              <w:spacing w:after="0"/>
              <w:rPr>
                <w:sz w:val="20"/>
                <w:szCs w:val="20"/>
                <w:color w:val="auto"/>
              </w:rPr>
            </w:pPr>
            <w:r>
              <w:rPr>
                <w:rFonts w:ascii="Arial" w:cs="Arial" w:eastAsia="Arial" w:hAnsi="Arial"/>
                <w:sz w:val="16"/>
                <w:szCs w:val="16"/>
                <w:color w:val="auto"/>
              </w:rPr>
              <w:t>Majority of votes cast</w:t>
            </w:r>
          </w:p>
        </w:tc>
        <w:tc>
          <w:tcPr>
            <w:tcW w:w="2240" w:type="dxa"/>
            <w:vAlign w:val="bottom"/>
          </w:tcPr>
          <w:p>
            <w:pPr>
              <w:ind w:left="200"/>
              <w:spacing w:after="0"/>
              <w:rPr>
                <w:sz w:val="20"/>
                <w:szCs w:val="20"/>
                <w:color w:val="auto"/>
              </w:rPr>
            </w:pPr>
            <w:r>
              <w:rPr>
                <w:rFonts w:ascii="Arial" w:cs="Arial" w:eastAsia="Arial" w:hAnsi="Arial"/>
                <w:sz w:val="16"/>
                <w:szCs w:val="16"/>
                <w:color w:val="auto"/>
              </w:rPr>
              <w:t>Brokers have discretion to</w:t>
            </w:r>
          </w:p>
        </w:tc>
        <w:tc>
          <w:tcPr>
            <w:tcW w:w="920" w:type="dxa"/>
            <w:vAlign w:val="bottom"/>
          </w:tcPr>
          <w:p>
            <w:pPr>
              <w:ind w:left="80"/>
              <w:spacing w:after="0"/>
              <w:rPr>
                <w:sz w:val="20"/>
                <w:szCs w:val="20"/>
                <w:color w:val="auto"/>
              </w:rPr>
            </w:pPr>
            <w:r>
              <w:rPr>
                <w:rFonts w:ascii="Arial" w:cs="Arial" w:eastAsia="Arial" w:hAnsi="Arial"/>
                <w:sz w:val="16"/>
                <w:szCs w:val="16"/>
                <w:color w:val="auto"/>
              </w:rPr>
              <w:t>No effect</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540" w:type="dxa"/>
            <w:vAlign w:val="bottom"/>
          </w:tcPr>
          <w:p>
            <w:pPr>
              <w:ind w:left="20"/>
              <w:spacing w:after="0"/>
              <w:rPr>
                <w:sz w:val="20"/>
                <w:szCs w:val="20"/>
                <w:color w:val="auto"/>
              </w:rPr>
            </w:pPr>
            <w:r>
              <w:rPr>
                <w:rFonts w:ascii="Arial" w:cs="Arial" w:eastAsia="Arial" w:hAnsi="Arial"/>
                <w:sz w:val="16"/>
                <w:szCs w:val="16"/>
                <w:color w:val="auto"/>
              </w:rPr>
              <w:t>Shares</w:t>
            </w:r>
          </w:p>
        </w:tc>
        <w:tc>
          <w:tcPr>
            <w:tcW w:w="24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240" w:type="dxa"/>
            <w:vAlign w:val="bottom"/>
          </w:tcPr>
          <w:p>
            <w:pPr>
              <w:ind w:left="200"/>
              <w:spacing w:after="0"/>
              <w:rPr>
                <w:sz w:val="20"/>
                <w:szCs w:val="20"/>
                <w:color w:val="auto"/>
              </w:rPr>
            </w:pPr>
            <w:r>
              <w:rPr>
                <w:rFonts w:ascii="Arial" w:cs="Arial" w:eastAsia="Arial" w:hAnsi="Arial"/>
                <w:sz w:val="16"/>
                <w:szCs w:val="16"/>
                <w:color w:val="auto"/>
              </w:rPr>
              <w:t>vote</w:t>
            </w: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
        </w:trPr>
        <w:tc>
          <w:tcPr>
            <w:tcW w:w="3540" w:type="dxa"/>
            <w:vAlign w:val="bottom"/>
            <w:tcBorders>
              <w:bottom w:val="single" w:sz="8" w:color="BCBEC0"/>
            </w:tcBorders>
          </w:tcPr>
          <w:p>
            <w:pPr>
              <w:spacing w:after="0"/>
              <w:rPr>
                <w:sz w:val="2"/>
                <w:szCs w:val="2"/>
                <w:color w:val="auto"/>
              </w:rPr>
            </w:pPr>
          </w:p>
        </w:tc>
        <w:tc>
          <w:tcPr>
            <w:tcW w:w="2440" w:type="dxa"/>
            <w:vAlign w:val="bottom"/>
            <w:tcBorders>
              <w:bottom w:val="single" w:sz="8" w:color="BCBEC0"/>
            </w:tcBorders>
          </w:tcPr>
          <w:p>
            <w:pPr>
              <w:spacing w:after="0"/>
              <w:rPr>
                <w:sz w:val="2"/>
                <w:szCs w:val="2"/>
                <w:color w:val="auto"/>
              </w:rPr>
            </w:pPr>
          </w:p>
        </w:tc>
        <w:tc>
          <w:tcPr>
            <w:tcW w:w="1820" w:type="dxa"/>
            <w:vAlign w:val="bottom"/>
            <w:tcBorders>
              <w:bottom w:val="single" w:sz="8" w:color="BCBEC0"/>
            </w:tcBorders>
          </w:tcPr>
          <w:p>
            <w:pPr>
              <w:spacing w:after="0"/>
              <w:rPr>
                <w:sz w:val="2"/>
                <w:szCs w:val="2"/>
                <w:color w:val="auto"/>
              </w:rPr>
            </w:pPr>
          </w:p>
        </w:tc>
        <w:tc>
          <w:tcPr>
            <w:tcW w:w="2240" w:type="dxa"/>
            <w:vAlign w:val="bottom"/>
            <w:tcBorders>
              <w:bottom w:val="single" w:sz="8" w:color="BCBEC0"/>
            </w:tcBorders>
          </w:tcPr>
          <w:p>
            <w:pPr>
              <w:spacing w:after="0"/>
              <w:rPr>
                <w:sz w:val="2"/>
                <w:szCs w:val="2"/>
                <w:color w:val="auto"/>
              </w:rPr>
            </w:pPr>
          </w:p>
        </w:tc>
        <w:tc>
          <w:tcPr>
            <w:tcW w:w="920" w:type="dxa"/>
            <w:vAlign w:val="bottom"/>
            <w:tcBorders>
              <w:bottom w:val="single" w:sz="8" w:color="BCBEC0"/>
            </w:tcBorders>
          </w:tcPr>
          <w:p>
            <w:pPr>
              <w:spacing w:after="0"/>
              <w:rPr>
                <w:sz w:val="2"/>
                <w:szCs w:val="2"/>
                <w:color w:val="auto"/>
              </w:rPr>
            </w:pPr>
          </w:p>
        </w:tc>
        <w:tc>
          <w:tcPr>
            <w:tcW w:w="280" w:type="dxa"/>
            <w:vAlign w:val="bottom"/>
            <w:tcBorders>
              <w:bottom w:val="single" w:sz="8" w:color="BCBEC0"/>
            </w:tcBorders>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3540" w:type="dxa"/>
            <w:vAlign w:val="bottom"/>
          </w:tcPr>
          <w:p>
            <w:pPr>
              <w:ind w:left="20"/>
              <w:spacing w:after="0"/>
              <w:rPr>
                <w:sz w:val="20"/>
                <w:szCs w:val="20"/>
                <w:color w:val="auto"/>
              </w:rPr>
            </w:pPr>
            <w:r>
              <w:rPr>
                <w:rFonts w:ascii="Arial" w:cs="Arial" w:eastAsia="Arial" w:hAnsi="Arial"/>
                <w:sz w:val="16"/>
                <w:szCs w:val="16"/>
                <w:color w:val="auto"/>
              </w:rPr>
              <w:t>Authorize the Board of Directors to Opt-Out of</w:t>
            </w:r>
          </w:p>
        </w:tc>
        <w:tc>
          <w:tcPr>
            <w:tcW w:w="2440" w:type="dxa"/>
            <w:vAlign w:val="bottom"/>
          </w:tcPr>
          <w:p>
            <w:pPr>
              <w:ind w:left="100"/>
              <w:spacing w:after="0"/>
              <w:rPr>
                <w:sz w:val="20"/>
                <w:szCs w:val="20"/>
                <w:color w:val="auto"/>
              </w:rPr>
            </w:pPr>
            <w:r>
              <w:rPr>
                <w:rFonts w:ascii="Arial" w:cs="Arial" w:eastAsia="Arial" w:hAnsi="Arial"/>
                <w:sz w:val="16"/>
                <w:szCs w:val="16"/>
                <w:color w:val="auto"/>
              </w:rPr>
              <w:t>For, against, or abstain</w:t>
            </w:r>
          </w:p>
        </w:tc>
        <w:tc>
          <w:tcPr>
            <w:tcW w:w="1820" w:type="dxa"/>
            <w:vAlign w:val="bottom"/>
          </w:tcPr>
          <w:p>
            <w:pPr>
              <w:ind w:left="80"/>
              <w:spacing w:after="0"/>
              <w:rPr>
                <w:sz w:val="20"/>
                <w:szCs w:val="20"/>
                <w:color w:val="auto"/>
              </w:rPr>
            </w:pPr>
            <w:r>
              <w:rPr>
                <w:rFonts w:ascii="Arial" w:cs="Arial" w:eastAsia="Arial" w:hAnsi="Arial"/>
                <w:sz w:val="16"/>
                <w:szCs w:val="16"/>
                <w:color w:val="auto"/>
              </w:rPr>
              <w:t>75% of votes cast</w:t>
            </w:r>
          </w:p>
        </w:tc>
        <w:tc>
          <w:tcPr>
            <w:tcW w:w="2240" w:type="dxa"/>
            <w:vAlign w:val="bottom"/>
          </w:tcPr>
          <w:p>
            <w:pPr>
              <w:ind w:left="200"/>
              <w:spacing w:after="0"/>
              <w:rPr>
                <w:sz w:val="20"/>
                <w:szCs w:val="20"/>
                <w:color w:val="auto"/>
              </w:rPr>
            </w:pPr>
            <w:r>
              <w:rPr>
                <w:rFonts w:ascii="Arial" w:cs="Arial" w:eastAsia="Arial" w:hAnsi="Arial"/>
                <w:sz w:val="16"/>
                <w:szCs w:val="16"/>
                <w:color w:val="auto"/>
              </w:rPr>
              <w:t>Brokers have discretion to</w:t>
            </w:r>
          </w:p>
        </w:tc>
        <w:tc>
          <w:tcPr>
            <w:tcW w:w="920" w:type="dxa"/>
            <w:vAlign w:val="bottom"/>
          </w:tcPr>
          <w:p>
            <w:pPr>
              <w:ind w:left="80"/>
              <w:spacing w:after="0"/>
              <w:rPr>
                <w:sz w:val="20"/>
                <w:szCs w:val="20"/>
                <w:color w:val="auto"/>
              </w:rPr>
            </w:pPr>
            <w:r>
              <w:rPr>
                <w:rFonts w:ascii="Arial" w:cs="Arial" w:eastAsia="Arial" w:hAnsi="Arial"/>
                <w:sz w:val="16"/>
                <w:szCs w:val="16"/>
                <w:color w:val="auto"/>
              </w:rPr>
              <w:t>No effect</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540" w:type="dxa"/>
            <w:vAlign w:val="bottom"/>
          </w:tcPr>
          <w:p>
            <w:pPr>
              <w:ind w:left="20"/>
              <w:spacing w:after="0"/>
              <w:rPr>
                <w:sz w:val="20"/>
                <w:szCs w:val="20"/>
                <w:color w:val="auto"/>
              </w:rPr>
            </w:pPr>
            <w:r>
              <w:rPr>
                <w:rFonts w:ascii="Arial" w:cs="Arial" w:eastAsia="Arial" w:hAnsi="Arial"/>
                <w:sz w:val="16"/>
                <w:szCs w:val="16"/>
                <w:color w:val="auto"/>
              </w:rPr>
              <w:t>Statutory Preemption Rights</w:t>
            </w:r>
          </w:p>
        </w:tc>
        <w:tc>
          <w:tcPr>
            <w:tcW w:w="24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240" w:type="dxa"/>
            <w:vAlign w:val="bottom"/>
          </w:tcPr>
          <w:p>
            <w:pPr>
              <w:ind w:left="200"/>
              <w:spacing w:after="0"/>
              <w:rPr>
                <w:sz w:val="20"/>
                <w:szCs w:val="20"/>
                <w:color w:val="auto"/>
              </w:rPr>
            </w:pPr>
            <w:r>
              <w:rPr>
                <w:rFonts w:ascii="Arial" w:cs="Arial" w:eastAsia="Arial" w:hAnsi="Arial"/>
                <w:sz w:val="16"/>
                <w:szCs w:val="16"/>
                <w:color w:val="auto"/>
              </w:rPr>
              <w:t>vote</w:t>
            </w: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
        </w:trPr>
        <w:tc>
          <w:tcPr>
            <w:tcW w:w="3540" w:type="dxa"/>
            <w:vAlign w:val="bottom"/>
            <w:tcBorders>
              <w:bottom w:val="single" w:sz="8" w:color="BCBEC0"/>
            </w:tcBorders>
          </w:tcPr>
          <w:p>
            <w:pPr>
              <w:spacing w:after="0"/>
              <w:rPr>
                <w:sz w:val="2"/>
                <w:szCs w:val="2"/>
                <w:color w:val="auto"/>
              </w:rPr>
            </w:pPr>
          </w:p>
        </w:tc>
        <w:tc>
          <w:tcPr>
            <w:tcW w:w="2440" w:type="dxa"/>
            <w:vAlign w:val="bottom"/>
            <w:tcBorders>
              <w:bottom w:val="single" w:sz="8" w:color="BCBEC0"/>
            </w:tcBorders>
          </w:tcPr>
          <w:p>
            <w:pPr>
              <w:spacing w:after="0"/>
              <w:rPr>
                <w:sz w:val="2"/>
                <w:szCs w:val="2"/>
                <w:color w:val="auto"/>
              </w:rPr>
            </w:pPr>
          </w:p>
        </w:tc>
        <w:tc>
          <w:tcPr>
            <w:tcW w:w="1820" w:type="dxa"/>
            <w:vAlign w:val="bottom"/>
            <w:tcBorders>
              <w:bottom w:val="single" w:sz="8" w:color="BCBEC0"/>
            </w:tcBorders>
          </w:tcPr>
          <w:p>
            <w:pPr>
              <w:spacing w:after="0"/>
              <w:rPr>
                <w:sz w:val="2"/>
                <w:szCs w:val="2"/>
                <w:color w:val="auto"/>
              </w:rPr>
            </w:pPr>
          </w:p>
        </w:tc>
        <w:tc>
          <w:tcPr>
            <w:tcW w:w="2240" w:type="dxa"/>
            <w:vAlign w:val="bottom"/>
            <w:tcBorders>
              <w:bottom w:val="single" w:sz="8" w:color="BCBEC0"/>
            </w:tcBorders>
          </w:tcPr>
          <w:p>
            <w:pPr>
              <w:spacing w:after="0"/>
              <w:rPr>
                <w:sz w:val="2"/>
                <w:szCs w:val="2"/>
                <w:color w:val="auto"/>
              </w:rPr>
            </w:pPr>
          </w:p>
        </w:tc>
        <w:tc>
          <w:tcPr>
            <w:tcW w:w="920" w:type="dxa"/>
            <w:vAlign w:val="bottom"/>
            <w:tcBorders>
              <w:bottom w:val="single" w:sz="8" w:color="BCBEC0"/>
            </w:tcBorders>
          </w:tcPr>
          <w:p>
            <w:pPr>
              <w:spacing w:after="0"/>
              <w:rPr>
                <w:sz w:val="2"/>
                <w:szCs w:val="2"/>
                <w:color w:val="auto"/>
              </w:rPr>
            </w:pPr>
          </w:p>
        </w:tc>
        <w:tc>
          <w:tcPr>
            <w:tcW w:w="280" w:type="dxa"/>
            <w:vAlign w:val="bottom"/>
            <w:tcBorders>
              <w:bottom w:val="single" w:sz="8" w:color="BCBEC0"/>
            </w:tcBorders>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3540" w:type="dxa"/>
            <w:vAlign w:val="bottom"/>
          </w:tcPr>
          <w:p>
            <w:pPr>
              <w:ind w:left="20"/>
              <w:spacing w:after="0"/>
              <w:rPr>
                <w:sz w:val="20"/>
                <w:szCs w:val="20"/>
                <w:color w:val="auto"/>
              </w:rPr>
            </w:pPr>
            <w:r>
              <w:rPr>
                <w:rFonts w:ascii="Arial" w:cs="Arial" w:eastAsia="Arial" w:hAnsi="Arial"/>
                <w:sz w:val="16"/>
                <w:szCs w:val="16"/>
                <w:color w:val="auto"/>
              </w:rPr>
              <w:t>Authorize the Price Range at which Pentair Can</w:t>
            </w:r>
          </w:p>
        </w:tc>
        <w:tc>
          <w:tcPr>
            <w:tcW w:w="2440" w:type="dxa"/>
            <w:vAlign w:val="bottom"/>
          </w:tcPr>
          <w:p>
            <w:pPr>
              <w:ind w:left="100"/>
              <w:spacing w:after="0"/>
              <w:rPr>
                <w:sz w:val="20"/>
                <w:szCs w:val="20"/>
                <w:color w:val="auto"/>
              </w:rPr>
            </w:pPr>
            <w:r>
              <w:rPr>
                <w:rFonts w:ascii="Arial" w:cs="Arial" w:eastAsia="Arial" w:hAnsi="Arial"/>
                <w:sz w:val="16"/>
                <w:szCs w:val="16"/>
                <w:color w:val="auto"/>
              </w:rPr>
              <w:t>For, against, or abstain</w:t>
            </w:r>
          </w:p>
        </w:tc>
        <w:tc>
          <w:tcPr>
            <w:tcW w:w="1820" w:type="dxa"/>
            <w:vAlign w:val="bottom"/>
          </w:tcPr>
          <w:p>
            <w:pPr>
              <w:ind w:left="80"/>
              <w:spacing w:after="0"/>
              <w:rPr>
                <w:sz w:val="20"/>
                <w:szCs w:val="20"/>
                <w:color w:val="auto"/>
              </w:rPr>
            </w:pPr>
            <w:r>
              <w:rPr>
                <w:rFonts w:ascii="Arial" w:cs="Arial" w:eastAsia="Arial" w:hAnsi="Arial"/>
                <w:sz w:val="16"/>
                <w:szCs w:val="16"/>
                <w:color w:val="auto"/>
              </w:rPr>
              <w:t>75% of votes cast</w:t>
            </w:r>
          </w:p>
        </w:tc>
        <w:tc>
          <w:tcPr>
            <w:tcW w:w="2240" w:type="dxa"/>
            <w:vAlign w:val="bottom"/>
          </w:tcPr>
          <w:p>
            <w:pPr>
              <w:ind w:left="200"/>
              <w:spacing w:after="0"/>
              <w:rPr>
                <w:sz w:val="20"/>
                <w:szCs w:val="20"/>
                <w:color w:val="auto"/>
              </w:rPr>
            </w:pPr>
            <w:r>
              <w:rPr>
                <w:rFonts w:ascii="Arial" w:cs="Arial" w:eastAsia="Arial" w:hAnsi="Arial"/>
                <w:sz w:val="16"/>
                <w:szCs w:val="16"/>
                <w:color w:val="auto"/>
              </w:rPr>
              <w:t>Brokers have discretion to</w:t>
            </w:r>
          </w:p>
        </w:tc>
        <w:tc>
          <w:tcPr>
            <w:tcW w:w="920" w:type="dxa"/>
            <w:vAlign w:val="bottom"/>
          </w:tcPr>
          <w:p>
            <w:pPr>
              <w:ind w:left="80"/>
              <w:spacing w:after="0"/>
              <w:rPr>
                <w:sz w:val="20"/>
                <w:szCs w:val="20"/>
                <w:color w:val="auto"/>
              </w:rPr>
            </w:pPr>
            <w:r>
              <w:rPr>
                <w:rFonts w:ascii="Arial" w:cs="Arial" w:eastAsia="Arial" w:hAnsi="Arial"/>
                <w:sz w:val="16"/>
                <w:szCs w:val="16"/>
                <w:color w:val="auto"/>
              </w:rPr>
              <w:t>No effect</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540" w:type="dxa"/>
            <w:vAlign w:val="bottom"/>
          </w:tcPr>
          <w:p>
            <w:pPr>
              <w:ind w:left="20"/>
              <w:spacing w:after="0"/>
              <w:rPr>
                <w:sz w:val="20"/>
                <w:szCs w:val="20"/>
                <w:color w:val="auto"/>
              </w:rPr>
            </w:pPr>
            <w:r>
              <w:rPr>
                <w:rFonts w:ascii="Arial" w:cs="Arial" w:eastAsia="Arial" w:hAnsi="Arial"/>
                <w:sz w:val="16"/>
                <w:szCs w:val="16"/>
                <w:color w:val="auto"/>
              </w:rPr>
              <w:t>Re-Allot Treasury Shares</w:t>
            </w:r>
          </w:p>
        </w:tc>
        <w:tc>
          <w:tcPr>
            <w:tcW w:w="24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240" w:type="dxa"/>
            <w:vAlign w:val="bottom"/>
          </w:tcPr>
          <w:p>
            <w:pPr>
              <w:ind w:left="200"/>
              <w:spacing w:after="0"/>
              <w:rPr>
                <w:sz w:val="20"/>
                <w:szCs w:val="20"/>
                <w:color w:val="auto"/>
              </w:rPr>
            </w:pPr>
            <w:r>
              <w:rPr>
                <w:rFonts w:ascii="Arial" w:cs="Arial" w:eastAsia="Arial" w:hAnsi="Arial"/>
                <w:sz w:val="16"/>
                <w:szCs w:val="16"/>
                <w:color w:val="auto"/>
              </w:rPr>
              <w:t>vote</w:t>
            </w: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
        </w:trPr>
        <w:tc>
          <w:tcPr>
            <w:tcW w:w="3540" w:type="dxa"/>
            <w:vAlign w:val="bottom"/>
            <w:tcBorders>
              <w:bottom w:val="single" w:sz="8" w:color="0C3471"/>
            </w:tcBorders>
          </w:tcPr>
          <w:p>
            <w:pPr>
              <w:spacing w:after="0"/>
              <w:rPr>
                <w:sz w:val="2"/>
                <w:szCs w:val="2"/>
                <w:color w:val="auto"/>
              </w:rPr>
            </w:pPr>
          </w:p>
        </w:tc>
        <w:tc>
          <w:tcPr>
            <w:tcW w:w="2440" w:type="dxa"/>
            <w:vAlign w:val="bottom"/>
            <w:tcBorders>
              <w:bottom w:val="single" w:sz="8" w:color="0C3471"/>
            </w:tcBorders>
          </w:tcPr>
          <w:p>
            <w:pPr>
              <w:spacing w:after="0"/>
              <w:rPr>
                <w:sz w:val="2"/>
                <w:szCs w:val="2"/>
                <w:color w:val="auto"/>
              </w:rPr>
            </w:pPr>
          </w:p>
        </w:tc>
        <w:tc>
          <w:tcPr>
            <w:tcW w:w="1820" w:type="dxa"/>
            <w:vAlign w:val="bottom"/>
            <w:tcBorders>
              <w:bottom w:val="single" w:sz="8" w:color="0C3471"/>
            </w:tcBorders>
          </w:tcPr>
          <w:p>
            <w:pPr>
              <w:spacing w:after="0"/>
              <w:rPr>
                <w:sz w:val="2"/>
                <w:szCs w:val="2"/>
                <w:color w:val="auto"/>
              </w:rPr>
            </w:pPr>
          </w:p>
        </w:tc>
        <w:tc>
          <w:tcPr>
            <w:tcW w:w="3160" w:type="dxa"/>
            <w:vAlign w:val="bottom"/>
            <w:tcBorders>
              <w:bottom w:val="single" w:sz="8" w:color="0C3471"/>
            </w:tcBorders>
            <w:gridSpan w:val="2"/>
          </w:tcPr>
          <w:p>
            <w:pPr>
              <w:spacing w:after="0"/>
              <w:rPr>
                <w:sz w:val="2"/>
                <w:szCs w:val="2"/>
                <w:color w:val="auto"/>
              </w:rPr>
            </w:pPr>
          </w:p>
        </w:tc>
        <w:tc>
          <w:tcPr>
            <w:tcW w:w="280" w:type="dxa"/>
            <w:vAlign w:val="bottom"/>
            <w:tcBorders>
              <w:bottom w:val="single" w:sz="8" w:color="0C3471"/>
            </w:tcBorders>
          </w:tcPr>
          <w:p>
            <w:pPr>
              <w:spacing w:after="0"/>
              <w:rPr>
                <w:sz w:val="2"/>
                <w:szCs w:val="2"/>
                <w:color w:val="auto"/>
              </w:rPr>
            </w:pPr>
          </w:p>
        </w:tc>
        <w:tc>
          <w:tcPr>
            <w:tcW w:w="0" w:type="dxa"/>
            <w:vAlign w:val="bottom"/>
          </w:tcPr>
          <w:p>
            <w:pPr>
              <w:spacing w:after="0"/>
              <w:rPr>
                <w:sz w:val="1"/>
                <w:szCs w:val="1"/>
                <w:color w:val="auto"/>
              </w:rPr>
            </w:pPr>
          </w:p>
        </w:tc>
      </w:tr>
      <w:tr>
        <w:trPr>
          <w:trHeight w:val="850"/>
        </w:trPr>
        <w:tc>
          <w:tcPr>
            <w:tcW w:w="354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3160" w:type="dxa"/>
            <w:vAlign w:val="bottom"/>
            <w:gridSpan w:val="2"/>
          </w:tcPr>
          <w:p>
            <w:pPr>
              <w:ind w:left="460"/>
              <w:spacing w:after="0"/>
              <w:rPr>
                <w:sz w:val="20"/>
                <w:szCs w:val="20"/>
                <w:color w:val="auto"/>
              </w:rPr>
            </w:pPr>
            <w:r>
              <w:rPr>
                <w:rFonts w:ascii="Arial" w:cs="Arial" w:eastAsia="Arial" w:hAnsi="Arial"/>
                <w:sz w:val="16"/>
                <w:szCs w:val="16"/>
                <w:b w:val="1"/>
                <w:bCs w:val="1"/>
                <w:color w:val="auto"/>
              </w:rPr>
              <w:t xml:space="preserve">2026 Proxy Statement </w:t>
            </w:r>
            <w:r>
              <w:rPr>
                <w:rFonts w:ascii="Arial" w:cs="Arial" w:eastAsia="Arial" w:hAnsi="Arial"/>
                <w:sz w:val="16"/>
                <w:szCs w:val="16"/>
                <w:b w:val="1"/>
                <w:bCs w:val="1"/>
                <w:color w:val="0C3471"/>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Pentair</w:t>
            </w:r>
          </w:p>
        </w:tc>
        <w:tc>
          <w:tcPr>
            <w:tcW w:w="280" w:type="dxa"/>
            <w:vAlign w:val="bottom"/>
          </w:tcPr>
          <w:p>
            <w:pPr>
              <w:jc w:val="right"/>
              <w:spacing w:after="0"/>
              <w:rPr>
                <w:sz w:val="20"/>
                <w:szCs w:val="20"/>
                <w:color w:val="auto"/>
              </w:rPr>
            </w:pPr>
            <w:r>
              <w:rPr>
                <w:rFonts w:ascii="Arial" w:cs="Arial" w:eastAsia="Arial" w:hAnsi="Arial"/>
                <w:sz w:val="16"/>
                <w:szCs w:val="16"/>
                <w:b w:val="1"/>
                <w:bCs w:val="1"/>
                <w:color w:val="auto"/>
              </w:rPr>
              <w:t>85</w:t>
            </w:r>
          </w:p>
        </w:tc>
        <w:tc>
          <w:tcPr>
            <w:tcW w:w="0" w:type="dxa"/>
            <w:vAlign w:val="bottom"/>
          </w:tcPr>
          <w:p>
            <w:pPr>
              <w:spacing w:after="0"/>
              <w:rPr>
                <w:sz w:val="1"/>
                <w:szCs w:val="1"/>
                <w:color w:val="auto"/>
              </w:rPr>
            </w:pPr>
          </w:p>
        </w:tc>
      </w:tr>
      <w:tr>
        <w:trPr>
          <w:trHeight w:val="325"/>
        </w:trPr>
        <w:tc>
          <w:tcPr>
            <w:tcW w:w="3540" w:type="dxa"/>
            <w:vAlign w:val="bottom"/>
            <w:tcBorders>
              <w:bottom w:val="single" w:sz="8" w:color="9A9A9A"/>
            </w:tcBorders>
          </w:tcPr>
          <w:p>
            <w:pPr>
              <w:spacing w:after="0"/>
              <w:rPr>
                <w:sz w:val="24"/>
                <w:szCs w:val="24"/>
                <w:color w:val="auto"/>
              </w:rPr>
            </w:pPr>
          </w:p>
        </w:tc>
        <w:tc>
          <w:tcPr>
            <w:tcW w:w="2440" w:type="dxa"/>
            <w:vAlign w:val="bottom"/>
            <w:tcBorders>
              <w:bottom w:val="single" w:sz="8" w:color="9A9A9A"/>
            </w:tcBorders>
          </w:tcPr>
          <w:p>
            <w:pPr>
              <w:spacing w:after="0"/>
              <w:rPr>
                <w:sz w:val="24"/>
                <w:szCs w:val="24"/>
                <w:color w:val="auto"/>
              </w:rPr>
            </w:pPr>
          </w:p>
        </w:tc>
        <w:tc>
          <w:tcPr>
            <w:tcW w:w="1820" w:type="dxa"/>
            <w:vAlign w:val="bottom"/>
            <w:tcBorders>
              <w:bottom w:val="single" w:sz="8" w:color="9A9A9A"/>
            </w:tcBorders>
          </w:tcPr>
          <w:p>
            <w:pPr>
              <w:spacing w:after="0"/>
              <w:rPr>
                <w:sz w:val="24"/>
                <w:szCs w:val="24"/>
                <w:color w:val="auto"/>
              </w:rPr>
            </w:pPr>
          </w:p>
        </w:tc>
        <w:tc>
          <w:tcPr>
            <w:tcW w:w="224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66" w:right="339" w:bottom="1440" w:gutter="0" w:footer="0" w:header="0"/>
        </w:sectPr>
      </w:pPr>
    </w:p>
    <w:bookmarkStart w:id="87" w:name="page88"/>
    <w:bookmarkEnd w:id="87"/>
    <w:p>
      <w:pPr>
        <w:ind w:left="36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216535</wp:posOffset>
            </wp:positionH>
            <wp:positionV relativeFrom="page">
              <wp:posOffset>106045</wp:posOffset>
            </wp:positionV>
            <wp:extent cx="102870" cy="11176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clrChange>
                        <a:clrFrom>
                          <a:srgbClr val="FFFFFF"/>
                        </a:clrFrom>
                        <a:clrTo>
                          <a:srgbClr val="FFFFFF">
                            <a:alpha val="0"/>
                          </a:srgbClr>
                        </a:clrTo>
                      </a:clrChange>
                      <a:extLst>
                        <a:ext uri="{28A0092B-C50C-407E-A947-70E740481C1C}"/>
                      </a:extLst>
                    </a:blip>
                    <a:srcRect/>
                    <a:stretch>
                      <a:fillRect/>
                    </a:stretch>
                  </pic:blipFill>
                  <pic:spPr bwMode="auto">
                    <a:xfrm>
                      <a:off x="0" y="0"/>
                      <a:ext cx="102870" cy="111760"/>
                    </a:xfrm>
                    <a:prstGeom prst="rect">
                      <a:avLst/>
                    </a:prstGeom>
                    <a:noFill/>
                  </pic:spPr>
                </pic:pic>
              </a:graphicData>
            </a:graphic>
          </wp:anchor>
        </w:drawing>
        <w:t>Questions and Answers about the Annual General Meeting and Voting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6"/>
          <w:szCs w:val="16"/>
          <w:b w:val="1"/>
          <w:bCs w:val="1"/>
          <w:color w:val="0C3471"/>
        </w:rPr>
        <w:t>Who will count the votes?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A representative from The Carideo Group, Inc. will count the votes and serve as our Inspector of Election.</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color w:val="0C3471"/>
        </w:rPr>
        <w:t>Who will pay for the cost of this proxy solicitation?</w:t>
      </w:r>
    </w:p>
    <w:p>
      <w:pPr>
        <w:spacing w:after="0" w:line="113" w:lineRule="exact"/>
        <w:rPr>
          <w:sz w:val="20"/>
          <w:szCs w:val="20"/>
          <w:color w:val="auto"/>
        </w:rPr>
      </w:pPr>
    </w:p>
    <w:p>
      <w:pPr>
        <w:ind w:right="60"/>
        <w:spacing w:after="0" w:line="282" w:lineRule="auto"/>
        <w:rPr>
          <w:sz w:val="20"/>
          <w:szCs w:val="20"/>
          <w:color w:val="auto"/>
        </w:rPr>
      </w:pPr>
      <w:r>
        <w:rPr>
          <w:rFonts w:ascii="Arial" w:cs="Arial" w:eastAsia="Arial" w:hAnsi="Arial"/>
          <w:sz w:val="16"/>
          <w:szCs w:val="16"/>
          <w:color w:val="auto"/>
        </w:rPr>
        <w:t>We will pay the costs of soliciting proxies sought by the Board. Proxies may be solicited on our behalf by our directors, officers or employees telephonically, electronically or by other means of communication. We have engaged Morrow Sodali LLC to assist us in the solicitation of proxies at a cost to us of $11,000, plus out-of-pocket expenses. We have requested that banks, brokers and other custodians and nominees who hold ordinary shares on behalf of beneficial owners forward soliciting materials to those beneficial owners. Upon request, we will reimburse banks, brokers and other custodians and nominees for reasonable expenses incurred by them in forwarding these soliciting materials to beneficial owners of our ordinary shares.</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color w:val="0C3471"/>
        </w:rPr>
        <w:t>Why did I receive a notice in the mail regarding the Internet availability of the proxy materials instead of a paper copy of the proxy materials?</w:t>
      </w:r>
    </w:p>
    <w:p>
      <w:pPr>
        <w:spacing w:after="0" w:line="113" w:lineRule="exact"/>
        <w:rPr>
          <w:sz w:val="20"/>
          <w:szCs w:val="20"/>
          <w:color w:val="auto"/>
        </w:rPr>
      </w:pPr>
    </w:p>
    <w:p>
      <w:pPr>
        <w:ind w:right="60"/>
        <w:spacing w:after="0" w:line="276" w:lineRule="auto"/>
        <w:rPr>
          <w:sz w:val="20"/>
          <w:szCs w:val="20"/>
          <w:color w:val="auto"/>
        </w:rPr>
      </w:pPr>
      <w:r>
        <w:rPr>
          <w:rFonts w:ascii="Arial" w:cs="Arial" w:eastAsia="Arial" w:hAnsi="Arial"/>
          <w:sz w:val="16"/>
          <w:szCs w:val="16"/>
          <w:color w:val="auto"/>
        </w:rPr>
        <w:t>As explained in more detail below, we are using the “notice and access” system adopted by the SEC relating to the delivery of our proxy materials over the Internet. As a result, we mailed to our shareholders of record a notice about the Internet availability of the proxy materials instead of a paper copy of the proxy materials. Shareholders who received the notice will have the ability to access the proxy materials over the Internet and to request a paper copy of the proxy materials by mail,</w:t>
      </w:r>
    </w:p>
    <w:p>
      <w:pPr>
        <w:spacing w:after="0" w:line="3"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e-mail or telephone. Instructions on how to access the proxy materials over the Internet or to request a paper copy may be found on the notice. In addition, the notice contains instructions on how shareholders may request proxy materials in printed form by mail or electronically by e-mail on an ongoing basis. The Notice of Internet Availability of Proxy Materials also serves as a Notice of Meeting.</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color w:val="0C3471"/>
        </w:rPr>
        <w:t>What are the “notice and access” rules and how do they affect the delivery of the proxy materials?</w:t>
      </w:r>
    </w:p>
    <w:p>
      <w:pPr>
        <w:spacing w:after="0" w:line="113"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SEC’s notice and access rules allow us to deliver proxy materials to our shareholders by posting the materials on an Internet website, notifying shareholders of the availability of the proxy materials on the Internet, and sending paper copies of proxy materials upon shareholder request. We believe that the notice and access rules allow us to use Internet technology that many shareholders prefer, continue to provide our shareholders with the information that they need, and, at the same time, ensure more prompt delivery of the proxy materials. The notice and access rules also lower our cost of printing and delivering the proxy materials and minimize the environmental impact of printing paper copies.</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b w:val="1"/>
          <w:bCs w:val="1"/>
          <w:color w:val="0C3471"/>
        </w:rPr>
        <w:t>Why did I receive more than one Notice of Internet Availability of Proxy Materials or proxy card?</w:t>
      </w:r>
    </w:p>
    <w:p>
      <w:pPr>
        <w:spacing w:after="0" w:line="113"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You may have received multiple Notices of Internet Availability of Proxy Materials or proxy cards if you hold your shares in different ways or accounts (for example, 401(k) accounts, joint tenancy, trusts or custodial accounts) or in multiple accounts. If you are the beneficial owner of shares held in “street name,” you will receive your voting information from your bank, broker or other custodian or nominee, and you will vote as indicated in the materials you receive from your bank, broker or other custodian or nominee. You should vote your proxy for each separate account you have.</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600" w:hanging="574"/>
        <w:spacing w:after="0"/>
        <w:tabs>
          <w:tab w:leader="none" w:pos="600" w:val="left"/>
        </w:tabs>
        <w:numPr>
          <w:ilvl w:val="0"/>
          <w:numId w:val="161"/>
        </w:numPr>
        <w:rPr>
          <w:rFonts w:ascii="Arial" w:cs="Arial" w:eastAsia="Arial" w:hAnsi="Arial"/>
          <w:sz w:val="16"/>
          <w:szCs w:val="16"/>
          <w:b w:val="1"/>
          <w:bCs w:val="1"/>
          <w:color w:val="auto"/>
        </w:rPr>
      </w:pPr>
      <w:r>
        <w:rPr>
          <w:rFonts w:ascii="Arial" w:cs="Arial" w:eastAsia="Arial" w:hAnsi="Arial"/>
          <w:sz w:val="16"/>
          <w:szCs w:val="16"/>
          <w:color w:val="auto"/>
        </w:rPr>
        <w:t xml:space="preserve">Pentair </w:t>
      </w:r>
      <w:r>
        <w:rPr>
          <w:rFonts w:ascii="Arial" w:cs="Arial" w:eastAsia="Arial" w:hAnsi="Arial"/>
          <w:sz w:val="16"/>
          <w:szCs w:val="16"/>
          <w:b w:val="1"/>
          <w:bCs w:val="1"/>
          <w:color w:val="0C3471"/>
        </w:rPr>
        <w:t>|</w:t>
      </w:r>
      <w:r>
        <w:rPr>
          <w:rFonts w:ascii="Arial" w:cs="Arial" w:eastAsia="Arial" w:hAnsi="Arial"/>
          <w:sz w:val="16"/>
          <w:szCs w:val="16"/>
          <w:color w:val="auto"/>
        </w:rPr>
        <w:t xml:space="preserve"> </w:t>
      </w:r>
      <w:r>
        <w:rPr>
          <w:rFonts w:ascii="Arial" w:cs="Arial" w:eastAsia="Arial" w:hAnsi="Arial"/>
          <w:sz w:val="16"/>
          <w:szCs w:val="16"/>
          <w:b w:val="1"/>
          <w:bCs w:val="1"/>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213995</wp:posOffset>
            </wp:positionV>
            <wp:extent cx="7157720" cy="4254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88" w:name="page89"/>
    <w:bookmarkEnd w:id="88"/>
    <w:p>
      <w:pPr>
        <w:ind w:left="1080" w:right="1120"/>
        <w:spacing w:after="0" w:line="262" w:lineRule="auto"/>
        <w:rPr>
          <w:sz w:val="20"/>
          <w:szCs w:val="20"/>
          <w:color w:val="auto"/>
        </w:rPr>
      </w:pPr>
      <w:r>
        <w:rPr>
          <w:rFonts w:ascii="Arial" w:cs="Arial" w:eastAsia="Arial" w:hAnsi="Arial"/>
          <w:sz w:val="43"/>
          <w:szCs w:val="43"/>
          <w:b w:val="1"/>
          <w:bCs w:val="1"/>
          <w:color w:val="0C3471"/>
        </w:rPr>
        <w:t>Shareholder Proposals and Nominations for the 2027 Annual General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-443230</wp:posOffset>
            </wp:positionV>
            <wp:extent cx="445770" cy="47180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445770" cy="471805"/>
                    </a:xfrm>
                    <a:prstGeom prst="rect">
                      <a:avLst/>
                    </a:prstGeom>
                    <a:noFill/>
                  </pic:spPr>
                </pic:pic>
              </a:graphicData>
            </a:graphic>
          </wp:anchor>
        </w:drawing>
      </w:r>
    </w:p>
    <w:p>
      <w:pPr>
        <w:ind w:left="1080"/>
        <w:spacing w:after="0"/>
        <w:rPr>
          <w:sz w:val="20"/>
          <w:szCs w:val="20"/>
          <w:color w:val="auto"/>
        </w:rPr>
      </w:pPr>
      <w:r>
        <w:rPr>
          <w:rFonts w:ascii="Arial" w:cs="Arial" w:eastAsia="Arial" w:hAnsi="Arial"/>
          <w:sz w:val="43"/>
          <w:szCs w:val="43"/>
          <w:b w:val="1"/>
          <w:bCs w:val="1"/>
          <w:color w:val="0C3471"/>
        </w:rPr>
        <w:t>of Shareholders</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6"/>
          <w:szCs w:val="16"/>
          <w:b w:val="1"/>
          <w:bCs w:val="1"/>
          <w:color w:val="0C3471"/>
        </w:rPr>
        <w:t>Rule 14a-8 Proposals:</w:t>
      </w:r>
    </w:p>
    <w:p>
      <w:pPr>
        <w:spacing w:after="0" w:line="127" w:lineRule="exact"/>
        <w:rPr>
          <w:sz w:val="20"/>
          <w:szCs w:val="20"/>
          <w:color w:val="auto"/>
        </w:rPr>
      </w:pPr>
    </w:p>
    <w:p>
      <w:pPr>
        <w:ind w:right="140"/>
        <w:spacing w:after="0" w:line="275" w:lineRule="auto"/>
        <w:rPr>
          <w:sz w:val="20"/>
          <w:szCs w:val="20"/>
          <w:color w:val="auto"/>
        </w:rPr>
      </w:pPr>
      <w:r>
        <w:rPr>
          <w:rFonts w:ascii="Arial" w:cs="Arial" w:eastAsia="Arial" w:hAnsi="Arial"/>
          <w:sz w:val="16"/>
          <w:szCs w:val="16"/>
          <w:color w:val="auto"/>
        </w:rPr>
        <w:t>The deadline for submitting a shareholder proposal for inclusion in our proxy materials for our 2027 Annual General Meeting pursuant to SEC Rule 14a-8 is November 20, 2026. Any such proposal must meet the requirements set forth in the rules and regulations of the SEC, including Rule 14a-8, for such proposals to be eligible for inclusion in our Proxy Statement and form of proxy for our 2027 Annual General Meeting.</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color w:val="0C3471"/>
        </w:rPr>
        <w:t>Nomination of Directors Pursuant to Proxy Access Provisions:</w:t>
      </w:r>
    </w:p>
    <w:p>
      <w:pPr>
        <w:spacing w:after="0" w:line="140" w:lineRule="exact"/>
        <w:rPr>
          <w:sz w:val="20"/>
          <w:szCs w:val="20"/>
          <w:color w:val="auto"/>
        </w:rPr>
      </w:pPr>
    </w:p>
    <w:p>
      <w:pPr>
        <w:ind w:right="60"/>
        <w:spacing w:after="0" w:line="257" w:lineRule="auto"/>
        <w:rPr>
          <w:sz w:val="20"/>
          <w:szCs w:val="20"/>
          <w:color w:val="auto"/>
        </w:rPr>
      </w:pPr>
      <w:r>
        <w:rPr>
          <w:rFonts w:ascii="Arial" w:cs="Arial" w:eastAsia="Arial" w:hAnsi="Arial"/>
          <w:sz w:val="16"/>
          <w:szCs w:val="16"/>
          <w:color w:val="auto"/>
        </w:rPr>
        <w:t>Eligible shareholders may under certain circumstances be able to nominate and include in our proxy materials a specified number of candidates for election as directors under the proxy access provisions of our Articles of Association. Among other requirements in our Articles of Association, to nominate a director under the proxy access provisions of our Articles of Association, a shareholder must give written notice to our Corporate Secretary that complies with our Articles of Association no earlier than 150 days and no later than 120 days prior to the first anniversary of the date our definitive Proxy Statement was released to shareholders in connection with the prior year’s Annual General Meeting. Accordingly, we must receive notice of a shareholder’s nomination for the 2027 Annual General Meeting pursuant to the proxy access provisions of our Articles of Association no earlier than October 21, 2026, and no later than November 20, 2026. If the notice is received outside of that time frame, then the notice will be considered untimely and we are not required to include the nominees in our proxy materials for the 2027 Annual General Meeting.</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color w:val="0C3471"/>
        </w:rPr>
        <w:t>Advance Notice Proposals and Director Nominations:</w:t>
      </w:r>
    </w:p>
    <w:p>
      <w:pPr>
        <w:spacing w:after="0" w:line="140" w:lineRule="exact"/>
        <w:rPr>
          <w:sz w:val="20"/>
          <w:szCs w:val="20"/>
          <w:color w:val="auto"/>
        </w:rPr>
      </w:pPr>
    </w:p>
    <w:p>
      <w:pPr>
        <w:jc w:val="both"/>
        <w:ind w:right="80"/>
        <w:spacing w:after="0" w:line="275" w:lineRule="auto"/>
        <w:rPr>
          <w:sz w:val="20"/>
          <w:szCs w:val="20"/>
          <w:color w:val="auto"/>
        </w:rPr>
      </w:pPr>
      <w:r>
        <w:rPr>
          <w:rFonts w:ascii="Arial" w:cs="Arial" w:eastAsia="Arial" w:hAnsi="Arial"/>
          <w:sz w:val="16"/>
          <w:szCs w:val="16"/>
          <w:color w:val="auto"/>
        </w:rPr>
        <w:t>A shareholder who intends to present business, other than a shareholder proposal pursuant to Rule 14a-8, or to nominate a director, other than pursuant to the proxy access provisions of our Articles of Association, at the 2027 Annual General Meeting must comply with the requirements set forth in our Articles of Association.</w:t>
      </w:r>
    </w:p>
    <w:p>
      <w:pPr>
        <w:spacing w:after="0" w:line="56" w:lineRule="exact"/>
        <w:rPr>
          <w:sz w:val="20"/>
          <w:szCs w:val="20"/>
          <w:color w:val="auto"/>
        </w:rPr>
      </w:pPr>
    </w:p>
    <w:p>
      <w:pPr>
        <w:ind w:right="100"/>
        <w:spacing w:after="0" w:line="258" w:lineRule="auto"/>
        <w:rPr>
          <w:sz w:val="20"/>
          <w:szCs w:val="20"/>
          <w:color w:val="auto"/>
        </w:rPr>
      </w:pPr>
      <w:r>
        <w:rPr>
          <w:rFonts w:ascii="Arial" w:cs="Arial" w:eastAsia="Arial" w:hAnsi="Arial"/>
          <w:sz w:val="16"/>
          <w:szCs w:val="16"/>
          <w:color w:val="auto"/>
        </w:rPr>
        <w:t>Among other requirements in our Articles of Association, to present business or nominate a director at an Annual General Meeting, a shareholder must give written notice that complies with the Articles of Association to our Corporate Secretary no earlier than the close of business 70 days and no later than 45 days prior to the first anniversary of the date our Proxy Statement was released to shareholders in connection with the prior year’s Annual General Meeting. Accordingly, we must receive notice of a shareholder’s intent to present business, other than pursuant to SEC Rule 14a-8, or to nominate a director, other than pursuant to the proxy access provisions of our Articles of Association, no earlier than January 9, 2027, and no later than February 3, 2027. If the notice is received outside of that time frame, then the notice will be considered untimely and we are not required to present such proposal or nomination at the 2027 Annual General Meeting. If the Board chooses to present a matter of business submitted under our Articles of Association at the 2027 Annual General Meeting, then the persons named in the proxies solicited by the Board for the 2027 Annual General Meeting may exercise discretionary voting power with respect to such proposal.</w:t>
      </w:r>
    </w:p>
    <w:p>
      <w:pPr>
        <w:spacing w:after="0" w:line="83" w:lineRule="exact"/>
        <w:rPr>
          <w:sz w:val="20"/>
          <w:szCs w:val="20"/>
          <w:color w:val="auto"/>
        </w:rPr>
      </w:pPr>
    </w:p>
    <w:p>
      <w:pPr>
        <w:jc w:val="both"/>
        <w:ind w:right="60"/>
        <w:spacing w:after="0" w:line="275" w:lineRule="auto"/>
        <w:rPr>
          <w:sz w:val="20"/>
          <w:szCs w:val="20"/>
          <w:color w:val="auto"/>
        </w:rPr>
      </w:pPr>
      <w:r>
        <w:rPr>
          <w:rFonts w:ascii="Arial" w:cs="Arial" w:eastAsia="Arial" w:hAnsi="Arial"/>
          <w:sz w:val="16"/>
          <w:szCs w:val="16"/>
          <w:color w:val="auto"/>
        </w:rPr>
        <w:t>In addition to satisfying the foregoing requirements, to comply with the universal proxy rules, shareholders who intend to solicit proxies in support of director nominees other than the Board’s nominees must provide notice that sets forth the information required by Rule 14a-19 under the Securities Exchange Act of 1934 no later than February 8, 2027.</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color w:val="0C3471"/>
        </w:rPr>
        <w:t>Send Notices to:</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Shareholder proposals or nominations pursuant to any of the foregoing should be sent to us at our offices: Pentair plc, Ten Earlsfort Terrace, Dublin 2, D02</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T380, Ireland, Attention: Corporate Secretary.</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b w:val="1"/>
          <w:bCs w:val="1"/>
          <w:color w:val="0C3471"/>
        </w:rPr>
        <w:t>Access to our Articles of Association:</w:t>
      </w:r>
    </w:p>
    <w:p>
      <w:pPr>
        <w:spacing w:after="0" w:line="127" w:lineRule="exact"/>
        <w:rPr>
          <w:sz w:val="20"/>
          <w:szCs w:val="20"/>
          <w:color w:val="auto"/>
        </w:rPr>
      </w:pPr>
    </w:p>
    <w:p>
      <w:pPr>
        <w:ind w:right="300"/>
        <w:spacing w:after="0" w:line="275" w:lineRule="auto"/>
        <w:rPr>
          <w:sz w:val="20"/>
          <w:szCs w:val="20"/>
          <w:color w:val="auto"/>
        </w:rPr>
      </w:pPr>
      <w:r>
        <w:rPr>
          <w:rFonts w:ascii="Arial" w:cs="Arial" w:eastAsia="Arial" w:hAnsi="Arial"/>
          <w:sz w:val="16"/>
          <w:szCs w:val="16"/>
          <w:color w:val="auto"/>
        </w:rPr>
        <w:t>Our Articles of Association can be found on the website of the U.S. Securities and Exchange Commission by searching its EDGAR archives at https://www.sec.gov/edgar/search/. Shareholders may also obtain a copy from us free of charge by submitting a written request to our principal executive offices at Pentair plc, Regal House, 70 London Road, Twickenham, London, TW1 3QS, United Kingdom, Attention: Corporate Secretary.</w:t>
      </w:r>
    </w:p>
    <w:p>
      <w:pPr>
        <w:spacing w:after="0" w:line="200" w:lineRule="exact"/>
        <w:rPr>
          <w:sz w:val="20"/>
          <w:szCs w:val="20"/>
          <w:color w:val="auto"/>
        </w:rPr>
      </w:pP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10780" w:type="dxa"/>
            <w:vAlign w:val="bottom"/>
          </w:tcPr>
          <w:p>
            <w:pPr>
              <w:ind w:left="8260"/>
              <w:spacing w:after="0"/>
              <w:rPr>
                <w:sz w:val="20"/>
                <w:szCs w:val="20"/>
                <w:color w:val="auto"/>
              </w:rPr>
            </w:pPr>
            <w:r>
              <w:rPr>
                <w:rFonts w:ascii="Arial" w:cs="Arial" w:eastAsia="Arial" w:hAnsi="Arial"/>
                <w:sz w:val="16"/>
                <w:szCs w:val="16"/>
                <w:b w:val="1"/>
                <w:bCs w:val="1"/>
                <w:color w:val="auto"/>
              </w:rPr>
              <w:t xml:space="preserve">2026 Proxy Statement </w:t>
            </w:r>
            <w:r>
              <w:rPr>
                <w:rFonts w:ascii="Arial" w:cs="Arial" w:eastAsia="Arial" w:hAnsi="Arial"/>
                <w:sz w:val="16"/>
                <w:szCs w:val="16"/>
                <w:b w:val="1"/>
                <w:bCs w:val="1"/>
                <w:color w:val="0C3471"/>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Pentair</w:t>
            </w:r>
          </w:p>
        </w:tc>
        <w:tc>
          <w:tcPr>
            <w:tcW w:w="460" w:type="dxa"/>
            <w:vAlign w:val="bottom"/>
          </w:tcPr>
          <w:p>
            <w:pPr>
              <w:jc w:val="right"/>
              <w:spacing w:after="0"/>
              <w:rPr>
                <w:sz w:val="20"/>
                <w:szCs w:val="20"/>
                <w:color w:val="auto"/>
              </w:rPr>
            </w:pPr>
            <w:r>
              <w:rPr>
                <w:rFonts w:ascii="Arial" w:cs="Arial" w:eastAsia="Arial" w:hAnsi="Arial"/>
                <w:sz w:val="16"/>
                <w:szCs w:val="16"/>
                <w:b w:val="1"/>
                <w:bCs w:val="1"/>
                <w:color w:val="auto"/>
              </w:rPr>
              <w:t>87</w:t>
            </w:r>
          </w:p>
        </w:tc>
      </w:tr>
      <w:tr>
        <w:trPr>
          <w:trHeight w:val="311"/>
        </w:trPr>
        <w:tc>
          <w:tcPr>
            <w:tcW w:w="107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52" w:right="339" w:bottom="1440" w:gutter="0" w:footer="0" w:header="0"/>
        </w:sectPr>
      </w:pPr>
    </w:p>
    <w:bookmarkStart w:id="89" w:name="page90"/>
    <w:bookmarkEnd w:id="89"/>
    <w:p>
      <w:pPr>
        <w:spacing w:after="0" w:line="7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216535</wp:posOffset>
            </wp:positionH>
            <wp:positionV relativeFrom="page">
              <wp:posOffset>877570</wp:posOffset>
            </wp:positionV>
            <wp:extent cx="445770" cy="47180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clrChange>
                        <a:clrFrom>
                          <a:srgbClr val="FFFFFF"/>
                        </a:clrFrom>
                        <a:clrTo>
                          <a:srgbClr val="FFFFFF">
                            <a:alpha val="0"/>
                          </a:srgbClr>
                        </a:clrTo>
                      </a:clrChange>
                      <a:extLst>
                        <a:ext uri="{28A0092B-C50C-407E-A947-70E740481C1C}"/>
                      </a:extLst>
                    </a:blip>
                    <a:srcRect/>
                    <a:stretch>
                      <a:fillRect/>
                    </a:stretch>
                  </pic:blipFill>
                  <pic:spPr bwMode="auto">
                    <a:xfrm>
                      <a:off x="0" y="0"/>
                      <a:ext cx="445770" cy="471805"/>
                    </a:xfrm>
                    <a:prstGeom prst="rect">
                      <a:avLst/>
                    </a:prstGeom>
                    <a:noFill/>
                  </pic:spPr>
                </pic:pic>
              </a:graphicData>
            </a:graphic>
          </wp:anchor>
        </w:drawing>
      </w:r>
    </w:p>
    <w:p>
      <w:pPr>
        <w:ind w:left="1080"/>
        <w:spacing w:after="0"/>
        <w:rPr>
          <w:sz w:val="20"/>
          <w:szCs w:val="20"/>
          <w:color w:val="auto"/>
        </w:rPr>
      </w:pPr>
      <w:r>
        <w:rPr>
          <w:rFonts w:ascii="Arial" w:cs="Arial" w:eastAsia="Arial" w:hAnsi="Arial"/>
          <w:sz w:val="43"/>
          <w:szCs w:val="43"/>
          <w:b w:val="1"/>
          <w:bCs w:val="1"/>
          <w:color w:val="0C3471"/>
        </w:rPr>
        <w:t>Irish Disclosure of Shareholder Interests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right="20"/>
        <w:spacing w:after="0" w:line="278" w:lineRule="auto"/>
        <w:rPr>
          <w:sz w:val="20"/>
          <w:szCs w:val="20"/>
          <w:color w:val="auto"/>
        </w:rPr>
      </w:pPr>
      <w:r>
        <w:rPr>
          <w:rFonts w:ascii="Arial" w:cs="Arial" w:eastAsia="Arial" w:hAnsi="Arial"/>
          <w:sz w:val="16"/>
          <w:szCs w:val="16"/>
          <w:color w:val="auto"/>
        </w:rPr>
        <w:t>Under the Companies Act, our shareholders must notify us if, as a result of a transaction, the shareholder will become interested in 3% or more of our shares, or if as a result of a transaction, a shareholder who was interested in more than 3% of our shares ceases to be so interested. Where a shareholder is interested in more than 3% of our shares, the shareholder must notify us of any alteration of his or her interest that brings his or her total holding through the nearest whole percentage number, whether an increase or a reduction. The relevant percentage figure is calculated by reference to the aggregate nominal value of the shares in which the shareholder is interested as a proportion of the entire nominal value of our issued share capital (or any such class of share capital in issue), and disclosable interests in our shares include any interests in our shares of any kind whatsoever. Where the percentage level of the shareholder’s interest does not amount to a whole percentage this figure may be rounded down to the next whole number. We must be notified within five business days of the transaction or alteration of the shareholder’s interests that gave rise to the notification requirement. If a shareholder fails to comply with these notification requirements, the shareholder’s rights in respect of any of our ordinary shares it holds will not be enforceable, either directly or indirectly. However, such person may apply to the court to have the rights attaching to such shares reinstated.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267335</wp:posOffset>
            </wp:positionV>
            <wp:extent cx="445770" cy="47180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445770" cy="471805"/>
                    </a:xfrm>
                    <a:prstGeom prst="rect">
                      <a:avLst/>
                    </a:prstGeom>
                    <a:noFill/>
                  </pic:spPr>
                </pic:pic>
              </a:graphicData>
            </a:graphic>
          </wp:anchor>
        </w:drawing>
      </w:r>
    </w:p>
    <w:p>
      <w:pPr>
        <w:spacing w:after="0" w:line="200" w:lineRule="exact"/>
        <w:rPr>
          <w:sz w:val="20"/>
          <w:szCs w:val="20"/>
          <w:color w:val="auto"/>
        </w:rPr>
      </w:pPr>
    </w:p>
    <w:p>
      <w:pPr>
        <w:spacing w:after="0" w:line="333" w:lineRule="exact"/>
        <w:rPr>
          <w:sz w:val="20"/>
          <w:szCs w:val="20"/>
          <w:color w:val="auto"/>
        </w:rPr>
      </w:pPr>
    </w:p>
    <w:p>
      <w:pPr>
        <w:ind w:left="1080"/>
        <w:spacing w:after="0"/>
        <w:rPr>
          <w:sz w:val="20"/>
          <w:szCs w:val="20"/>
          <w:color w:val="auto"/>
        </w:rPr>
      </w:pPr>
      <w:r>
        <w:rPr>
          <w:rFonts w:ascii="Arial" w:cs="Arial" w:eastAsia="Arial" w:hAnsi="Arial"/>
          <w:sz w:val="43"/>
          <w:szCs w:val="43"/>
          <w:b w:val="1"/>
          <w:bCs w:val="1"/>
          <w:color w:val="0C3471"/>
        </w:rPr>
        <w:t>2025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right="20"/>
        <w:spacing w:after="0" w:line="292" w:lineRule="auto"/>
        <w:rPr>
          <w:sz w:val="20"/>
          <w:szCs w:val="20"/>
          <w:color w:val="auto"/>
        </w:rPr>
      </w:pPr>
      <w:r>
        <w:rPr>
          <w:rFonts w:ascii="Arial" w:cs="Arial" w:eastAsia="Arial" w:hAnsi="Arial"/>
          <w:sz w:val="16"/>
          <w:szCs w:val="16"/>
          <w:color w:val="auto"/>
        </w:rPr>
        <w:t>Any shareholder wishing to review, without charge, a copy of our 2025 Annual Report on Form 10-K (without exhibits) filed with the SEC should write to us at our principal executive offices at Pentair plc, Regal House, 70 London Road, Twickenham, London, TW1 3QS, United Kingdom, Attention: Corporate Secretary.</w:t>
      </w:r>
    </w:p>
    <w:p>
      <w:pPr>
        <w:spacing w:after="0" w:line="379" w:lineRule="exact"/>
        <w:rPr>
          <w:sz w:val="20"/>
          <w:szCs w:val="20"/>
          <w:color w:val="auto"/>
        </w:rPr>
      </w:pPr>
    </w:p>
    <w:p>
      <w:pPr>
        <w:ind w:left="1080"/>
        <w:spacing w:after="0"/>
        <w:rPr>
          <w:sz w:val="20"/>
          <w:szCs w:val="20"/>
          <w:color w:val="auto"/>
        </w:rPr>
      </w:pPr>
      <w:r>
        <w:rPr>
          <w:rFonts w:ascii="Arial" w:cs="Arial" w:eastAsia="Arial" w:hAnsi="Arial"/>
          <w:sz w:val="43"/>
          <w:szCs w:val="43"/>
          <w:b w:val="1"/>
          <w:bCs w:val="1"/>
          <w:color w:val="0C3471"/>
        </w:rPr>
        <w:t>Reduce Duplicate Mailings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-277495</wp:posOffset>
            </wp:positionV>
            <wp:extent cx="445770" cy="47180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445770" cy="471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line="282" w:lineRule="auto"/>
        <w:rPr>
          <w:sz w:val="20"/>
          <w:szCs w:val="20"/>
          <w:color w:val="auto"/>
        </w:rPr>
      </w:pPr>
      <w:r>
        <w:rPr>
          <w:rFonts w:ascii="Arial" w:cs="Arial" w:eastAsia="Arial" w:hAnsi="Arial"/>
          <w:sz w:val="16"/>
          <w:szCs w:val="16"/>
          <w:color w:val="auto"/>
        </w:rPr>
        <w:t>To reduce duplicate mailings, we are now sending only one copy of our Notice of Internet Availability of Proxy Materials or Annual Report to Shareholders and Proxy Statement, as applicable, to multiple shareholders sharing an address unless we receive contrary instructions from one or more of the shareholders. Upon written request, we will promptly deliver a separate copy of these documents to a shareholder at a shared address. If you wish to receive separate copies of these documents, please notify us by writing at Pentair plc, Regal House, 70 London Road, Twickenham, London, TW1 3QS, United Kingdom, Attention: Corporate Secretary, or by telephone at +44 74 9421 6154.</w:t>
      </w:r>
    </w:p>
    <w:p>
      <w:pPr>
        <w:spacing w:after="0" w:line="80" w:lineRule="exact"/>
        <w:rPr>
          <w:sz w:val="20"/>
          <w:szCs w:val="20"/>
          <w:color w:val="auto"/>
        </w:rPr>
      </w:pPr>
    </w:p>
    <w:p>
      <w:pPr>
        <w:ind w:right="40"/>
        <w:spacing w:after="0" w:line="292" w:lineRule="auto"/>
        <w:rPr>
          <w:sz w:val="20"/>
          <w:szCs w:val="20"/>
          <w:color w:val="auto"/>
        </w:rPr>
      </w:pPr>
      <w:r>
        <w:rPr>
          <w:rFonts w:ascii="Arial" w:cs="Arial" w:eastAsia="Arial" w:hAnsi="Arial"/>
          <w:sz w:val="16"/>
          <w:szCs w:val="16"/>
          <w:color w:val="auto"/>
        </w:rPr>
        <w:t>If you are receiving duplicate mailings, you may authorize us to discontinue mailings of multiple Notices of Internet Availability of Proxy Materials or Annual Reports to Shareholders and Proxy Statements, as applicable. To discontinue duplicate mailings, notify us by writing at Pentair plc, Regal House, 70 London Road, Twickenham, London, TW1 3QS, United Kingdom, Attention: Corporate Secretary.</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600" w:hanging="574"/>
        <w:spacing w:after="0"/>
        <w:tabs>
          <w:tab w:leader="none" w:pos="600" w:val="left"/>
        </w:tabs>
        <w:numPr>
          <w:ilvl w:val="0"/>
          <w:numId w:val="162"/>
        </w:numPr>
        <w:rPr>
          <w:rFonts w:ascii="Arial" w:cs="Arial" w:eastAsia="Arial" w:hAnsi="Arial"/>
          <w:sz w:val="16"/>
          <w:szCs w:val="16"/>
          <w:b w:val="1"/>
          <w:bCs w:val="1"/>
          <w:color w:val="auto"/>
        </w:rPr>
      </w:pPr>
      <w:r>
        <w:rPr>
          <w:rFonts w:ascii="Arial" w:cs="Arial" w:eastAsia="Arial" w:hAnsi="Arial"/>
          <w:sz w:val="16"/>
          <w:szCs w:val="16"/>
          <w:color w:val="auto"/>
        </w:rPr>
        <w:t xml:space="preserve">Pentair </w:t>
      </w:r>
      <w:r>
        <w:rPr>
          <w:rFonts w:ascii="Arial" w:cs="Arial" w:eastAsia="Arial" w:hAnsi="Arial"/>
          <w:sz w:val="16"/>
          <w:szCs w:val="16"/>
          <w:b w:val="1"/>
          <w:bCs w:val="1"/>
          <w:color w:val="0C3471"/>
        </w:rPr>
        <w:t>|</w:t>
      </w:r>
      <w:r>
        <w:rPr>
          <w:rFonts w:ascii="Arial" w:cs="Arial" w:eastAsia="Arial" w:hAnsi="Arial"/>
          <w:sz w:val="16"/>
          <w:szCs w:val="16"/>
          <w:color w:val="auto"/>
        </w:rPr>
        <w:t xml:space="preserve"> </w:t>
      </w:r>
      <w:r>
        <w:rPr>
          <w:rFonts w:ascii="Arial" w:cs="Arial" w:eastAsia="Arial" w:hAnsi="Arial"/>
          <w:sz w:val="16"/>
          <w:szCs w:val="16"/>
          <w:b w:val="1"/>
          <w:bCs w:val="1"/>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205105</wp:posOffset>
            </wp:positionV>
            <wp:extent cx="7157720" cy="4254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0" w:name="page91"/>
    <w:bookmarkEnd w:id="90"/>
    <w:p>
      <w:pPr>
        <w:ind w:left="1080"/>
        <w:spacing w:after="0"/>
        <w:rPr>
          <w:sz w:val="20"/>
          <w:szCs w:val="20"/>
          <w:color w:val="auto"/>
        </w:rPr>
      </w:pPr>
      <w:r>
        <w:rPr>
          <w:rFonts w:ascii="Arial" w:cs="Arial" w:eastAsia="Arial" w:hAnsi="Arial"/>
          <w:sz w:val="43"/>
          <w:szCs w:val="43"/>
          <w:b w:val="1"/>
          <w:bCs w:val="1"/>
          <w:color w:val="0C3471"/>
        </w:rPr>
        <w:drawing>
          <wp:anchor simplePos="0" relativeHeight="251657728" behindDoc="1" locked="0" layoutInCell="0" allowOverlap="1">
            <wp:simplePos x="0" y="0"/>
            <wp:positionH relativeFrom="page">
              <wp:posOffset>216535</wp:posOffset>
            </wp:positionH>
            <wp:positionV relativeFrom="page">
              <wp:posOffset>740410</wp:posOffset>
            </wp:positionV>
            <wp:extent cx="445770" cy="47180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clrChange>
                        <a:clrFrom>
                          <a:srgbClr val="FFFFFF"/>
                        </a:clrFrom>
                        <a:clrTo>
                          <a:srgbClr val="FFFFFF">
                            <a:alpha val="0"/>
                          </a:srgbClr>
                        </a:clrTo>
                      </a:clrChange>
                      <a:extLst>
                        <a:ext uri="{28A0092B-C50C-407E-A947-70E740481C1C}"/>
                      </a:extLst>
                    </a:blip>
                    <a:srcRect/>
                    <a:stretch>
                      <a:fillRect/>
                    </a:stretch>
                  </pic:blipFill>
                  <pic:spPr bwMode="auto">
                    <a:xfrm>
                      <a:off x="0" y="0"/>
                      <a:ext cx="445770" cy="471805"/>
                    </a:xfrm>
                    <a:prstGeom prst="rect">
                      <a:avLst/>
                    </a:prstGeom>
                    <a:noFill/>
                  </pic:spPr>
                </pic:pic>
              </a:graphicData>
            </a:graphic>
          </wp:anchor>
        </w:drawing>
        <w:t>Appendix A</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32"/>
          <w:szCs w:val="32"/>
          <w:color w:val="0C3471"/>
        </w:rPr>
        <w:t>Reconciliation of GAAP to Non-GAAP Financial Measures</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b w:val="1"/>
          <w:bCs w:val="1"/>
          <w:color w:val="0C3471"/>
        </w:rPr>
        <w:t>PENTAIR PLC AND SUBSIDIARIES</w:t>
      </w:r>
    </w:p>
    <w:p>
      <w:pPr>
        <w:spacing w:after="0" w:line="39" w:lineRule="exact"/>
        <w:rPr>
          <w:sz w:val="20"/>
          <w:szCs w:val="20"/>
          <w:color w:val="auto"/>
        </w:rPr>
      </w:pPr>
    </w:p>
    <w:p>
      <w:pPr>
        <w:ind w:right="120"/>
        <w:spacing w:after="0" w:line="323" w:lineRule="auto"/>
        <w:rPr>
          <w:sz w:val="20"/>
          <w:szCs w:val="20"/>
          <w:color w:val="auto"/>
        </w:rPr>
      </w:pPr>
      <w:r>
        <w:rPr>
          <w:rFonts w:ascii="Arial" w:cs="Arial" w:eastAsia="Arial" w:hAnsi="Arial"/>
          <w:sz w:val="16"/>
          <w:szCs w:val="16"/>
          <w:b w:val="1"/>
          <w:bCs w:val="1"/>
          <w:color w:val="0C3471"/>
        </w:rPr>
        <w:t>RECONCILIATION OF GAAP YEARS ENDED DECEMBER 31, 2025, 2024, 2023, and 2022 TO NON-GAAP EXCLUDING THE EFFECT OF 2025, 2024, 2023, and 2022 ADJUSTMENTS (UNAUDITED)</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060" w:type="dxa"/>
            <w:vAlign w:val="bottom"/>
            <w:tcBorders>
              <w:bottom w:val="single" w:sz="8" w:color="0C3471"/>
            </w:tcBorders>
          </w:tcPr>
          <w:p>
            <w:pPr>
              <w:ind w:left="20"/>
              <w:spacing w:after="0"/>
              <w:rPr>
                <w:sz w:val="20"/>
                <w:szCs w:val="20"/>
                <w:color w:val="auto"/>
              </w:rPr>
            </w:pPr>
            <w:r>
              <w:rPr>
                <w:rFonts w:ascii="Arial" w:cs="Arial" w:eastAsia="Arial" w:hAnsi="Arial"/>
                <w:sz w:val="14"/>
                <w:szCs w:val="14"/>
                <w:b w:val="1"/>
                <w:bCs w:val="1"/>
                <w:color w:val="auto"/>
              </w:rPr>
              <w:t>In millions, except per-share data</w:t>
            </w:r>
          </w:p>
        </w:tc>
        <w:tc>
          <w:tcPr>
            <w:tcW w:w="700" w:type="dxa"/>
            <w:vAlign w:val="bottom"/>
            <w:tcBorders>
              <w:bottom w:val="single" w:sz="8" w:color="0C3471"/>
            </w:tcBorders>
          </w:tcPr>
          <w:p>
            <w:pPr>
              <w:spacing w:after="0"/>
              <w:rPr>
                <w:sz w:val="17"/>
                <w:szCs w:val="17"/>
                <w:color w:val="auto"/>
              </w:rPr>
            </w:pPr>
          </w:p>
        </w:tc>
        <w:tc>
          <w:tcPr>
            <w:tcW w:w="1100" w:type="dxa"/>
            <w:vAlign w:val="bottom"/>
            <w:tcBorders>
              <w:bottom w:val="single" w:sz="8" w:color="0C3471"/>
            </w:tcBorders>
          </w:tcPr>
          <w:p>
            <w:pPr>
              <w:jc w:val="right"/>
              <w:ind w:right="499"/>
              <w:spacing w:after="0"/>
              <w:rPr>
                <w:sz w:val="20"/>
                <w:szCs w:val="20"/>
                <w:color w:val="auto"/>
              </w:rPr>
            </w:pPr>
            <w:r>
              <w:rPr>
                <w:rFonts w:ascii="Arial" w:cs="Arial" w:eastAsia="Arial" w:hAnsi="Arial"/>
                <w:sz w:val="14"/>
                <w:szCs w:val="14"/>
                <w:b w:val="1"/>
                <w:bCs w:val="1"/>
                <w:color w:val="auto"/>
              </w:rPr>
              <w:t>2025</w:t>
            </w:r>
          </w:p>
        </w:tc>
        <w:tc>
          <w:tcPr>
            <w:tcW w:w="400" w:type="dxa"/>
            <w:vAlign w:val="bottom"/>
            <w:tcBorders>
              <w:bottom w:val="single" w:sz="8" w:color="0C3471"/>
            </w:tcBorders>
          </w:tcPr>
          <w:p>
            <w:pPr>
              <w:spacing w:after="0"/>
              <w:rPr>
                <w:sz w:val="17"/>
                <w:szCs w:val="17"/>
                <w:color w:val="auto"/>
              </w:rPr>
            </w:pPr>
          </w:p>
        </w:tc>
        <w:tc>
          <w:tcPr>
            <w:tcW w:w="1100" w:type="dxa"/>
            <w:vAlign w:val="bottom"/>
            <w:tcBorders>
              <w:bottom w:val="single" w:sz="8" w:color="0C3471"/>
            </w:tcBorders>
          </w:tcPr>
          <w:p>
            <w:pPr>
              <w:jc w:val="right"/>
              <w:ind w:right="519"/>
              <w:spacing w:after="0"/>
              <w:rPr>
                <w:sz w:val="20"/>
                <w:szCs w:val="20"/>
                <w:color w:val="auto"/>
              </w:rPr>
            </w:pPr>
            <w:r>
              <w:rPr>
                <w:rFonts w:ascii="Arial" w:cs="Arial" w:eastAsia="Arial" w:hAnsi="Arial"/>
                <w:sz w:val="14"/>
                <w:szCs w:val="14"/>
                <w:b w:val="1"/>
                <w:bCs w:val="1"/>
                <w:color w:val="auto"/>
              </w:rPr>
              <w:t>2024</w:t>
            </w:r>
          </w:p>
        </w:tc>
        <w:tc>
          <w:tcPr>
            <w:tcW w:w="380" w:type="dxa"/>
            <w:vAlign w:val="bottom"/>
            <w:tcBorders>
              <w:bottom w:val="single" w:sz="8" w:color="0C3471"/>
            </w:tcBorders>
          </w:tcPr>
          <w:p>
            <w:pPr>
              <w:spacing w:after="0"/>
              <w:rPr>
                <w:sz w:val="17"/>
                <w:szCs w:val="17"/>
                <w:color w:val="auto"/>
              </w:rPr>
            </w:pPr>
          </w:p>
        </w:tc>
        <w:tc>
          <w:tcPr>
            <w:tcW w:w="1100" w:type="dxa"/>
            <w:vAlign w:val="bottom"/>
            <w:tcBorders>
              <w:bottom w:val="single" w:sz="8" w:color="0C3471"/>
            </w:tcBorders>
          </w:tcPr>
          <w:p>
            <w:pPr>
              <w:jc w:val="right"/>
              <w:ind w:right="499"/>
              <w:spacing w:after="0"/>
              <w:rPr>
                <w:sz w:val="20"/>
                <w:szCs w:val="20"/>
                <w:color w:val="auto"/>
              </w:rPr>
            </w:pPr>
            <w:r>
              <w:rPr>
                <w:rFonts w:ascii="Arial" w:cs="Arial" w:eastAsia="Arial" w:hAnsi="Arial"/>
                <w:sz w:val="14"/>
                <w:szCs w:val="14"/>
                <w:b w:val="1"/>
                <w:bCs w:val="1"/>
                <w:color w:val="auto"/>
              </w:rPr>
              <w:t>2023</w:t>
            </w:r>
          </w:p>
        </w:tc>
        <w:tc>
          <w:tcPr>
            <w:tcW w:w="380" w:type="dxa"/>
            <w:vAlign w:val="bottom"/>
            <w:tcBorders>
              <w:bottom w:val="single" w:sz="8" w:color="0C3471"/>
            </w:tcBorders>
          </w:tcPr>
          <w:p>
            <w:pPr>
              <w:spacing w:after="0"/>
              <w:rPr>
                <w:sz w:val="17"/>
                <w:szCs w:val="17"/>
                <w:color w:val="auto"/>
              </w:rPr>
            </w:pPr>
          </w:p>
        </w:tc>
        <w:tc>
          <w:tcPr>
            <w:tcW w:w="1020" w:type="dxa"/>
            <w:vAlign w:val="bottom"/>
            <w:tcBorders>
              <w:bottom w:val="single" w:sz="8" w:color="0C3471"/>
            </w:tcBorders>
          </w:tcPr>
          <w:p>
            <w:pPr>
              <w:jc w:val="right"/>
              <w:ind w:right="419"/>
              <w:spacing w:after="0"/>
              <w:rPr>
                <w:sz w:val="20"/>
                <w:szCs w:val="20"/>
                <w:color w:val="auto"/>
              </w:rPr>
            </w:pPr>
            <w:r>
              <w:rPr>
                <w:rFonts w:ascii="Arial" w:cs="Arial" w:eastAsia="Arial" w:hAnsi="Arial"/>
                <w:sz w:val="14"/>
                <w:szCs w:val="14"/>
                <w:b w:val="1"/>
                <w:bCs w:val="1"/>
                <w:color w:val="auto"/>
              </w:rPr>
              <w:t>2022</w:t>
            </w:r>
          </w:p>
        </w:tc>
      </w:tr>
      <w:tr>
        <w:trPr>
          <w:trHeight w:val="227"/>
        </w:trPr>
        <w:tc>
          <w:tcPr>
            <w:tcW w:w="5060" w:type="dxa"/>
            <w:vAlign w:val="bottom"/>
          </w:tcPr>
          <w:p>
            <w:pPr>
              <w:ind w:left="20"/>
              <w:spacing w:after="0"/>
              <w:rPr>
                <w:sz w:val="20"/>
                <w:szCs w:val="20"/>
                <w:color w:val="auto"/>
              </w:rPr>
            </w:pPr>
            <w:r>
              <w:rPr>
                <w:rFonts w:ascii="Arial" w:cs="Arial" w:eastAsia="Arial" w:hAnsi="Arial"/>
                <w:sz w:val="16"/>
                <w:szCs w:val="16"/>
                <w:color w:val="auto"/>
              </w:rPr>
              <w:t>Net sales</w:t>
            </w:r>
          </w:p>
        </w:tc>
        <w:tc>
          <w:tcPr>
            <w:tcW w:w="7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99"/>
              <w:spacing w:after="0"/>
              <w:rPr>
                <w:sz w:val="20"/>
                <w:szCs w:val="20"/>
                <w:color w:val="auto"/>
              </w:rPr>
            </w:pPr>
            <w:r>
              <w:rPr>
                <w:rFonts w:ascii="Arial" w:cs="Arial" w:eastAsia="Arial" w:hAnsi="Arial"/>
                <w:sz w:val="16"/>
                <w:szCs w:val="16"/>
                <w:color w:val="auto"/>
              </w:rPr>
              <w:t>4,176.0</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19"/>
              <w:spacing w:after="0"/>
              <w:rPr>
                <w:sz w:val="20"/>
                <w:szCs w:val="20"/>
                <w:color w:val="auto"/>
              </w:rPr>
            </w:pPr>
            <w:r>
              <w:rPr>
                <w:rFonts w:ascii="Arial" w:cs="Arial" w:eastAsia="Arial" w:hAnsi="Arial"/>
                <w:sz w:val="16"/>
                <w:szCs w:val="16"/>
                <w:color w:val="auto"/>
              </w:rPr>
              <w:t>4,082.8</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19"/>
              <w:spacing w:after="0"/>
              <w:rPr>
                <w:sz w:val="20"/>
                <w:szCs w:val="20"/>
                <w:color w:val="auto"/>
              </w:rPr>
            </w:pPr>
            <w:r>
              <w:rPr>
                <w:rFonts w:ascii="Arial" w:cs="Arial" w:eastAsia="Arial" w:hAnsi="Arial"/>
                <w:sz w:val="16"/>
                <w:szCs w:val="16"/>
                <w:color w:val="auto"/>
              </w:rPr>
              <w:t>4,104.5</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4,121.8</w:t>
            </w:r>
          </w:p>
        </w:tc>
      </w:tr>
      <w:tr>
        <w:trPr>
          <w:trHeight w:val="43"/>
        </w:trPr>
        <w:tc>
          <w:tcPr>
            <w:tcW w:w="5060" w:type="dxa"/>
            <w:vAlign w:val="bottom"/>
            <w:tcBorders>
              <w:bottom w:val="single" w:sz="8" w:color="BCBEC0"/>
            </w:tcBorders>
          </w:tcPr>
          <w:p>
            <w:pPr>
              <w:spacing w:after="0"/>
              <w:rPr>
                <w:sz w:val="3"/>
                <w:szCs w:val="3"/>
                <w:color w:val="auto"/>
              </w:rPr>
            </w:pPr>
          </w:p>
        </w:tc>
        <w:tc>
          <w:tcPr>
            <w:tcW w:w="700" w:type="dxa"/>
            <w:vAlign w:val="bottom"/>
            <w:tcBorders>
              <w:bottom w:val="single" w:sz="8" w:color="BCBEC0"/>
            </w:tcBorders>
          </w:tcPr>
          <w:p>
            <w:pPr>
              <w:spacing w:after="0"/>
              <w:rPr>
                <w:sz w:val="3"/>
                <w:szCs w:val="3"/>
                <w:color w:val="auto"/>
              </w:rPr>
            </w:pPr>
          </w:p>
        </w:tc>
        <w:tc>
          <w:tcPr>
            <w:tcW w:w="1100" w:type="dxa"/>
            <w:vAlign w:val="bottom"/>
            <w:tcBorders>
              <w:bottom w:val="single" w:sz="8" w:color="BCBEC0"/>
            </w:tcBorders>
          </w:tcPr>
          <w:p>
            <w:pPr>
              <w:spacing w:after="0"/>
              <w:rPr>
                <w:sz w:val="3"/>
                <w:szCs w:val="3"/>
                <w:color w:val="auto"/>
              </w:rPr>
            </w:pPr>
          </w:p>
        </w:tc>
        <w:tc>
          <w:tcPr>
            <w:tcW w:w="400" w:type="dxa"/>
            <w:vAlign w:val="bottom"/>
            <w:tcBorders>
              <w:bottom w:val="single" w:sz="8" w:color="BCBEC0"/>
            </w:tcBorders>
          </w:tcPr>
          <w:p>
            <w:pPr>
              <w:spacing w:after="0"/>
              <w:rPr>
                <w:sz w:val="3"/>
                <w:szCs w:val="3"/>
                <w:color w:val="auto"/>
              </w:rPr>
            </w:pPr>
          </w:p>
        </w:tc>
        <w:tc>
          <w:tcPr>
            <w:tcW w:w="1100" w:type="dxa"/>
            <w:vAlign w:val="bottom"/>
            <w:tcBorders>
              <w:bottom w:val="single" w:sz="8" w:color="BCBEC0"/>
            </w:tcBorders>
          </w:tcPr>
          <w:p>
            <w:pPr>
              <w:spacing w:after="0"/>
              <w:rPr>
                <w:sz w:val="3"/>
                <w:szCs w:val="3"/>
                <w:color w:val="auto"/>
              </w:rPr>
            </w:pPr>
          </w:p>
        </w:tc>
        <w:tc>
          <w:tcPr>
            <w:tcW w:w="380" w:type="dxa"/>
            <w:vAlign w:val="bottom"/>
            <w:tcBorders>
              <w:bottom w:val="single" w:sz="8" w:color="BCBEC0"/>
            </w:tcBorders>
          </w:tcPr>
          <w:p>
            <w:pPr>
              <w:spacing w:after="0"/>
              <w:rPr>
                <w:sz w:val="3"/>
                <w:szCs w:val="3"/>
                <w:color w:val="auto"/>
              </w:rPr>
            </w:pPr>
          </w:p>
        </w:tc>
        <w:tc>
          <w:tcPr>
            <w:tcW w:w="1100" w:type="dxa"/>
            <w:vAlign w:val="bottom"/>
            <w:tcBorders>
              <w:bottom w:val="single" w:sz="8" w:color="BCBEC0"/>
            </w:tcBorders>
          </w:tcPr>
          <w:p>
            <w:pPr>
              <w:spacing w:after="0"/>
              <w:rPr>
                <w:sz w:val="3"/>
                <w:szCs w:val="3"/>
                <w:color w:val="auto"/>
              </w:rPr>
            </w:pPr>
          </w:p>
        </w:tc>
        <w:tc>
          <w:tcPr>
            <w:tcW w:w="380" w:type="dxa"/>
            <w:vAlign w:val="bottom"/>
            <w:tcBorders>
              <w:bottom w:val="single" w:sz="8" w:color="BCBEC0"/>
            </w:tcBorders>
          </w:tcPr>
          <w:p>
            <w:pPr>
              <w:spacing w:after="0"/>
              <w:rPr>
                <w:sz w:val="3"/>
                <w:szCs w:val="3"/>
                <w:color w:val="auto"/>
              </w:rPr>
            </w:pPr>
          </w:p>
        </w:tc>
        <w:tc>
          <w:tcPr>
            <w:tcW w:w="1020" w:type="dxa"/>
            <w:vAlign w:val="bottom"/>
            <w:tcBorders>
              <w:bottom w:val="single" w:sz="8" w:color="BCBEC0"/>
            </w:tcBorders>
          </w:tcPr>
          <w:p>
            <w:pPr>
              <w:spacing w:after="0"/>
              <w:rPr>
                <w:sz w:val="3"/>
                <w:szCs w:val="3"/>
                <w:color w:val="auto"/>
              </w:rPr>
            </w:pPr>
          </w:p>
        </w:tc>
      </w:tr>
      <w:tr>
        <w:trPr>
          <w:trHeight w:val="221"/>
        </w:trPr>
        <w:tc>
          <w:tcPr>
            <w:tcW w:w="5060" w:type="dxa"/>
            <w:vAlign w:val="bottom"/>
          </w:tcPr>
          <w:p>
            <w:pPr>
              <w:ind w:left="20"/>
              <w:spacing w:after="0"/>
              <w:rPr>
                <w:sz w:val="20"/>
                <w:szCs w:val="20"/>
                <w:color w:val="auto"/>
              </w:rPr>
            </w:pPr>
            <w:r>
              <w:rPr>
                <w:rFonts w:ascii="Arial" w:cs="Arial" w:eastAsia="Arial" w:hAnsi="Arial"/>
                <w:sz w:val="16"/>
                <w:szCs w:val="16"/>
                <w:color w:val="auto"/>
              </w:rPr>
              <w:t>Operating income</w:t>
            </w:r>
          </w:p>
        </w:tc>
        <w:tc>
          <w:tcPr>
            <w:tcW w:w="700" w:type="dxa"/>
            <w:vAlign w:val="bottom"/>
          </w:tcPr>
          <w:p>
            <w:pPr>
              <w:spacing w:after="0"/>
              <w:rPr>
                <w:sz w:val="19"/>
                <w:szCs w:val="19"/>
                <w:color w:val="auto"/>
              </w:rPr>
            </w:pPr>
          </w:p>
        </w:tc>
        <w:tc>
          <w:tcPr>
            <w:tcW w:w="1100" w:type="dxa"/>
            <w:vAlign w:val="bottom"/>
          </w:tcPr>
          <w:p>
            <w:pPr>
              <w:jc w:val="right"/>
              <w:ind w:right="199"/>
              <w:spacing w:after="0"/>
              <w:rPr>
                <w:sz w:val="20"/>
                <w:szCs w:val="20"/>
                <w:color w:val="auto"/>
              </w:rPr>
            </w:pPr>
            <w:r>
              <w:rPr>
                <w:rFonts w:ascii="Arial" w:cs="Arial" w:eastAsia="Arial" w:hAnsi="Arial"/>
                <w:sz w:val="16"/>
                <w:szCs w:val="16"/>
                <w:color w:val="auto"/>
              </w:rPr>
              <w:t>857.5</w:t>
            </w:r>
          </w:p>
        </w:tc>
        <w:tc>
          <w:tcPr>
            <w:tcW w:w="400" w:type="dxa"/>
            <w:vAlign w:val="bottom"/>
          </w:tcPr>
          <w:p>
            <w:pPr>
              <w:spacing w:after="0"/>
              <w:rPr>
                <w:sz w:val="19"/>
                <w:szCs w:val="19"/>
                <w:color w:val="auto"/>
              </w:rPr>
            </w:pPr>
          </w:p>
        </w:tc>
        <w:tc>
          <w:tcPr>
            <w:tcW w:w="1100" w:type="dxa"/>
            <w:vAlign w:val="bottom"/>
          </w:tcPr>
          <w:p>
            <w:pPr>
              <w:jc w:val="right"/>
              <w:ind w:right="219"/>
              <w:spacing w:after="0"/>
              <w:rPr>
                <w:sz w:val="20"/>
                <w:szCs w:val="20"/>
                <w:color w:val="auto"/>
              </w:rPr>
            </w:pPr>
            <w:r>
              <w:rPr>
                <w:rFonts w:ascii="Arial" w:cs="Arial" w:eastAsia="Arial" w:hAnsi="Arial"/>
                <w:sz w:val="16"/>
                <w:szCs w:val="16"/>
                <w:color w:val="auto"/>
              </w:rPr>
              <w:t>803.8</w:t>
            </w:r>
          </w:p>
        </w:tc>
        <w:tc>
          <w:tcPr>
            <w:tcW w:w="380" w:type="dxa"/>
            <w:vAlign w:val="bottom"/>
          </w:tcPr>
          <w:p>
            <w:pPr>
              <w:spacing w:after="0"/>
              <w:rPr>
                <w:sz w:val="19"/>
                <w:szCs w:val="19"/>
                <w:color w:val="auto"/>
              </w:rPr>
            </w:pPr>
          </w:p>
        </w:tc>
        <w:tc>
          <w:tcPr>
            <w:tcW w:w="1100" w:type="dxa"/>
            <w:vAlign w:val="bottom"/>
          </w:tcPr>
          <w:p>
            <w:pPr>
              <w:jc w:val="right"/>
              <w:ind w:right="219"/>
              <w:spacing w:after="0"/>
              <w:rPr>
                <w:sz w:val="20"/>
                <w:szCs w:val="20"/>
                <w:color w:val="auto"/>
              </w:rPr>
            </w:pPr>
            <w:r>
              <w:rPr>
                <w:rFonts w:ascii="Arial" w:cs="Arial" w:eastAsia="Arial" w:hAnsi="Arial"/>
                <w:sz w:val="16"/>
                <w:szCs w:val="16"/>
                <w:color w:val="auto"/>
              </w:rPr>
              <w:t>739.2</w:t>
            </w:r>
          </w:p>
        </w:tc>
        <w:tc>
          <w:tcPr>
            <w:tcW w:w="380" w:type="dxa"/>
            <w:vAlign w:val="bottom"/>
          </w:tcPr>
          <w:p>
            <w:pPr>
              <w:spacing w:after="0"/>
              <w:rPr>
                <w:sz w:val="19"/>
                <w:szCs w:val="19"/>
                <w:color w:val="auto"/>
              </w:rPr>
            </w:pP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595.3</w:t>
            </w:r>
          </w:p>
        </w:tc>
      </w:tr>
      <w:tr>
        <w:trPr>
          <w:trHeight w:val="43"/>
        </w:trPr>
        <w:tc>
          <w:tcPr>
            <w:tcW w:w="5060" w:type="dxa"/>
            <w:vAlign w:val="bottom"/>
            <w:tcBorders>
              <w:bottom w:val="single" w:sz="8" w:color="BCBEC0"/>
            </w:tcBorders>
          </w:tcPr>
          <w:p>
            <w:pPr>
              <w:spacing w:after="0"/>
              <w:rPr>
                <w:sz w:val="3"/>
                <w:szCs w:val="3"/>
                <w:color w:val="auto"/>
              </w:rPr>
            </w:pPr>
          </w:p>
        </w:tc>
        <w:tc>
          <w:tcPr>
            <w:tcW w:w="700" w:type="dxa"/>
            <w:vAlign w:val="bottom"/>
            <w:tcBorders>
              <w:bottom w:val="single" w:sz="8" w:color="BCBEC0"/>
            </w:tcBorders>
          </w:tcPr>
          <w:p>
            <w:pPr>
              <w:spacing w:after="0"/>
              <w:rPr>
                <w:sz w:val="3"/>
                <w:szCs w:val="3"/>
                <w:color w:val="auto"/>
              </w:rPr>
            </w:pPr>
          </w:p>
        </w:tc>
        <w:tc>
          <w:tcPr>
            <w:tcW w:w="1100" w:type="dxa"/>
            <w:vAlign w:val="bottom"/>
            <w:tcBorders>
              <w:bottom w:val="single" w:sz="8" w:color="BCBEC0"/>
            </w:tcBorders>
          </w:tcPr>
          <w:p>
            <w:pPr>
              <w:spacing w:after="0"/>
              <w:rPr>
                <w:sz w:val="3"/>
                <w:szCs w:val="3"/>
                <w:color w:val="auto"/>
              </w:rPr>
            </w:pPr>
          </w:p>
        </w:tc>
        <w:tc>
          <w:tcPr>
            <w:tcW w:w="400" w:type="dxa"/>
            <w:vAlign w:val="bottom"/>
            <w:tcBorders>
              <w:bottom w:val="single" w:sz="8" w:color="BCBEC0"/>
            </w:tcBorders>
          </w:tcPr>
          <w:p>
            <w:pPr>
              <w:spacing w:after="0"/>
              <w:rPr>
                <w:sz w:val="3"/>
                <w:szCs w:val="3"/>
                <w:color w:val="auto"/>
              </w:rPr>
            </w:pPr>
          </w:p>
        </w:tc>
        <w:tc>
          <w:tcPr>
            <w:tcW w:w="1100" w:type="dxa"/>
            <w:vAlign w:val="bottom"/>
            <w:tcBorders>
              <w:bottom w:val="single" w:sz="8" w:color="BCBEC0"/>
            </w:tcBorders>
          </w:tcPr>
          <w:p>
            <w:pPr>
              <w:spacing w:after="0"/>
              <w:rPr>
                <w:sz w:val="3"/>
                <w:szCs w:val="3"/>
                <w:color w:val="auto"/>
              </w:rPr>
            </w:pPr>
          </w:p>
        </w:tc>
        <w:tc>
          <w:tcPr>
            <w:tcW w:w="380" w:type="dxa"/>
            <w:vAlign w:val="bottom"/>
            <w:tcBorders>
              <w:bottom w:val="single" w:sz="8" w:color="BCBEC0"/>
            </w:tcBorders>
          </w:tcPr>
          <w:p>
            <w:pPr>
              <w:spacing w:after="0"/>
              <w:rPr>
                <w:sz w:val="3"/>
                <w:szCs w:val="3"/>
                <w:color w:val="auto"/>
              </w:rPr>
            </w:pPr>
          </w:p>
        </w:tc>
        <w:tc>
          <w:tcPr>
            <w:tcW w:w="1100" w:type="dxa"/>
            <w:vAlign w:val="bottom"/>
            <w:tcBorders>
              <w:bottom w:val="single" w:sz="8" w:color="BCBEC0"/>
            </w:tcBorders>
          </w:tcPr>
          <w:p>
            <w:pPr>
              <w:spacing w:after="0"/>
              <w:rPr>
                <w:sz w:val="3"/>
                <w:szCs w:val="3"/>
                <w:color w:val="auto"/>
              </w:rPr>
            </w:pPr>
          </w:p>
        </w:tc>
        <w:tc>
          <w:tcPr>
            <w:tcW w:w="380" w:type="dxa"/>
            <w:vAlign w:val="bottom"/>
            <w:tcBorders>
              <w:bottom w:val="single" w:sz="8" w:color="BCBEC0"/>
            </w:tcBorders>
          </w:tcPr>
          <w:p>
            <w:pPr>
              <w:spacing w:after="0"/>
              <w:rPr>
                <w:sz w:val="3"/>
                <w:szCs w:val="3"/>
                <w:color w:val="auto"/>
              </w:rPr>
            </w:pPr>
          </w:p>
        </w:tc>
        <w:tc>
          <w:tcPr>
            <w:tcW w:w="1020" w:type="dxa"/>
            <w:vAlign w:val="bottom"/>
            <w:tcBorders>
              <w:bottom w:val="single" w:sz="8" w:color="BCBEC0"/>
            </w:tcBorders>
          </w:tcPr>
          <w:p>
            <w:pPr>
              <w:spacing w:after="0"/>
              <w:rPr>
                <w:sz w:val="3"/>
                <w:szCs w:val="3"/>
                <w:color w:val="auto"/>
              </w:rPr>
            </w:pPr>
          </w:p>
        </w:tc>
      </w:tr>
      <w:tr>
        <w:trPr>
          <w:trHeight w:val="221"/>
        </w:trPr>
        <w:tc>
          <w:tcPr>
            <w:tcW w:w="5060" w:type="dxa"/>
            <w:vAlign w:val="bottom"/>
          </w:tcPr>
          <w:p>
            <w:pPr>
              <w:ind w:left="240"/>
              <w:spacing w:after="0"/>
              <w:rPr>
                <w:sz w:val="20"/>
                <w:szCs w:val="20"/>
                <w:color w:val="auto"/>
              </w:rPr>
            </w:pPr>
            <w:r>
              <w:rPr>
                <w:rFonts w:ascii="Arial" w:cs="Arial" w:eastAsia="Arial" w:hAnsi="Arial"/>
                <w:sz w:val="16"/>
                <w:szCs w:val="16"/>
                <w:i w:val="1"/>
                <w:iCs w:val="1"/>
                <w:color w:val="auto"/>
              </w:rPr>
              <w:t>Return on sales</w:t>
            </w:r>
          </w:p>
        </w:tc>
        <w:tc>
          <w:tcPr>
            <w:tcW w:w="700" w:type="dxa"/>
            <w:vAlign w:val="bottom"/>
          </w:tcPr>
          <w:p>
            <w:pPr>
              <w:spacing w:after="0"/>
              <w:rPr>
                <w:sz w:val="19"/>
                <w:szCs w:val="19"/>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i w:val="1"/>
                <w:iCs w:val="1"/>
                <w:color w:val="auto"/>
              </w:rPr>
              <w:t>20.5%</w:t>
            </w:r>
          </w:p>
        </w:tc>
        <w:tc>
          <w:tcPr>
            <w:tcW w:w="400" w:type="dxa"/>
            <w:vAlign w:val="bottom"/>
          </w:tcPr>
          <w:p>
            <w:pPr>
              <w:spacing w:after="0"/>
              <w:rPr>
                <w:sz w:val="19"/>
                <w:szCs w:val="19"/>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i w:val="1"/>
                <w:iCs w:val="1"/>
                <w:color w:val="auto"/>
              </w:rPr>
              <w:t>19.7%</w:t>
            </w:r>
          </w:p>
        </w:tc>
        <w:tc>
          <w:tcPr>
            <w:tcW w:w="380" w:type="dxa"/>
            <w:vAlign w:val="bottom"/>
          </w:tcPr>
          <w:p>
            <w:pPr>
              <w:spacing w:after="0"/>
              <w:rPr>
                <w:sz w:val="19"/>
                <w:szCs w:val="19"/>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i w:val="1"/>
                <w:iCs w:val="1"/>
                <w:color w:val="auto"/>
              </w:rPr>
              <w:t>18.0%</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i w:val="1"/>
                <w:iCs w:val="1"/>
                <w:color w:val="auto"/>
              </w:rPr>
              <w:t>14.4%</w:t>
            </w:r>
          </w:p>
        </w:tc>
      </w:tr>
      <w:tr>
        <w:trPr>
          <w:trHeight w:val="43"/>
        </w:trPr>
        <w:tc>
          <w:tcPr>
            <w:tcW w:w="5060" w:type="dxa"/>
            <w:vAlign w:val="bottom"/>
            <w:tcBorders>
              <w:bottom w:val="single" w:sz="8" w:color="BCBEC0"/>
            </w:tcBorders>
          </w:tcPr>
          <w:p>
            <w:pPr>
              <w:spacing w:after="0"/>
              <w:rPr>
                <w:sz w:val="3"/>
                <w:szCs w:val="3"/>
                <w:color w:val="auto"/>
              </w:rPr>
            </w:pPr>
          </w:p>
        </w:tc>
        <w:tc>
          <w:tcPr>
            <w:tcW w:w="700" w:type="dxa"/>
            <w:vAlign w:val="bottom"/>
            <w:tcBorders>
              <w:bottom w:val="single" w:sz="8" w:color="BCBEC0"/>
            </w:tcBorders>
          </w:tcPr>
          <w:p>
            <w:pPr>
              <w:spacing w:after="0"/>
              <w:rPr>
                <w:sz w:val="3"/>
                <w:szCs w:val="3"/>
                <w:color w:val="auto"/>
              </w:rPr>
            </w:pPr>
          </w:p>
        </w:tc>
        <w:tc>
          <w:tcPr>
            <w:tcW w:w="1100" w:type="dxa"/>
            <w:vAlign w:val="bottom"/>
            <w:tcBorders>
              <w:bottom w:val="single" w:sz="8" w:color="BCBEC0"/>
            </w:tcBorders>
          </w:tcPr>
          <w:p>
            <w:pPr>
              <w:spacing w:after="0"/>
              <w:rPr>
                <w:sz w:val="3"/>
                <w:szCs w:val="3"/>
                <w:color w:val="auto"/>
              </w:rPr>
            </w:pPr>
          </w:p>
        </w:tc>
        <w:tc>
          <w:tcPr>
            <w:tcW w:w="400" w:type="dxa"/>
            <w:vAlign w:val="bottom"/>
            <w:tcBorders>
              <w:bottom w:val="single" w:sz="8" w:color="BCBEC0"/>
            </w:tcBorders>
          </w:tcPr>
          <w:p>
            <w:pPr>
              <w:spacing w:after="0"/>
              <w:rPr>
                <w:sz w:val="3"/>
                <w:szCs w:val="3"/>
                <w:color w:val="auto"/>
              </w:rPr>
            </w:pPr>
          </w:p>
        </w:tc>
        <w:tc>
          <w:tcPr>
            <w:tcW w:w="1100" w:type="dxa"/>
            <w:vAlign w:val="bottom"/>
            <w:tcBorders>
              <w:bottom w:val="single" w:sz="8" w:color="BCBEC0"/>
            </w:tcBorders>
          </w:tcPr>
          <w:p>
            <w:pPr>
              <w:spacing w:after="0"/>
              <w:rPr>
                <w:sz w:val="3"/>
                <w:szCs w:val="3"/>
                <w:color w:val="auto"/>
              </w:rPr>
            </w:pPr>
          </w:p>
        </w:tc>
        <w:tc>
          <w:tcPr>
            <w:tcW w:w="380" w:type="dxa"/>
            <w:vAlign w:val="bottom"/>
            <w:tcBorders>
              <w:bottom w:val="single" w:sz="8" w:color="BCBEC0"/>
            </w:tcBorders>
          </w:tcPr>
          <w:p>
            <w:pPr>
              <w:spacing w:after="0"/>
              <w:rPr>
                <w:sz w:val="3"/>
                <w:szCs w:val="3"/>
                <w:color w:val="auto"/>
              </w:rPr>
            </w:pPr>
          </w:p>
        </w:tc>
        <w:tc>
          <w:tcPr>
            <w:tcW w:w="1100" w:type="dxa"/>
            <w:vAlign w:val="bottom"/>
            <w:tcBorders>
              <w:bottom w:val="single" w:sz="8" w:color="BCBEC0"/>
            </w:tcBorders>
          </w:tcPr>
          <w:p>
            <w:pPr>
              <w:spacing w:after="0"/>
              <w:rPr>
                <w:sz w:val="3"/>
                <w:szCs w:val="3"/>
                <w:color w:val="auto"/>
              </w:rPr>
            </w:pPr>
          </w:p>
        </w:tc>
        <w:tc>
          <w:tcPr>
            <w:tcW w:w="380" w:type="dxa"/>
            <w:vAlign w:val="bottom"/>
            <w:tcBorders>
              <w:bottom w:val="single" w:sz="8" w:color="BCBEC0"/>
            </w:tcBorders>
          </w:tcPr>
          <w:p>
            <w:pPr>
              <w:spacing w:after="0"/>
              <w:rPr>
                <w:sz w:val="3"/>
                <w:szCs w:val="3"/>
                <w:color w:val="auto"/>
              </w:rPr>
            </w:pPr>
          </w:p>
        </w:tc>
        <w:tc>
          <w:tcPr>
            <w:tcW w:w="1020" w:type="dxa"/>
            <w:vAlign w:val="bottom"/>
            <w:tcBorders>
              <w:bottom w:val="single" w:sz="8" w:color="BCBEC0"/>
            </w:tcBorders>
          </w:tcPr>
          <w:p>
            <w:pPr>
              <w:spacing w:after="0"/>
              <w:rPr>
                <w:sz w:val="3"/>
                <w:szCs w:val="3"/>
                <w:color w:val="auto"/>
              </w:rPr>
            </w:pPr>
          </w:p>
        </w:tc>
      </w:tr>
      <w:tr>
        <w:trPr>
          <w:trHeight w:val="233"/>
        </w:trPr>
        <w:tc>
          <w:tcPr>
            <w:tcW w:w="5060" w:type="dxa"/>
            <w:vAlign w:val="bottom"/>
            <w:tcBorders>
              <w:bottom w:val="single" w:sz="8" w:color="BCBEC0"/>
            </w:tcBorders>
          </w:tcPr>
          <w:p>
            <w:pPr>
              <w:ind w:left="20"/>
              <w:spacing w:after="0"/>
              <w:rPr>
                <w:sz w:val="20"/>
                <w:szCs w:val="20"/>
                <w:color w:val="auto"/>
              </w:rPr>
            </w:pPr>
            <w:r>
              <w:rPr>
                <w:rFonts w:ascii="Arial" w:cs="Arial" w:eastAsia="Arial" w:hAnsi="Arial"/>
                <w:sz w:val="16"/>
                <w:szCs w:val="16"/>
                <w:b w:val="1"/>
                <w:bCs w:val="1"/>
                <w:color w:val="auto"/>
              </w:rPr>
              <w:t>Adjustments:</w:t>
            </w:r>
          </w:p>
        </w:tc>
        <w:tc>
          <w:tcPr>
            <w:tcW w:w="700" w:type="dxa"/>
            <w:vAlign w:val="bottom"/>
            <w:tcBorders>
              <w:bottom w:val="single" w:sz="8" w:color="BCBEC0"/>
            </w:tcBorders>
          </w:tcPr>
          <w:p>
            <w:pPr>
              <w:spacing w:after="0"/>
              <w:rPr>
                <w:sz w:val="20"/>
                <w:szCs w:val="20"/>
                <w:color w:val="auto"/>
              </w:rPr>
            </w:pPr>
          </w:p>
        </w:tc>
        <w:tc>
          <w:tcPr>
            <w:tcW w:w="1100" w:type="dxa"/>
            <w:vAlign w:val="bottom"/>
            <w:tcBorders>
              <w:bottom w:val="single" w:sz="8" w:color="BCBEC0"/>
            </w:tcBorders>
          </w:tcPr>
          <w:p>
            <w:pPr>
              <w:spacing w:after="0"/>
              <w:rPr>
                <w:sz w:val="20"/>
                <w:szCs w:val="20"/>
                <w:color w:val="auto"/>
              </w:rPr>
            </w:pPr>
          </w:p>
        </w:tc>
        <w:tc>
          <w:tcPr>
            <w:tcW w:w="400" w:type="dxa"/>
            <w:vAlign w:val="bottom"/>
            <w:tcBorders>
              <w:bottom w:val="single" w:sz="8" w:color="BCBEC0"/>
            </w:tcBorders>
          </w:tcPr>
          <w:p>
            <w:pPr>
              <w:spacing w:after="0"/>
              <w:rPr>
                <w:sz w:val="20"/>
                <w:szCs w:val="20"/>
                <w:color w:val="auto"/>
              </w:rPr>
            </w:pPr>
          </w:p>
        </w:tc>
        <w:tc>
          <w:tcPr>
            <w:tcW w:w="1100" w:type="dxa"/>
            <w:vAlign w:val="bottom"/>
            <w:tcBorders>
              <w:bottom w:val="single" w:sz="8" w:color="BCBEC0"/>
            </w:tcBorders>
          </w:tcPr>
          <w:p>
            <w:pPr>
              <w:spacing w:after="0"/>
              <w:rPr>
                <w:sz w:val="20"/>
                <w:szCs w:val="20"/>
                <w:color w:val="auto"/>
              </w:rPr>
            </w:pPr>
          </w:p>
        </w:tc>
        <w:tc>
          <w:tcPr>
            <w:tcW w:w="380" w:type="dxa"/>
            <w:vAlign w:val="bottom"/>
            <w:tcBorders>
              <w:bottom w:val="single" w:sz="8" w:color="BCBEC0"/>
            </w:tcBorders>
          </w:tcPr>
          <w:p>
            <w:pPr>
              <w:spacing w:after="0"/>
              <w:rPr>
                <w:sz w:val="20"/>
                <w:szCs w:val="20"/>
                <w:color w:val="auto"/>
              </w:rPr>
            </w:pPr>
          </w:p>
        </w:tc>
        <w:tc>
          <w:tcPr>
            <w:tcW w:w="1100" w:type="dxa"/>
            <w:vAlign w:val="bottom"/>
            <w:tcBorders>
              <w:bottom w:val="single" w:sz="8" w:color="BCBEC0"/>
            </w:tcBorders>
          </w:tcPr>
          <w:p>
            <w:pPr>
              <w:spacing w:after="0"/>
              <w:rPr>
                <w:sz w:val="20"/>
                <w:szCs w:val="20"/>
                <w:color w:val="auto"/>
              </w:rPr>
            </w:pPr>
          </w:p>
        </w:tc>
        <w:tc>
          <w:tcPr>
            <w:tcW w:w="380" w:type="dxa"/>
            <w:vAlign w:val="bottom"/>
            <w:tcBorders>
              <w:bottom w:val="single" w:sz="8" w:color="BCBEC0"/>
            </w:tcBorders>
          </w:tcPr>
          <w:p>
            <w:pPr>
              <w:spacing w:after="0"/>
              <w:rPr>
                <w:sz w:val="20"/>
                <w:szCs w:val="20"/>
                <w:color w:val="auto"/>
              </w:rPr>
            </w:pPr>
          </w:p>
        </w:tc>
        <w:tc>
          <w:tcPr>
            <w:tcW w:w="1020" w:type="dxa"/>
            <w:vAlign w:val="bottom"/>
            <w:tcBorders>
              <w:bottom w:val="single" w:sz="8" w:color="BCBEC0"/>
            </w:tcBorders>
          </w:tcPr>
          <w:p>
            <w:pPr>
              <w:spacing w:after="0"/>
              <w:rPr>
                <w:sz w:val="20"/>
                <w:szCs w:val="20"/>
                <w:color w:val="auto"/>
              </w:rPr>
            </w:pPr>
          </w:p>
        </w:tc>
      </w:tr>
      <w:tr>
        <w:trPr>
          <w:trHeight w:val="225"/>
        </w:trPr>
        <w:tc>
          <w:tcPr>
            <w:tcW w:w="5060" w:type="dxa"/>
            <w:vAlign w:val="bottom"/>
          </w:tcPr>
          <w:p>
            <w:pPr>
              <w:ind w:left="240"/>
              <w:spacing w:after="0"/>
              <w:rPr>
                <w:sz w:val="20"/>
                <w:szCs w:val="20"/>
                <w:color w:val="auto"/>
              </w:rPr>
            </w:pPr>
            <w:r>
              <w:rPr>
                <w:rFonts w:ascii="Arial" w:cs="Arial" w:eastAsia="Arial" w:hAnsi="Arial"/>
                <w:sz w:val="16"/>
                <w:szCs w:val="16"/>
                <w:color w:val="auto"/>
              </w:rPr>
              <w:t>Restructuring and other</w:t>
            </w:r>
          </w:p>
        </w:tc>
        <w:tc>
          <w:tcPr>
            <w:tcW w:w="700" w:type="dxa"/>
            <w:vAlign w:val="bottom"/>
          </w:tcPr>
          <w:p>
            <w:pPr>
              <w:spacing w:after="0"/>
              <w:rPr>
                <w:sz w:val="19"/>
                <w:szCs w:val="19"/>
                <w:color w:val="auto"/>
              </w:rPr>
            </w:pPr>
          </w:p>
        </w:tc>
        <w:tc>
          <w:tcPr>
            <w:tcW w:w="1100" w:type="dxa"/>
            <w:vAlign w:val="bottom"/>
          </w:tcPr>
          <w:p>
            <w:pPr>
              <w:jc w:val="right"/>
              <w:ind w:right="199"/>
              <w:spacing w:after="0"/>
              <w:rPr>
                <w:sz w:val="20"/>
                <w:szCs w:val="20"/>
                <w:color w:val="auto"/>
              </w:rPr>
            </w:pPr>
            <w:r>
              <w:rPr>
                <w:rFonts w:ascii="Arial" w:cs="Arial" w:eastAsia="Arial" w:hAnsi="Arial"/>
                <w:sz w:val="16"/>
                <w:szCs w:val="16"/>
                <w:color w:val="auto"/>
              </w:rPr>
              <w:t>31.3</w:t>
            </w:r>
          </w:p>
        </w:tc>
        <w:tc>
          <w:tcPr>
            <w:tcW w:w="400" w:type="dxa"/>
            <w:vAlign w:val="bottom"/>
          </w:tcPr>
          <w:p>
            <w:pPr>
              <w:spacing w:after="0"/>
              <w:rPr>
                <w:sz w:val="19"/>
                <w:szCs w:val="19"/>
                <w:color w:val="auto"/>
              </w:rPr>
            </w:pPr>
          </w:p>
        </w:tc>
        <w:tc>
          <w:tcPr>
            <w:tcW w:w="1100" w:type="dxa"/>
            <w:vAlign w:val="bottom"/>
          </w:tcPr>
          <w:p>
            <w:pPr>
              <w:jc w:val="right"/>
              <w:ind w:right="219"/>
              <w:spacing w:after="0"/>
              <w:rPr>
                <w:sz w:val="20"/>
                <w:szCs w:val="20"/>
                <w:color w:val="auto"/>
              </w:rPr>
            </w:pPr>
            <w:r>
              <w:rPr>
                <w:rFonts w:ascii="Arial" w:cs="Arial" w:eastAsia="Arial" w:hAnsi="Arial"/>
                <w:sz w:val="16"/>
                <w:szCs w:val="16"/>
                <w:color w:val="auto"/>
              </w:rPr>
              <w:t>37.0</w:t>
            </w:r>
          </w:p>
        </w:tc>
        <w:tc>
          <w:tcPr>
            <w:tcW w:w="380" w:type="dxa"/>
            <w:vAlign w:val="bottom"/>
          </w:tcPr>
          <w:p>
            <w:pPr>
              <w:spacing w:after="0"/>
              <w:rPr>
                <w:sz w:val="19"/>
                <w:szCs w:val="19"/>
                <w:color w:val="auto"/>
              </w:rPr>
            </w:pPr>
          </w:p>
        </w:tc>
        <w:tc>
          <w:tcPr>
            <w:tcW w:w="1100" w:type="dxa"/>
            <w:vAlign w:val="bottom"/>
          </w:tcPr>
          <w:p>
            <w:pPr>
              <w:jc w:val="right"/>
              <w:ind w:right="219"/>
              <w:spacing w:after="0"/>
              <w:rPr>
                <w:sz w:val="20"/>
                <w:szCs w:val="20"/>
                <w:color w:val="auto"/>
              </w:rPr>
            </w:pPr>
            <w:r>
              <w:rPr>
                <w:rFonts w:ascii="Arial" w:cs="Arial" w:eastAsia="Arial" w:hAnsi="Arial"/>
                <w:sz w:val="16"/>
                <w:szCs w:val="16"/>
                <w:color w:val="auto"/>
              </w:rPr>
              <w:t>3.4</w:t>
            </w:r>
          </w:p>
        </w:tc>
        <w:tc>
          <w:tcPr>
            <w:tcW w:w="380" w:type="dxa"/>
            <w:vAlign w:val="bottom"/>
          </w:tcPr>
          <w:p>
            <w:pPr>
              <w:spacing w:after="0"/>
              <w:rPr>
                <w:sz w:val="19"/>
                <w:szCs w:val="19"/>
                <w:color w:val="auto"/>
              </w:rPr>
            </w:pP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32.4</w:t>
            </w:r>
          </w:p>
        </w:tc>
      </w:tr>
      <w:tr>
        <w:trPr>
          <w:trHeight w:val="43"/>
        </w:trPr>
        <w:tc>
          <w:tcPr>
            <w:tcW w:w="5060" w:type="dxa"/>
            <w:vAlign w:val="bottom"/>
            <w:tcBorders>
              <w:bottom w:val="single" w:sz="8" w:color="BCBEC0"/>
            </w:tcBorders>
          </w:tcPr>
          <w:p>
            <w:pPr>
              <w:spacing w:after="0"/>
              <w:rPr>
                <w:sz w:val="3"/>
                <w:szCs w:val="3"/>
                <w:color w:val="auto"/>
              </w:rPr>
            </w:pPr>
          </w:p>
        </w:tc>
        <w:tc>
          <w:tcPr>
            <w:tcW w:w="700" w:type="dxa"/>
            <w:vAlign w:val="bottom"/>
            <w:tcBorders>
              <w:bottom w:val="single" w:sz="8" w:color="BCBEC0"/>
            </w:tcBorders>
          </w:tcPr>
          <w:p>
            <w:pPr>
              <w:spacing w:after="0"/>
              <w:rPr>
                <w:sz w:val="3"/>
                <w:szCs w:val="3"/>
                <w:color w:val="auto"/>
              </w:rPr>
            </w:pPr>
          </w:p>
        </w:tc>
        <w:tc>
          <w:tcPr>
            <w:tcW w:w="1100" w:type="dxa"/>
            <w:vAlign w:val="bottom"/>
            <w:tcBorders>
              <w:bottom w:val="single" w:sz="8" w:color="BCBEC0"/>
            </w:tcBorders>
          </w:tcPr>
          <w:p>
            <w:pPr>
              <w:spacing w:after="0"/>
              <w:rPr>
                <w:sz w:val="3"/>
                <w:szCs w:val="3"/>
                <w:color w:val="auto"/>
              </w:rPr>
            </w:pPr>
          </w:p>
        </w:tc>
        <w:tc>
          <w:tcPr>
            <w:tcW w:w="400" w:type="dxa"/>
            <w:vAlign w:val="bottom"/>
            <w:tcBorders>
              <w:bottom w:val="single" w:sz="8" w:color="BCBEC0"/>
            </w:tcBorders>
          </w:tcPr>
          <w:p>
            <w:pPr>
              <w:spacing w:after="0"/>
              <w:rPr>
                <w:sz w:val="3"/>
                <w:szCs w:val="3"/>
                <w:color w:val="auto"/>
              </w:rPr>
            </w:pPr>
          </w:p>
        </w:tc>
        <w:tc>
          <w:tcPr>
            <w:tcW w:w="1100" w:type="dxa"/>
            <w:vAlign w:val="bottom"/>
            <w:tcBorders>
              <w:bottom w:val="single" w:sz="8" w:color="BCBEC0"/>
            </w:tcBorders>
          </w:tcPr>
          <w:p>
            <w:pPr>
              <w:spacing w:after="0"/>
              <w:rPr>
                <w:sz w:val="3"/>
                <w:szCs w:val="3"/>
                <w:color w:val="auto"/>
              </w:rPr>
            </w:pPr>
          </w:p>
        </w:tc>
        <w:tc>
          <w:tcPr>
            <w:tcW w:w="380" w:type="dxa"/>
            <w:vAlign w:val="bottom"/>
            <w:tcBorders>
              <w:bottom w:val="single" w:sz="8" w:color="BCBEC0"/>
            </w:tcBorders>
          </w:tcPr>
          <w:p>
            <w:pPr>
              <w:spacing w:after="0"/>
              <w:rPr>
                <w:sz w:val="3"/>
                <w:szCs w:val="3"/>
                <w:color w:val="auto"/>
              </w:rPr>
            </w:pPr>
          </w:p>
        </w:tc>
        <w:tc>
          <w:tcPr>
            <w:tcW w:w="1100" w:type="dxa"/>
            <w:vAlign w:val="bottom"/>
            <w:tcBorders>
              <w:bottom w:val="single" w:sz="8" w:color="BCBEC0"/>
            </w:tcBorders>
          </w:tcPr>
          <w:p>
            <w:pPr>
              <w:spacing w:after="0"/>
              <w:rPr>
                <w:sz w:val="3"/>
                <w:szCs w:val="3"/>
                <w:color w:val="auto"/>
              </w:rPr>
            </w:pPr>
          </w:p>
        </w:tc>
        <w:tc>
          <w:tcPr>
            <w:tcW w:w="380" w:type="dxa"/>
            <w:vAlign w:val="bottom"/>
            <w:tcBorders>
              <w:bottom w:val="single" w:sz="8" w:color="BCBEC0"/>
            </w:tcBorders>
          </w:tcPr>
          <w:p>
            <w:pPr>
              <w:spacing w:after="0"/>
              <w:rPr>
                <w:sz w:val="3"/>
                <w:szCs w:val="3"/>
                <w:color w:val="auto"/>
              </w:rPr>
            </w:pPr>
          </w:p>
        </w:tc>
        <w:tc>
          <w:tcPr>
            <w:tcW w:w="1020" w:type="dxa"/>
            <w:vAlign w:val="bottom"/>
            <w:tcBorders>
              <w:bottom w:val="single" w:sz="8" w:color="BCBEC0"/>
            </w:tcBorders>
          </w:tcPr>
          <w:p>
            <w:pPr>
              <w:spacing w:after="0"/>
              <w:rPr>
                <w:sz w:val="3"/>
                <w:szCs w:val="3"/>
                <w:color w:val="auto"/>
              </w:rPr>
            </w:pPr>
          </w:p>
        </w:tc>
      </w:tr>
      <w:tr>
        <w:trPr>
          <w:trHeight w:val="221"/>
        </w:trPr>
        <w:tc>
          <w:tcPr>
            <w:tcW w:w="5060" w:type="dxa"/>
            <w:vAlign w:val="bottom"/>
          </w:tcPr>
          <w:p>
            <w:pPr>
              <w:ind w:left="240"/>
              <w:spacing w:after="0"/>
              <w:rPr>
                <w:sz w:val="20"/>
                <w:szCs w:val="20"/>
                <w:color w:val="auto"/>
              </w:rPr>
            </w:pPr>
            <w:r>
              <w:rPr>
                <w:rFonts w:ascii="Arial" w:cs="Arial" w:eastAsia="Arial" w:hAnsi="Arial"/>
                <w:sz w:val="16"/>
                <w:szCs w:val="16"/>
                <w:color w:val="auto"/>
              </w:rPr>
              <w:t>Transformation costs</w:t>
            </w:r>
          </w:p>
        </w:tc>
        <w:tc>
          <w:tcPr>
            <w:tcW w:w="700" w:type="dxa"/>
            <w:vAlign w:val="bottom"/>
          </w:tcPr>
          <w:p>
            <w:pPr>
              <w:spacing w:after="0"/>
              <w:rPr>
                <w:sz w:val="19"/>
                <w:szCs w:val="19"/>
                <w:color w:val="auto"/>
              </w:rPr>
            </w:pPr>
          </w:p>
        </w:tc>
        <w:tc>
          <w:tcPr>
            <w:tcW w:w="1100" w:type="dxa"/>
            <w:vAlign w:val="bottom"/>
          </w:tcPr>
          <w:p>
            <w:pPr>
              <w:jc w:val="right"/>
              <w:ind w:right="199"/>
              <w:spacing w:after="0"/>
              <w:rPr>
                <w:sz w:val="20"/>
                <w:szCs w:val="20"/>
                <w:color w:val="auto"/>
              </w:rPr>
            </w:pPr>
            <w:r>
              <w:rPr>
                <w:rFonts w:ascii="Arial" w:cs="Arial" w:eastAsia="Arial" w:hAnsi="Arial"/>
                <w:sz w:val="16"/>
                <w:szCs w:val="16"/>
                <w:color w:val="auto"/>
              </w:rPr>
              <w:t>40.8</w:t>
            </w:r>
          </w:p>
        </w:tc>
        <w:tc>
          <w:tcPr>
            <w:tcW w:w="400" w:type="dxa"/>
            <w:vAlign w:val="bottom"/>
          </w:tcPr>
          <w:p>
            <w:pPr>
              <w:spacing w:after="0"/>
              <w:rPr>
                <w:sz w:val="19"/>
                <w:szCs w:val="19"/>
                <w:color w:val="auto"/>
              </w:rPr>
            </w:pPr>
          </w:p>
        </w:tc>
        <w:tc>
          <w:tcPr>
            <w:tcW w:w="1100" w:type="dxa"/>
            <w:vAlign w:val="bottom"/>
          </w:tcPr>
          <w:p>
            <w:pPr>
              <w:jc w:val="right"/>
              <w:ind w:right="219"/>
              <w:spacing w:after="0"/>
              <w:rPr>
                <w:sz w:val="20"/>
                <w:szCs w:val="20"/>
                <w:color w:val="auto"/>
              </w:rPr>
            </w:pPr>
            <w:r>
              <w:rPr>
                <w:rFonts w:ascii="Arial" w:cs="Arial" w:eastAsia="Arial" w:hAnsi="Arial"/>
                <w:sz w:val="16"/>
                <w:szCs w:val="16"/>
                <w:color w:val="auto"/>
              </w:rPr>
              <w:t>52.1</w:t>
            </w:r>
          </w:p>
        </w:tc>
        <w:tc>
          <w:tcPr>
            <w:tcW w:w="380" w:type="dxa"/>
            <w:vAlign w:val="bottom"/>
          </w:tcPr>
          <w:p>
            <w:pPr>
              <w:spacing w:after="0"/>
              <w:rPr>
                <w:sz w:val="19"/>
                <w:szCs w:val="19"/>
                <w:color w:val="auto"/>
              </w:rPr>
            </w:pPr>
          </w:p>
        </w:tc>
        <w:tc>
          <w:tcPr>
            <w:tcW w:w="1100" w:type="dxa"/>
            <w:vAlign w:val="bottom"/>
          </w:tcPr>
          <w:p>
            <w:pPr>
              <w:jc w:val="right"/>
              <w:ind w:right="219"/>
              <w:spacing w:after="0"/>
              <w:rPr>
                <w:sz w:val="20"/>
                <w:szCs w:val="20"/>
                <w:color w:val="auto"/>
              </w:rPr>
            </w:pPr>
            <w:r>
              <w:rPr>
                <w:rFonts w:ascii="Arial" w:cs="Arial" w:eastAsia="Arial" w:hAnsi="Arial"/>
                <w:sz w:val="16"/>
                <w:szCs w:val="16"/>
                <w:color w:val="auto"/>
              </w:rPr>
              <w:t>44.3</w:t>
            </w:r>
          </w:p>
        </w:tc>
        <w:tc>
          <w:tcPr>
            <w:tcW w:w="380" w:type="dxa"/>
            <w:vAlign w:val="bottom"/>
          </w:tcPr>
          <w:p>
            <w:pPr>
              <w:spacing w:after="0"/>
              <w:rPr>
                <w:sz w:val="19"/>
                <w:szCs w:val="19"/>
                <w:color w:val="auto"/>
              </w:rPr>
            </w:pP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27.2</w:t>
            </w:r>
          </w:p>
        </w:tc>
      </w:tr>
      <w:tr>
        <w:trPr>
          <w:trHeight w:val="43"/>
        </w:trPr>
        <w:tc>
          <w:tcPr>
            <w:tcW w:w="5060" w:type="dxa"/>
            <w:vAlign w:val="bottom"/>
            <w:tcBorders>
              <w:bottom w:val="single" w:sz="8" w:color="BCBEC0"/>
            </w:tcBorders>
          </w:tcPr>
          <w:p>
            <w:pPr>
              <w:spacing w:after="0"/>
              <w:rPr>
                <w:sz w:val="3"/>
                <w:szCs w:val="3"/>
                <w:color w:val="auto"/>
              </w:rPr>
            </w:pPr>
          </w:p>
        </w:tc>
        <w:tc>
          <w:tcPr>
            <w:tcW w:w="700" w:type="dxa"/>
            <w:vAlign w:val="bottom"/>
            <w:tcBorders>
              <w:bottom w:val="single" w:sz="8" w:color="BCBEC0"/>
            </w:tcBorders>
          </w:tcPr>
          <w:p>
            <w:pPr>
              <w:spacing w:after="0"/>
              <w:rPr>
                <w:sz w:val="3"/>
                <w:szCs w:val="3"/>
                <w:color w:val="auto"/>
              </w:rPr>
            </w:pPr>
          </w:p>
        </w:tc>
        <w:tc>
          <w:tcPr>
            <w:tcW w:w="1100" w:type="dxa"/>
            <w:vAlign w:val="bottom"/>
            <w:tcBorders>
              <w:bottom w:val="single" w:sz="8" w:color="BCBEC0"/>
            </w:tcBorders>
          </w:tcPr>
          <w:p>
            <w:pPr>
              <w:spacing w:after="0"/>
              <w:rPr>
                <w:sz w:val="3"/>
                <w:szCs w:val="3"/>
                <w:color w:val="auto"/>
              </w:rPr>
            </w:pPr>
          </w:p>
        </w:tc>
        <w:tc>
          <w:tcPr>
            <w:tcW w:w="400" w:type="dxa"/>
            <w:vAlign w:val="bottom"/>
            <w:tcBorders>
              <w:bottom w:val="single" w:sz="8" w:color="BCBEC0"/>
            </w:tcBorders>
          </w:tcPr>
          <w:p>
            <w:pPr>
              <w:spacing w:after="0"/>
              <w:rPr>
                <w:sz w:val="3"/>
                <w:szCs w:val="3"/>
                <w:color w:val="auto"/>
              </w:rPr>
            </w:pPr>
          </w:p>
        </w:tc>
        <w:tc>
          <w:tcPr>
            <w:tcW w:w="1100" w:type="dxa"/>
            <w:vAlign w:val="bottom"/>
            <w:tcBorders>
              <w:bottom w:val="single" w:sz="8" w:color="BCBEC0"/>
            </w:tcBorders>
          </w:tcPr>
          <w:p>
            <w:pPr>
              <w:spacing w:after="0"/>
              <w:rPr>
                <w:sz w:val="3"/>
                <w:szCs w:val="3"/>
                <w:color w:val="auto"/>
              </w:rPr>
            </w:pPr>
          </w:p>
        </w:tc>
        <w:tc>
          <w:tcPr>
            <w:tcW w:w="380" w:type="dxa"/>
            <w:vAlign w:val="bottom"/>
            <w:tcBorders>
              <w:bottom w:val="single" w:sz="8" w:color="BCBEC0"/>
            </w:tcBorders>
          </w:tcPr>
          <w:p>
            <w:pPr>
              <w:spacing w:after="0"/>
              <w:rPr>
                <w:sz w:val="3"/>
                <w:szCs w:val="3"/>
                <w:color w:val="auto"/>
              </w:rPr>
            </w:pPr>
          </w:p>
        </w:tc>
        <w:tc>
          <w:tcPr>
            <w:tcW w:w="1100" w:type="dxa"/>
            <w:vAlign w:val="bottom"/>
            <w:tcBorders>
              <w:bottom w:val="single" w:sz="8" w:color="BCBEC0"/>
            </w:tcBorders>
          </w:tcPr>
          <w:p>
            <w:pPr>
              <w:spacing w:after="0"/>
              <w:rPr>
                <w:sz w:val="3"/>
                <w:szCs w:val="3"/>
                <w:color w:val="auto"/>
              </w:rPr>
            </w:pPr>
          </w:p>
        </w:tc>
        <w:tc>
          <w:tcPr>
            <w:tcW w:w="380" w:type="dxa"/>
            <w:vAlign w:val="bottom"/>
            <w:tcBorders>
              <w:bottom w:val="single" w:sz="8" w:color="BCBEC0"/>
            </w:tcBorders>
          </w:tcPr>
          <w:p>
            <w:pPr>
              <w:spacing w:after="0"/>
              <w:rPr>
                <w:sz w:val="3"/>
                <w:szCs w:val="3"/>
                <w:color w:val="auto"/>
              </w:rPr>
            </w:pPr>
          </w:p>
        </w:tc>
        <w:tc>
          <w:tcPr>
            <w:tcW w:w="1020" w:type="dxa"/>
            <w:vAlign w:val="bottom"/>
            <w:tcBorders>
              <w:bottom w:val="single" w:sz="8" w:color="BCBEC0"/>
            </w:tcBorders>
          </w:tcPr>
          <w:p>
            <w:pPr>
              <w:spacing w:after="0"/>
              <w:rPr>
                <w:sz w:val="3"/>
                <w:szCs w:val="3"/>
                <w:color w:val="auto"/>
              </w:rPr>
            </w:pPr>
          </w:p>
        </w:tc>
      </w:tr>
      <w:tr>
        <w:trPr>
          <w:trHeight w:val="221"/>
        </w:trPr>
        <w:tc>
          <w:tcPr>
            <w:tcW w:w="5060" w:type="dxa"/>
            <w:vAlign w:val="bottom"/>
          </w:tcPr>
          <w:p>
            <w:pPr>
              <w:ind w:left="240"/>
              <w:spacing w:after="0"/>
              <w:rPr>
                <w:sz w:val="20"/>
                <w:szCs w:val="20"/>
                <w:color w:val="auto"/>
              </w:rPr>
            </w:pPr>
            <w:r>
              <w:rPr>
                <w:rFonts w:ascii="Arial" w:cs="Arial" w:eastAsia="Arial" w:hAnsi="Arial"/>
                <w:sz w:val="16"/>
                <w:szCs w:val="16"/>
                <w:color w:val="auto"/>
              </w:rPr>
              <w:t>Intangible amortization</w:t>
            </w:r>
          </w:p>
        </w:tc>
        <w:tc>
          <w:tcPr>
            <w:tcW w:w="700" w:type="dxa"/>
            <w:vAlign w:val="bottom"/>
          </w:tcPr>
          <w:p>
            <w:pPr>
              <w:spacing w:after="0"/>
              <w:rPr>
                <w:sz w:val="19"/>
                <w:szCs w:val="19"/>
                <w:color w:val="auto"/>
              </w:rPr>
            </w:pPr>
          </w:p>
        </w:tc>
        <w:tc>
          <w:tcPr>
            <w:tcW w:w="1100" w:type="dxa"/>
            <w:vAlign w:val="bottom"/>
          </w:tcPr>
          <w:p>
            <w:pPr>
              <w:jc w:val="right"/>
              <w:ind w:right="199"/>
              <w:spacing w:after="0"/>
              <w:rPr>
                <w:sz w:val="20"/>
                <w:szCs w:val="20"/>
                <w:color w:val="auto"/>
              </w:rPr>
            </w:pPr>
            <w:r>
              <w:rPr>
                <w:rFonts w:ascii="Arial" w:cs="Arial" w:eastAsia="Arial" w:hAnsi="Arial"/>
                <w:sz w:val="16"/>
                <w:szCs w:val="16"/>
                <w:color w:val="auto"/>
              </w:rPr>
              <w:t>58.1</w:t>
            </w:r>
          </w:p>
        </w:tc>
        <w:tc>
          <w:tcPr>
            <w:tcW w:w="400" w:type="dxa"/>
            <w:vAlign w:val="bottom"/>
          </w:tcPr>
          <w:p>
            <w:pPr>
              <w:spacing w:after="0"/>
              <w:rPr>
                <w:sz w:val="19"/>
                <w:szCs w:val="19"/>
                <w:color w:val="auto"/>
              </w:rPr>
            </w:pPr>
          </w:p>
        </w:tc>
        <w:tc>
          <w:tcPr>
            <w:tcW w:w="1100" w:type="dxa"/>
            <w:vAlign w:val="bottom"/>
          </w:tcPr>
          <w:p>
            <w:pPr>
              <w:jc w:val="right"/>
              <w:ind w:right="219"/>
              <w:spacing w:after="0"/>
              <w:rPr>
                <w:sz w:val="20"/>
                <w:szCs w:val="20"/>
                <w:color w:val="auto"/>
              </w:rPr>
            </w:pPr>
            <w:r>
              <w:rPr>
                <w:rFonts w:ascii="Arial" w:cs="Arial" w:eastAsia="Arial" w:hAnsi="Arial"/>
                <w:sz w:val="16"/>
                <w:szCs w:val="16"/>
                <w:color w:val="auto"/>
              </w:rPr>
              <w:t>54.3</w:t>
            </w:r>
          </w:p>
        </w:tc>
        <w:tc>
          <w:tcPr>
            <w:tcW w:w="380" w:type="dxa"/>
            <w:vAlign w:val="bottom"/>
          </w:tcPr>
          <w:p>
            <w:pPr>
              <w:spacing w:after="0"/>
              <w:rPr>
                <w:sz w:val="19"/>
                <w:szCs w:val="19"/>
                <w:color w:val="auto"/>
              </w:rPr>
            </w:pPr>
          </w:p>
        </w:tc>
        <w:tc>
          <w:tcPr>
            <w:tcW w:w="1100" w:type="dxa"/>
            <w:vAlign w:val="bottom"/>
          </w:tcPr>
          <w:p>
            <w:pPr>
              <w:jc w:val="right"/>
              <w:ind w:right="219"/>
              <w:spacing w:after="0"/>
              <w:rPr>
                <w:sz w:val="20"/>
                <w:szCs w:val="20"/>
                <w:color w:val="auto"/>
              </w:rPr>
            </w:pPr>
            <w:r>
              <w:rPr>
                <w:rFonts w:ascii="Arial" w:cs="Arial" w:eastAsia="Arial" w:hAnsi="Arial"/>
                <w:sz w:val="16"/>
                <w:szCs w:val="16"/>
                <w:color w:val="auto"/>
              </w:rPr>
              <w:t>55.3</w:t>
            </w:r>
          </w:p>
        </w:tc>
        <w:tc>
          <w:tcPr>
            <w:tcW w:w="380" w:type="dxa"/>
            <w:vAlign w:val="bottom"/>
          </w:tcPr>
          <w:p>
            <w:pPr>
              <w:spacing w:after="0"/>
              <w:rPr>
                <w:sz w:val="19"/>
                <w:szCs w:val="19"/>
                <w:color w:val="auto"/>
              </w:rPr>
            </w:pP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52.5</w:t>
            </w:r>
          </w:p>
        </w:tc>
      </w:tr>
      <w:tr>
        <w:trPr>
          <w:trHeight w:val="43"/>
        </w:trPr>
        <w:tc>
          <w:tcPr>
            <w:tcW w:w="5060" w:type="dxa"/>
            <w:vAlign w:val="bottom"/>
            <w:tcBorders>
              <w:bottom w:val="single" w:sz="8" w:color="BCBEC0"/>
            </w:tcBorders>
          </w:tcPr>
          <w:p>
            <w:pPr>
              <w:spacing w:after="0"/>
              <w:rPr>
                <w:sz w:val="3"/>
                <w:szCs w:val="3"/>
                <w:color w:val="auto"/>
              </w:rPr>
            </w:pPr>
          </w:p>
        </w:tc>
        <w:tc>
          <w:tcPr>
            <w:tcW w:w="700" w:type="dxa"/>
            <w:vAlign w:val="bottom"/>
            <w:tcBorders>
              <w:bottom w:val="single" w:sz="8" w:color="BCBEC0"/>
            </w:tcBorders>
          </w:tcPr>
          <w:p>
            <w:pPr>
              <w:spacing w:after="0"/>
              <w:rPr>
                <w:sz w:val="3"/>
                <w:szCs w:val="3"/>
                <w:color w:val="auto"/>
              </w:rPr>
            </w:pPr>
          </w:p>
        </w:tc>
        <w:tc>
          <w:tcPr>
            <w:tcW w:w="1100" w:type="dxa"/>
            <w:vAlign w:val="bottom"/>
            <w:tcBorders>
              <w:bottom w:val="single" w:sz="8" w:color="BCBEC0"/>
            </w:tcBorders>
          </w:tcPr>
          <w:p>
            <w:pPr>
              <w:spacing w:after="0"/>
              <w:rPr>
                <w:sz w:val="3"/>
                <w:szCs w:val="3"/>
                <w:color w:val="auto"/>
              </w:rPr>
            </w:pPr>
          </w:p>
        </w:tc>
        <w:tc>
          <w:tcPr>
            <w:tcW w:w="400" w:type="dxa"/>
            <w:vAlign w:val="bottom"/>
            <w:tcBorders>
              <w:bottom w:val="single" w:sz="8" w:color="BCBEC0"/>
            </w:tcBorders>
          </w:tcPr>
          <w:p>
            <w:pPr>
              <w:spacing w:after="0"/>
              <w:rPr>
                <w:sz w:val="3"/>
                <w:szCs w:val="3"/>
                <w:color w:val="auto"/>
              </w:rPr>
            </w:pPr>
          </w:p>
        </w:tc>
        <w:tc>
          <w:tcPr>
            <w:tcW w:w="1100" w:type="dxa"/>
            <w:vAlign w:val="bottom"/>
            <w:tcBorders>
              <w:bottom w:val="single" w:sz="8" w:color="BCBEC0"/>
            </w:tcBorders>
          </w:tcPr>
          <w:p>
            <w:pPr>
              <w:spacing w:after="0"/>
              <w:rPr>
                <w:sz w:val="3"/>
                <w:szCs w:val="3"/>
                <w:color w:val="auto"/>
              </w:rPr>
            </w:pPr>
          </w:p>
        </w:tc>
        <w:tc>
          <w:tcPr>
            <w:tcW w:w="380" w:type="dxa"/>
            <w:vAlign w:val="bottom"/>
            <w:tcBorders>
              <w:bottom w:val="single" w:sz="8" w:color="BCBEC0"/>
            </w:tcBorders>
          </w:tcPr>
          <w:p>
            <w:pPr>
              <w:spacing w:after="0"/>
              <w:rPr>
                <w:sz w:val="3"/>
                <w:szCs w:val="3"/>
                <w:color w:val="auto"/>
              </w:rPr>
            </w:pPr>
          </w:p>
        </w:tc>
        <w:tc>
          <w:tcPr>
            <w:tcW w:w="1100" w:type="dxa"/>
            <w:vAlign w:val="bottom"/>
            <w:tcBorders>
              <w:bottom w:val="single" w:sz="8" w:color="BCBEC0"/>
            </w:tcBorders>
          </w:tcPr>
          <w:p>
            <w:pPr>
              <w:spacing w:after="0"/>
              <w:rPr>
                <w:sz w:val="3"/>
                <w:szCs w:val="3"/>
                <w:color w:val="auto"/>
              </w:rPr>
            </w:pPr>
          </w:p>
        </w:tc>
        <w:tc>
          <w:tcPr>
            <w:tcW w:w="380" w:type="dxa"/>
            <w:vAlign w:val="bottom"/>
            <w:tcBorders>
              <w:bottom w:val="single" w:sz="8" w:color="BCBEC0"/>
            </w:tcBorders>
          </w:tcPr>
          <w:p>
            <w:pPr>
              <w:spacing w:after="0"/>
              <w:rPr>
                <w:sz w:val="3"/>
                <w:szCs w:val="3"/>
                <w:color w:val="auto"/>
              </w:rPr>
            </w:pPr>
          </w:p>
        </w:tc>
        <w:tc>
          <w:tcPr>
            <w:tcW w:w="1020" w:type="dxa"/>
            <w:vAlign w:val="bottom"/>
            <w:tcBorders>
              <w:bottom w:val="single" w:sz="8" w:color="BCBEC0"/>
            </w:tcBorders>
          </w:tcPr>
          <w:p>
            <w:pPr>
              <w:spacing w:after="0"/>
              <w:rPr>
                <w:sz w:val="3"/>
                <w:szCs w:val="3"/>
                <w:color w:val="auto"/>
              </w:rPr>
            </w:pPr>
          </w:p>
        </w:tc>
      </w:tr>
      <w:tr>
        <w:trPr>
          <w:trHeight w:val="221"/>
        </w:trPr>
        <w:tc>
          <w:tcPr>
            <w:tcW w:w="5060" w:type="dxa"/>
            <w:vAlign w:val="bottom"/>
          </w:tcPr>
          <w:p>
            <w:pPr>
              <w:ind w:left="240"/>
              <w:spacing w:after="0"/>
              <w:rPr>
                <w:sz w:val="20"/>
                <w:szCs w:val="20"/>
                <w:color w:val="auto"/>
              </w:rPr>
            </w:pPr>
            <w:r>
              <w:rPr>
                <w:rFonts w:ascii="Arial" w:cs="Arial" w:eastAsia="Arial" w:hAnsi="Arial"/>
                <w:sz w:val="16"/>
                <w:szCs w:val="16"/>
                <w:color w:val="auto"/>
              </w:rPr>
              <w:t>Legal accrual adjustments and settlements</w:t>
            </w:r>
          </w:p>
        </w:tc>
        <w:tc>
          <w:tcPr>
            <w:tcW w:w="700" w:type="dxa"/>
            <w:vAlign w:val="bottom"/>
          </w:tcPr>
          <w:p>
            <w:pPr>
              <w:spacing w:after="0"/>
              <w:rPr>
                <w:sz w:val="19"/>
                <w:szCs w:val="19"/>
                <w:color w:val="auto"/>
              </w:rPr>
            </w:pPr>
          </w:p>
        </w:tc>
        <w:tc>
          <w:tcPr>
            <w:tcW w:w="1100" w:type="dxa"/>
            <w:vAlign w:val="bottom"/>
          </w:tcPr>
          <w:p>
            <w:pPr>
              <w:jc w:val="right"/>
              <w:ind w:right="199"/>
              <w:spacing w:after="0"/>
              <w:rPr>
                <w:sz w:val="20"/>
                <w:szCs w:val="20"/>
                <w:color w:val="auto"/>
              </w:rPr>
            </w:pPr>
            <w:r>
              <w:rPr>
                <w:rFonts w:ascii="Arial" w:cs="Arial" w:eastAsia="Arial" w:hAnsi="Arial"/>
                <w:sz w:val="16"/>
                <w:szCs w:val="16"/>
                <w:color w:val="auto"/>
              </w:rPr>
              <w:t>11.6</w:t>
            </w:r>
          </w:p>
        </w:tc>
        <w:tc>
          <w:tcPr>
            <w:tcW w:w="400" w:type="dxa"/>
            <w:vAlign w:val="bottom"/>
          </w:tcPr>
          <w:p>
            <w:pPr>
              <w:spacing w:after="0"/>
              <w:rPr>
                <w:sz w:val="19"/>
                <w:szCs w:val="19"/>
                <w:color w:val="auto"/>
              </w:rPr>
            </w:pPr>
          </w:p>
        </w:tc>
        <w:tc>
          <w:tcPr>
            <w:tcW w:w="1100" w:type="dxa"/>
            <w:vAlign w:val="bottom"/>
          </w:tcPr>
          <w:p>
            <w:pPr>
              <w:jc w:val="right"/>
              <w:ind w:right="179"/>
              <w:spacing w:after="0"/>
              <w:rPr>
                <w:sz w:val="20"/>
                <w:szCs w:val="20"/>
                <w:color w:val="auto"/>
              </w:rPr>
            </w:pPr>
            <w:r>
              <w:rPr>
                <w:rFonts w:ascii="Arial" w:cs="Arial" w:eastAsia="Arial" w:hAnsi="Arial"/>
                <w:sz w:val="16"/>
                <w:szCs w:val="16"/>
                <w:color w:val="auto"/>
              </w:rPr>
              <w:t>(7.5)</w:t>
            </w:r>
          </w:p>
        </w:tc>
        <w:tc>
          <w:tcPr>
            <w:tcW w:w="380" w:type="dxa"/>
            <w:vAlign w:val="bottom"/>
          </w:tcPr>
          <w:p>
            <w:pPr>
              <w:spacing w:after="0"/>
              <w:rPr>
                <w:sz w:val="19"/>
                <w:szCs w:val="19"/>
                <w:color w:val="auto"/>
              </w:rPr>
            </w:pPr>
          </w:p>
        </w:tc>
        <w:tc>
          <w:tcPr>
            <w:tcW w:w="1100" w:type="dxa"/>
            <w:vAlign w:val="bottom"/>
          </w:tcPr>
          <w:p>
            <w:pPr>
              <w:jc w:val="right"/>
              <w:ind w:right="219"/>
              <w:spacing w:after="0"/>
              <w:rPr>
                <w:sz w:val="20"/>
                <w:szCs w:val="20"/>
                <w:color w:val="auto"/>
              </w:rPr>
            </w:pPr>
            <w:r>
              <w:rPr>
                <w:rFonts w:ascii="Arial" w:cs="Arial" w:eastAsia="Arial" w:hAnsi="Arial"/>
                <w:sz w:val="16"/>
                <w:szCs w:val="16"/>
                <w:color w:val="auto"/>
              </w:rPr>
              <w:t>2.2</w:t>
            </w:r>
          </w:p>
        </w:tc>
        <w:tc>
          <w:tcPr>
            <w:tcW w:w="380" w:type="dxa"/>
            <w:vAlign w:val="bottom"/>
          </w:tcPr>
          <w:p>
            <w:pPr>
              <w:spacing w:after="0"/>
              <w:rPr>
                <w:sz w:val="19"/>
                <w:szCs w:val="19"/>
                <w:color w:val="auto"/>
              </w:rPr>
            </w:pP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0.2</w:t>
            </w:r>
          </w:p>
        </w:tc>
      </w:tr>
      <w:tr>
        <w:trPr>
          <w:trHeight w:val="43"/>
        </w:trPr>
        <w:tc>
          <w:tcPr>
            <w:tcW w:w="5060" w:type="dxa"/>
            <w:vAlign w:val="bottom"/>
            <w:tcBorders>
              <w:bottom w:val="single" w:sz="8" w:color="BCBEC0"/>
            </w:tcBorders>
          </w:tcPr>
          <w:p>
            <w:pPr>
              <w:spacing w:after="0"/>
              <w:rPr>
                <w:sz w:val="3"/>
                <w:szCs w:val="3"/>
                <w:color w:val="auto"/>
              </w:rPr>
            </w:pPr>
          </w:p>
        </w:tc>
        <w:tc>
          <w:tcPr>
            <w:tcW w:w="700" w:type="dxa"/>
            <w:vAlign w:val="bottom"/>
            <w:tcBorders>
              <w:bottom w:val="single" w:sz="8" w:color="BCBEC0"/>
            </w:tcBorders>
          </w:tcPr>
          <w:p>
            <w:pPr>
              <w:spacing w:after="0"/>
              <w:rPr>
                <w:sz w:val="3"/>
                <w:szCs w:val="3"/>
                <w:color w:val="auto"/>
              </w:rPr>
            </w:pPr>
          </w:p>
        </w:tc>
        <w:tc>
          <w:tcPr>
            <w:tcW w:w="1100" w:type="dxa"/>
            <w:vAlign w:val="bottom"/>
            <w:tcBorders>
              <w:bottom w:val="single" w:sz="8" w:color="BCBEC0"/>
            </w:tcBorders>
          </w:tcPr>
          <w:p>
            <w:pPr>
              <w:spacing w:after="0"/>
              <w:rPr>
                <w:sz w:val="3"/>
                <w:szCs w:val="3"/>
                <w:color w:val="auto"/>
              </w:rPr>
            </w:pPr>
          </w:p>
        </w:tc>
        <w:tc>
          <w:tcPr>
            <w:tcW w:w="400" w:type="dxa"/>
            <w:vAlign w:val="bottom"/>
            <w:tcBorders>
              <w:bottom w:val="single" w:sz="8" w:color="BCBEC0"/>
            </w:tcBorders>
          </w:tcPr>
          <w:p>
            <w:pPr>
              <w:spacing w:after="0"/>
              <w:rPr>
                <w:sz w:val="3"/>
                <w:szCs w:val="3"/>
                <w:color w:val="auto"/>
              </w:rPr>
            </w:pPr>
          </w:p>
        </w:tc>
        <w:tc>
          <w:tcPr>
            <w:tcW w:w="1100" w:type="dxa"/>
            <w:vAlign w:val="bottom"/>
            <w:tcBorders>
              <w:bottom w:val="single" w:sz="8" w:color="BCBEC0"/>
            </w:tcBorders>
          </w:tcPr>
          <w:p>
            <w:pPr>
              <w:spacing w:after="0"/>
              <w:rPr>
                <w:sz w:val="3"/>
                <w:szCs w:val="3"/>
                <w:color w:val="auto"/>
              </w:rPr>
            </w:pPr>
          </w:p>
        </w:tc>
        <w:tc>
          <w:tcPr>
            <w:tcW w:w="380" w:type="dxa"/>
            <w:vAlign w:val="bottom"/>
            <w:tcBorders>
              <w:bottom w:val="single" w:sz="8" w:color="BCBEC0"/>
            </w:tcBorders>
          </w:tcPr>
          <w:p>
            <w:pPr>
              <w:spacing w:after="0"/>
              <w:rPr>
                <w:sz w:val="3"/>
                <w:szCs w:val="3"/>
                <w:color w:val="auto"/>
              </w:rPr>
            </w:pPr>
          </w:p>
        </w:tc>
        <w:tc>
          <w:tcPr>
            <w:tcW w:w="1100" w:type="dxa"/>
            <w:vAlign w:val="bottom"/>
            <w:tcBorders>
              <w:bottom w:val="single" w:sz="8" w:color="BCBEC0"/>
            </w:tcBorders>
          </w:tcPr>
          <w:p>
            <w:pPr>
              <w:spacing w:after="0"/>
              <w:rPr>
                <w:sz w:val="3"/>
                <w:szCs w:val="3"/>
                <w:color w:val="auto"/>
              </w:rPr>
            </w:pPr>
          </w:p>
        </w:tc>
        <w:tc>
          <w:tcPr>
            <w:tcW w:w="380" w:type="dxa"/>
            <w:vAlign w:val="bottom"/>
            <w:tcBorders>
              <w:bottom w:val="single" w:sz="8" w:color="BCBEC0"/>
            </w:tcBorders>
          </w:tcPr>
          <w:p>
            <w:pPr>
              <w:spacing w:after="0"/>
              <w:rPr>
                <w:sz w:val="3"/>
                <w:szCs w:val="3"/>
                <w:color w:val="auto"/>
              </w:rPr>
            </w:pPr>
          </w:p>
        </w:tc>
        <w:tc>
          <w:tcPr>
            <w:tcW w:w="1020" w:type="dxa"/>
            <w:vAlign w:val="bottom"/>
            <w:tcBorders>
              <w:bottom w:val="single" w:sz="8" w:color="BCBEC0"/>
            </w:tcBorders>
          </w:tcPr>
          <w:p>
            <w:pPr>
              <w:spacing w:after="0"/>
              <w:rPr>
                <w:sz w:val="3"/>
                <w:szCs w:val="3"/>
                <w:color w:val="auto"/>
              </w:rPr>
            </w:pPr>
          </w:p>
        </w:tc>
      </w:tr>
      <w:tr>
        <w:trPr>
          <w:trHeight w:val="221"/>
        </w:trPr>
        <w:tc>
          <w:tcPr>
            <w:tcW w:w="5060" w:type="dxa"/>
            <w:vAlign w:val="bottom"/>
          </w:tcPr>
          <w:p>
            <w:pPr>
              <w:ind w:left="240"/>
              <w:spacing w:after="0"/>
              <w:rPr>
                <w:sz w:val="20"/>
                <w:szCs w:val="20"/>
                <w:color w:val="auto"/>
              </w:rPr>
            </w:pPr>
            <w:r>
              <w:rPr>
                <w:rFonts w:ascii="Arial" w:cs="Arial" w:eastAsia="Arial" w:hAnsi="Arial"/>
                <w:sz w:val="16"/>
                <w:szCs w:val="16"/>
                <w:color w:val="auto"/>
              </w:rPr>
              <w:t>Asset impairment and write-offs</w:t>
            </w:r>
          </w:p>
        </w:tc>
        <w:tc>
          <w:tcPr>
            <w:tcW w:w="700" w:type="dxa"/>
            <w:vAlign w:val="bottom"/>
          </w:tcPr>
          <w:p>
            <w:pPr>
              <w:spacing w:after="0"/>
              <w:rPr>
                <w:sz w:val="19"/>
                <w:szCs w:val="19"/>
                <w:color w:val="auto"/>
              </w:rPr>
            </w:pPr>
          </w:p>
        </w:tc>
        <w:tc>
          <w:tcPr>
            <w:tcW w:w="1100" w:type="dxa"/>
            <w:vAlign w:val="bottom"/>
          </w:tcPr>
          <w:p>
            <w:pPr>
              <w:jc w:val="right"/>
              <w:ind w:right="199"/>
              <w:spacing w:after="0"/>
              <w:rPr>
                <w:sz w:val="20"/>
                <w:szCs w:val="20"/>
                <w:color w:val="auto"/>
              </w:rPr>
            </w:pPr>
            <w:r>
              <w:rPr>
                <w:rFonts w:ascii="Arial" w:cs="Arial" w:eastAsia="Arial" w:hAnsi="Arial"/>
                <w:sz w:val="16"/>
                <w:szCs w:val="16"/>
                <w:color w:val="auto"/>
              </w:rPr>
              <w:t>49.1</w:t>
            </w:r>
          </w:p>
        </w:tc>
        <w:tc>
          <w:tcPr>
            <w:tcW w:w="400" w:type="dxa"/>
            <w:vAlign w:val="bottom"/>
          </w:tcPr>
          <w:p>
            <w:pPr>
              <w:spacing w:after="0"/>
              <w:rPr>
                <w:sz w:val="19"/>
                <w:szCs w:val="19"/>
                <w:color w:val="auto"/>
              </w:rPr>
            </w:pPr>
          </w:p>
        </w:tc>
        <w:tc>
          <w:tcPr>
            <w:tcW w:w="1100" w:type="dxa"/>
            <w:vAlign w:val="bottom"/>
          </w:tcPr>
          <w:p>
            <w:pPr>
              <w:jc w:val="right"/>
              <w:ind w:right="219"/>
              <w:spacing w:after="0"/>
              <w:rPr>
                <w:sz w:val="20"/>
                <w:szCs w:val="20"/>
                <w:color w:val="auto"/>
              </w:rPr>
            </w:pPr>
            <w:r>
              <w:rPr>
                <w:rFonts w:ascii="Arial" w:cs="Arial" w:eastAsia="Arial" w:hAnsi="Arial"/>
                <w:sz w:val="16"/>
                <w:szCs w:val="16"/>
                <w:color w:val="auto"/>
              </w:rPr>
              <w:t>17.6</w:t>
            </w:r>
          </w:p>
        </w:tc>
        <w:tc>
          <w:tcPr>
            <w:tcW w:w="380" w:type="dxa"/>
            <w:vAlign w:val="bottom"/>
          </w:tcPr>
          <w:p>
            <w:pPr>
              <w:spacing w:after="0"/>
              <w:rPr>
                <w:sz w:val="19"/>
                <w:szCs w:val="19"/>
                <w:color w:val="auto"/>
              </w:rPr>
            </w:pPr>
          </w:p>
        </w:tc>
        <w:tc>
          <w:tcPr>
            <w:tcW w:w="1100" w:type="dxa"/>
            <w:vAlign w:val="bottom"/>
          </w:tcPr>
          <w:p>
            <w:pPr>
              <w:jc w:val="right"/>
              <w:ind w:right="219"/>
              <w:spacing w:after="0"/>
              <w:rPr>
                <w:sz w:val="20"/>
                <w:szCs w:val="20"/>
                <w:color w:val="auto"/>
              </w:rPr>
            </w:pPr>
            <w:r>
              <w:rPr>
                <w:rFonts w:ascii="Arial" w:cs="Arial" w:eastAsia="Arial" w:hAnsi="Arial"/>
                <w:sz w:val="16"/>
                <w:szCs w:val="16"/>
                <w:color w:val="auto"/>
              </w:rPr>
              <w:t>7.9</w:t>
            </w:r>
          </w:p>
        </w:tc>
        <w:tc>
          <w:tcPr>
            <w:tcW w:w="380" w:type="dxa"/>
            <w:vAlign w:val="bottom"/>
          </w:tcPr>
          <w:p>
            <w:pPr>
              <w:spacing w:after="0"/>
              <w:rPr>
                <w:sz w:val="19"/>
                <w:szCs w:val="19"/>
                <w:color w:val="auto"/>
              </w:rPr>
            </w:pP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25.6</w:t>
            </w:r>
          </w:p>
        </w:tc>
      </w:tr>
      <w:tr>
        <w:trPr>
          <w:trHeight w:val="43"/>
        </w:trPr>
        <w:tc>
          <w:tcPr>
            <w:tcW w:w="5060" w:type="dxa"/>
            <w:vAlign w:val="bottom"/>
            <w:tcBorders>
              <w:bottom w:val="single" w:sz="8" w:color="BCBEC0"/>
            </w:tcBorders>
          </w:tcPr>
          <w:p>
            <w:pPr>
              <w:spacing w:after="0"/>
              <w:rPr>
                <w:sz w:val="3"/>
                <w:szCs w:val="3"/>
                <w:color w:val="auto"/>
              </w:rPr>
            </w:pPr>
          </w:p>
        </w:tc>
        <w:tc>
          <w:tcPr>
            <w:tcW w:w="700" w:type="dxa"/>
            <w:vAlign w:val="bottom"/>
            <w:tcBorders>
              <w:bottom w:val="single" w:sz="8" w:color="BCBEC0"/>
            </w:tcBorders>
          </w:tcPr>
          <w:p>
            <w:pPr>
              <w:spacing w:after="0"/>
              <w:rPr>
                <w:sz w:val="3"/>
                <w:szCs w:val="3"/>
                <w:color w:val="auto"/>
              </w:rPr>
            </w:pPr>
          </w:p>
        </w:tc>
        <w:tc>
          <w:tcPr>
            <w:tcW w:w="1100" w:type="dxa"/>
            <w:vAlign w:val="bottom"/>
            <w:tcBorders>
              <w:bottom w:val="single" w:sz="8" w:color="BCBEC0"/>
            </w:tcBorders>
          </w:tcPr>
          <w:p>
            <w:pPr>
              <w:spacing w:after="0"/>
              <w:rPr>
                <w:sz w:val="3"/>
                <w:szCs w:val="3"/>
                <w:color w:val="auto"/>
              </w:rPr>
            </w:pPr>
          </w:p>
        </w:tc>
        <w:tc>
          <w:tcPr>
            <w:tcW w:w="400" w:type="dxa"/>
            <w:vAlign w:val="bottom"/>
            <w:tcBorders>
              <w:bottom w:val="single" w:sz="8" w:color="BCBEC0"/>
            </w:tcBorders>
          </w:tcPr>
          <w:p>
            <w:pPr>
              <w:spacing w:after="0"/>
              <w:rPr>
                <w:sz w:val="3"/>
                <w:szCs w:val="3"/>
                <w:color w:val="auto"/>
              </w:rPr>
            </w:pPr>
          </w:p>
        </w:tc>
        <w:tc>
          <w:tcPr>
            <w:tcW w:w="1100" w:type="dxa"/>
            <w:vAlign w:val="bottom"/>
            <w:tcBorders>
              <w:bottom w:val="single" w:sz="8" w:color="BCBEC0"/>
            </w:tcBorders>
          </w:tcPr>
          <w:p>
            <w:pPr>
              <w:spacing w:after="0"/>
              <w:rPr>
                <w:sz w:val="3"/>
                <w:szCs w:val="3"/>
                <w:color w:val="auto"/>
              </w:rPr>
            </w:pPr>
          </w:p>
        </w:tc>
        <w:tc>
          <w:tcPr>
            <w:tcW w:w="380" w:type="dxa"/>
            <w:vAlign w:val="bottom"/>
            <w:tcBorders>
              <w:bottom w:val="single" w:sz="8" w:color="BCBEC0"/>
            </w:tcBorders>
          </w:tcPr>
          <w:p>
            <w:pPr>
              <w:spacing w:after="0"/>
              <w:rPr>
                <w:sz w:val="3"/>
                <w:szCs w:val="3"/>
                <w:color w:val="auto"/>
              </w:rPr>
            </w:pPr>
          </w:p>
        </w:tc>
        <w:tc>
          <w:tcPr>
            <w:tcW w:w="1100" w:type="dxa"/>
            <w:vAlign w:val="bottom"/>
            <w:tcBorders>
              <w:bottom w:val="single" w:sz="8" w:color="BCBEC0"/>
            </w:tcBorders>
          </w:tcPr>
          <w:p>
            <w:pPr>
              <w:spacing w:after="0"/>
              <w:rPr>
                <w:sz w:val="3"/>
                <w:szCs w:val="3"/>
                <w:color w:val="auto"/>
              </w:rPr>
            </w:pPr>
          </w:p>
        </w:tc>
        <w:tc>
          <w:tcPr>
            <w:tcW w:w="380" w:type="dxa"/>
            <w:vAlign w:val="bottom"/>
            <w:tcBorders>
              <w:bottom w:val="single" w:sz="8" w:color="BCBEC0"/>
            </w:tcBorders>
          </w:tcPr>
          <w:p>
            <w:pPr>
              <w:spacing w:after="0"/>
              <w:rPr>
                <w:sz w:val="3"/>
                <w:szCs w:val="3"/>
                <w:color w:val="auto"/>
              </w:rPr>
            </w:pPr>
          </w:p>
        </w:tc>
        <w:tc>
          <w:tcPr>
            <w:tcW w:w="1020" w:type="dxa"/>
            <w:vAlign w:val="bottom"/>
            <w:tcBorders>
              <w:bottom w:val="single" w:sz="8" w:color="BCBEC0"/>
            </w:tcBorders>
          </w:tcPr>
          <w:p>
            <w:pPr>
              <w:spacing w:after="0"/>
              <w:rPr>
                <w:sz w:val="3"/>
                <w:szCs w:val="3"/>
                <w:color w:val="auto"/>
              </w:rPr>
            </w:pPr>
          </w:p>
        </w:tc>
      </w:tr>
      <w:tr>
        <w:trPr>
          <w:trHeight w:val="221"/>
        </w:trPr>
        <w:tc>
          <w:tcPr>
            <w:tcW w:w="5060" w:type="dxa"/>
            <w:vAlign w:val="bottom"/>
          </w:tcPr>
          <w:p>
            <w:pPr>
              <w:ind w:left="240"/>
              <w:spacing w:after="0"/>
              <w:rPr>
                <w:sz w:val="20"/>
                <w:szCs w:val="20"/>
                <w:color w:val="auto"/>
              </w:rPr>
            </w:pPr>
            <w:r>
              <w:rPr>
                <w:rFonts w:ascii="Arial" w:cs="Arial" w:eastAsia="Arial" w:hAnsi="Arial"/>
                <w:sz w:val="16"/>
                <w:szCs w:val="16"/>
                <w:color w:val="auto"/>
              </w:rPr>
              <w:t>Inventory step-up</w:t>
            </w:r>
          </w:p>
        </w:tc>
        <w:tc>
          <w:tcPr>
            <w:tcW w:w="700" w:type="dxa"/>
            <w:vAlign w:val="bottom"/>
          </w:tcPr>
          <w:p>
            <w:pPr>
              <w:spacing w:after="0"/>
              <w:rPr>
                <w:sz w:val="19"/>
                <w:szCs w:val="19"/>
                <w:color w:val="auto"/>
              </w:rPr>
            </w:pPr>
          </w:p>
        </w:tc>
        <w:tc>
          <w:tcPr>
            <w:tcW w:w="11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9"/>
                <w:szCs w:val="19"/>
                <w:color w:val="auto"/>
              </w:rPr>
            </w:pPr>
          </w:p>
        </w:tc>
        <w:tc>
          <w:tcPr>
            <w:tcW w:w="110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9"/>
                <w:szCs w:val="19"/>
                <w:color w:val="auto"/>
              </w:rPr>
            </w:pPr>
          </w:p>
        </w:tc>
        <w:tc>
          <w:tcPr>
            <w:tcW w:w="110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9"/>
                <w:szCs w:val="19"/>
                <w:color w:val="auto"/>
              </w:rPr>
            </w:pP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5.8</w:t>
            </w:r>
          </w:p>
        </w:tc>
      </w:tr>
      <w:tr>
        <w:trPr>
          <w:trHeight w:val="43"/>
        </w:trPr>
        <w:tc>
          <w:tcPr>
            <w:tcW w:w="5060" w:type="dxa"/>
            <w:vAlign w:val="bottom"/>
            <w:tcBorders>
              <w:bottom w:val="single" w:sz="8" w:color="BCBEC0"/>
            </w:tcBorders>
          </w:tcPr>
          <w:p>
            <w:pPr>
              <w:spacing w:after="0"/>
              <w:rPr>
                <w:sz w:val="3"/>
                <w:szCs w:val="3"/>
                <w:color w:val="auto"/>
              </w:rPr>
            </w:pPr>
          </w:p>
        </w:tc>
        <w:tc>
          <w:tcPr>
            <w:tcW w:w="700" w:type="dxa"/>
            <w:vAlign w:val="bottom"/>
            <w:tcBorders>
              <w:bottom w:val="single" w:sz="8" w:color="BCBEC0"/>
            </w:tcBorders>
          </w:tcPr>
          <w:p>
            <w:pPr>
              <w:spacing w:after="0"/>
              <w:rPr>
                <w:sz w:val="3"/>
                <w:szCs w:val="3"/>
                <w:color w:val="auto"/>
              </w:rPr>
            </w:pPr>
          </w:p>
        </w:tc>
        <w:tc>
          <w:tcPr>
            <w:tcW w:w="1100" w:type="dxa"/>
            <w:vAlign w:val="bottom"/>
            <w:tcBorders>
              <w:bottom w:val="single" w:sz="8" w:color="BCBEC0"/>
            </w:tcBorders>
          </w:tcPr>
          <w:p>
            <w:pPr>
              <w:spacing w:after="0"/>
              <w:rPr>
                <w:sz w:val="3"/>
                <w:szCs w:val="3"/>
                <w:color w:val="auto"/>
              </w:rPr>
            </w:pPr>
          </w:p>
        </w:tc>
        <w:tc>
          <w:tcPr>
            <w:tcW w:w="400" w:type="dxa"/>
            <w:vAlign w:val="bottom"/>
            <w:tcBorders>
              <w:bottom w:val="single" w:sz="8" w:color="BCBEC0"/>
            </w:tcBorders>
          </w:tcPr>
          <w:p>
            <w:pPr>
              <w:spacing w:after="0"/>
              <w:rPr>
                <w:sz w:val="3"/>
                <w:szCs w:val="3"/>
                <w:color w:val="auto"/>
              </w:rPr>
            </w:pPr>
          </w:p>
        </w:tc>
        <w:tc>
          <w:tcPr>
            <w:tcW w:w="1100" w:type="dxa"/>
            <w:vAlign w:val="bottom"/>
            <w:tcBorders>
              <w:bottom w:val="single" w:sz="8" w:color="BCBEC0"/>
            </w:tcBorders>
          </w:tcPr>
          <w:p>
            <w:pPr>
              <w:spacing w:after="0"/>
              <w:rPr>
                <w:sz w:val="3"/>
                <w:szCs w:val="3"/>
                <w:color w:val="auto"/>
              </w:rPr>
            </w:pPr>
          </w:p>
        </w:tc>
        <w:tc>
          <w:tcPr>
            <w:tcW w:w="380" w:type="dxa"/>
            <w:vAlign w:val="bottom"/>
            <w:tcBorders>
              <w:bottom w:val="single" w:sz="8" w:color="BCBEC0"/>
            </w:tcBorders>
          </w:tcPr>
          <w:p>
            <w:pPr>
              <w:spacing w:after="0"/>
              <w:rPr>
                <w:sz w:val="3"/>
                <w:szCs w:val="3"/>
                <w:color w:val="auto"/>
              </w:rPr>
            </w:pPr>
          </w:p>
        </w:tc>
        <w:tc>
          <w:tcPr>
            <w:tcW w:w="1100" w:type="dxa"/>
            <w:vAlign w:val="bottom"/>
            <w:tcBorders>
              <w:bottom w:val="single" w:sz="8" w:color="BCBEC0"/>
            </w:tcBorders>
          </w:tcPr>
          <w:p>
            <w:pPr>
              <w:spacing w:after="0"/>
              <w:rPr>
                <w:sz w:val="3"/>
                <w:szCs w:val="3"/>
                <w:color w:val="auto"/>
              </w:rPr>
            </w:pPr>
          </w:p>
        </w:tc>
        <w:tc>
          <w:tcPr>
            <w:tcW w:w="380" w:type="dxa"/>
            <w:vAlign w:val="bottom"/>
            <w:tcBorders>
              <w:bottom w:val="single" w:sz="8" w:color="BCBEC0"/>
            </w:tcBorders>
          </w:tcPr>
          <w:p>
            <w:pPr>
              <w:spacing w:after="0"/>
              <w:rPr>
                <w:sz w:val="3"/>
                <w:szCs w:val="3"/>
                <w:color w:val="auto"/>
              </w:rPr>
            </w:pPr>
          </w:p>
        </w:tc>
        <w:tc>
          <w:tcPr>
            <w:tcW w:w="1020" w:type="dxa"/>
            <w:vAlign w:val="bottom"/>
            <w:tcBorders>
              <w:bottom w:val="single" w:sz="8" w:color="BCBEC0"/>
            </w:tcBorders>
          </w:tcPr>
          <w:p>
            <w:pPr>
              <w:spacing w:after="0"/>
              <w:rPr>
                <w:sz w:val="3"/>
                <w:szCs w:val="3"/>
                <w:color w:val="auto"/>
              </w:rPr>
            </w:pPr>
          </w:p>
        </w:tc>
      </w:tr>
      <w:tr>
        <w:trPr>
          <w:trHeight w:val="221"/>
        </w:trPr>
        <w:tc>
          <w:tcPr>
            <w:tcW w:w="5060" w:type="dxa"/>
            <w:vAlign w:val="bottom"/>
          </w:tcPr>
          <w:p>
            <w:pPr>
              <w:ind w:left="240"/>
              <w:spacing w:after="0"/>
              <w:rPr>
                <w:sz w:val="20"/>
                <w:szCs w:val="20"/>
                <w:color w:val="auto"/>
              </w:rPr>
            </w:pPr>
            <w:r>
              <w:rPr>
                <w:rFonts w:ascii="Arial" w:cs="Arial" w:eastAsia="Arial" w:hAnsi="Arial"/>
                <w:sz w:val="16"/>
                <w:szCs w:val="16"/>
                <w:color w:val="auto"/>
              </w:rPr>
              <w:t>Deal-related costs and expenses</w:t>
            </w:r>
          </w:p>
        </w:tc>
        <w:tc>
          <w:tcPr>
            <w:tcW w:w="700" w:type="dxa"/>
            <w:vAlign w:val="bottom"/>
          </w:tcPr>
          <w:p>
            <w:pPr>
              <w:spacing w:after="0"/>
              <w:rPr>
                <w:sz w:val="19"/>
                <w:szCs w:val="19"/>
                <w:color w:val="auto"/>
              </w:rPr>
            </w:pPr>
          </w:p>
        </w:tc>
        <w:tc>
          <w:tcPr>
            <w:tcW w:w="1100" w:type="dxa"/>
            <w:vAlign w:val="bottom"/>
          </w:tcPr>
          <w:p>
            <w:pPr>
              <w:jc w:val="right"/>
              <w:ind w:right="199"/>
              <w:spacing w:after="0"/>
              <w:rPr>
                <w:sz w:val="20"/>
                <w:szCs w:val="20"/>
                <w:color w:val="auto"/>
              </w:rPr>
            </w:pPr>
            <w:r>
              <w:rPr>
                <w:rFonts w:ascii="Arial" w:cs="Arial" w:eastAsia="Arial" w:hAnsi="Arial"/>
                <w:sz w:val="16"/>
                <w:szCs w:val="16"/>
                <w:color w:val="auto"/>
              </w:rPr>
              <w:t>4.1</w:t>
            </w:r>
          </w:p>
        </w:tc>
        <w:tc>
          <w:tcPr>
            <w:tcW w:w="400" w:type="dxa"/>
            <w:vAlign w:val="bottom"/>
          </w:tcPr>
          <w:p>
            <w:pPr>
              <w:spacing w:after="0"/>
              <w:rPr>
                <w:sz w:val="19"/>
                <w:szCs w:val="19"/>
                <w:color w:val="auto"/>
              </w:rPr>
            </w:pPr>
          </w:p>
        </w:tc>
        <w:tc>
          <w:tcPr>
            <w:tcW w:w="110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9"/>
                <w:szCs w:val="19"/>
                <w:color w:val="auto"/>
              </w:rPr>
            </w:pPr>
          </w:p>
        </w:tc>
        <w:tc>
          <w:tcPr>
            <w:tcW w:w="110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9"/>
                <w:szCs w:val="19"/>
                <w:color w:val="auto"/>
              </w:rPr>
            </w:pP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22.2</w:t>
            </w:r>
          </w:p>
        </w:tc>
      </w:tr>
      <w:tr>
        <w:trPr>
          <w:trHeight w:val="43"/>
        </w:trPr>
        <w:tc>
          <w:tcPr>
            <w:tcW w:w="5060" w:type="dxa"/>
            <w:vAlign w:val="bottom"/>
            <w:tcBorders>
              <w:bottom w:val="single" w:sz="8" w:color="BCBEC0"/>
            </w:tcBorders>
          </w:tcPr>
          <w:p>
            <w:pPr>
              <w:spacing w:after="0"/>
              <w:rPr>
                <w:sz w:val="3"/>
                <w:szCs w:val="3"/>
                <w:color w:val="auto"/>
              </w:rPr>
            </w:pPr>
          </w:p>
        </w:tc>
        <w:tc>
          <w:tcPr>
            <w:tcW w:w="700" w:type="dxa"/>
            <w:vAlign w:val="bottom"/>
            <w:tcBorders>
              <w:bottom w:val="single" w:sz="8" w:color="BCBEC0"/>
            </w:tcBorders>
          </w:tcPr>
          <w:p>
            <w:pPr>
              <w:spacing w:after="0"/>
              <w:rPr>
                <w:sz w:val="3"/>
                <w:szCs w:val="3"/>
                <w:color w:val="auto"/>
              </w:rPr>
            </w:pPr>
          </w:p>
        </w:tc>
        <w:tc>
          <w:tcPr>
            <w:tcW w:w="1100" w:type="dxa"/>
            <w:vAlign w:val="bottom"/>
            <w:tcBorders>
              <w:bottom w:val="single" w:sz="8" w:color="BCBEC0"/>
            </w:tcBorders>
          </w:tcPr>
          <w:p>
            <w:pPr>
              <w:spacing w:after="0"/>
              <w:rPr>
                <w:sz w:val="3"/>
                <w:szCs w:val="3"/>
                <w:color w:val="auto"/>
              </w:rPr>
            </w:pPr>
          </w:p>
        </w:tc>
        <w:tc>
          <w:tcPr>
            <w:tcW w:w="400" w:type="dxa"/>
            <w:vAlign w:val="bottom"/>
            <w:tcBorders>
              <w:bottom w:val="single" w:sz="8" w:color="BCBEC0"/>
            </w:tcBorders>
          </w:tcPr>
          <w:p>
            <w:pPr>
              <w:spacing w:after="0"/>
              <w:rPr>
                <w:sz w:val="3"/>
                <w:szCs w:val="3"/>
                <w:color w:val="auto"/>
              </w:rPr>
            </w:pPr>
          </w:p>
        </w:tc>
        <w:tc>
          <w:tcPr>
            <w:tcW w:w="1100" w:type="dxa"/>
            <w:vAlign w:val="bottom"/>
            <w:tcBorders>
              <w:bottom w:val="single" w:sz="8" w:color="BCBEC0"/>
            </w:tcBorders>
          </w:tcPr>
          <w:p>
            <w:pPr>
              <w:spacing w:after="0"/>
              <w:rPr>
                <w:sz w:val="3"/>
                <w:szCs w:val="3"/>
                <w:color w:val="auto"/>
              </w:rPr>
            </w:pPr>
          </w:p>
        </w:tc>
        <w:tc>
          <w:tcPr>
            <w:tcW w:w="380" w:type="dxa"/>
            <w:vAlign w:val="bottom"/>
            <w:tcBorders>
              <w:bottom w:val="single" w:sz="8" w:color="BCBEC0"/>
            </w:tcBorders>
          </w:tcPr>
          <w:p>
            <w:pPr>
              <w:spacing w:after="0"/>
              <w:rPr>
                <w:sz w:val="3"/>
                <w:szCs w:val="3"/>
                <w:color w:val="auto"/>
              </w:rPr>
            </w:pPr>
          </w:p>
        </w:tc>
        <w:tc>
          <w:tcPr>
            <w:tcW w:w="1100" w:type="dxa"/>
            <w:vAlign w:val="bottom"/>
            <w:tcBorders>
              <w:bottom w:val="single" w:sz="8" w:color="BCBEC0"/>
            </w:tcBorders>
          </w:tcPr>
          <w:p>
            <w:pPr>
              <w:spacing w:after="0"/>
              <w:rPr>
                <w:sz w:val="3"/>
                <w:szCs w:val="3"/>
                <w:color w:val="auto"/>
              </w:rPr>
            </w:pPr>
          </w:p>
        </w:tc>
        <w:tc>
          <w:tcPr>
            <w:tcW w:w="380" w:type="dxa"/>
            <w:vAlign w:val="bottom"/>
            <w:tcBorders>
              <w:bottom w:val="single" w:sz="8" w:color="BCBEC0"/>
            </w:tcBorders>
          </w:tcPr>
          <w:p>
            <w:pPr>
              <w:spacing w:after="0"/>
              <w:rPr>
                <w:sz w:val="3"/>
                <w:szCs w:val="3"/>
                <w:color w:val="auto"/>
              </w:rPr>
            </w:pPr>
          </w:p>
        </w:tc>
        <w:tc>
          <w:tcPr>
            <w:tcW w:w="1020" w:type="dxa"/>
            <w:vAlign w:val="bottom"/>
            <w:tcBorders>
              <w:bottom w:val="single" w:sz="8" w:color="BCBEC0"/>
            </w:tcBorders>
          </w:tcPr>
          <w:p>
            <w:pPr>
              <w:spacing w:after="0"/>
              <w:rPr>
                <w:sz w:val="3"/>
                <w:szCs w:val="3"/>
                <w:color w:val="auto"/>
              </w:rPr>
            </w:pPr>
          </w:p>
        </w:tc>
      </w:tr>
      <w:tr>
        <w:trPr>
          <w:trHeight w:val="221"/>
        </w:trPr>
        <w:tc>
          <w:tcPr>
            <w:tcW w:w="5060" w:type="dxa"/>
            <w:vAlign w:val="bottom"/>
          </w:tcPr>
          <w:p>
            <w:pPr>
              <w:ind w:left="240"/>
              <w:spacing w:after="0"/>
              <w:rPr>
                <w:sz w:val="20"/>
                <w:szCs w:val="20"/>
                <w:color w:val="auto"/>
              </w:rPr>
            </w:pPr>
            <w:r>
              <w:rPr>
                <w:rFonts w:ascii="Arial" w:cs="Arial" w:eastAsia="Arial" w:hAnsi="Arial"/>
                <w:sz w:val="16"/>
                <w:szCs w:val="16"/>
                <w:color w:val="auto"/>
              </w:rPr>
              <w:t>Russia business exit impact</w:t>
            </w:r>
          </w:p>
        </w:tc>
        <w:tc>
          <w:tcPr>
            <w:tcW w:w="700" w:type="dxa"/>
            <w:vAlign w:val="bottom"/>
          </w:tcPr>
          <w:p>
            <w:pPr>
              <w:spacing w:after="0"/>
              <w:rPr>
                <w:sz w:val="19"/>
                <w:szCs w:val="19"/>
                <w:color w:val="auto"/>
              </w:rPr>
            </w:pPr>
          </w:p>
        </w:tc>
        <w:tc>
          <w:tcPr>
            <w:tcW w:w="11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9"/>
                <w:szCs w:val="19"/>
                <w:color w:val="auto"/>
              </w:rPr>
            </w:pPr>
          </w:p>
        </w:tc>
        <w:tc>
          <w:tcPr>
            <w:tcW w:w="110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9"/>
                <w:szCs w:val="19"/>
                <w:color w:val="auto"/>
              </w:rPr>
            </w:pPr>
          </w:p>
        </w:tc>
        <w:tc>
          <w:tcPr>
            <w:tcW w:w="110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9"/>
                <w:szCs w:val="19"/>
                <w:color w:val="auto"/>
              </w:rPr>
            </w:pP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4.7</w:t>
            </w:r>
          </w:p>
        </w:tc>
      </w:tr>
      <w:tr>
        <w:trPr>
          <w:trHeight w:val="42"/>
        </w:trPr>
        <w:tc>
          <w:tcPr>
            <w:tcW w:w="5060" w:type="dxa"/>
            <w:vAlign w:val="bottom"/>
            <w:tcBorders>
              <w:bottom w:val="single" w:sz="8" w:color="BCBEC0"/>
            </w:tcBorders>
          </w:tcPr>
          <w:p>
            <w:pPr>
              <w:spacing w:after="0"/>
              <w:rPr>
                <w:sz w:val="3"/>
                <w:szCs w:val="3"/>
                <w:color w:val="auto"/>
              </w:rPr>
            </w:pPr>
          </w:p>
        </w:tc>
        <w:tc>
          <w:tcPr>
            <w:tcW w:w="700" w:type="dxa"/>
            <w:vAlign w:val="bottom"/>
            <w:tcBorders>
              <w:bottom w:val="single" w:sz="8" w:color="BCBEC0"/>
            </w:tcBorders>
          </w:tcPr>
          <w:p>
            <w:pPr>
              <w:spacing w:after="0"/>
              <w:rPr>
                <w:sz w:val="3"/>
                <w:szCs w:val="3"/>
                <w:color w:val="auto"/>
              </w:rPr>
            </w:pPr>
          </w:p>
        </w:tc>
        <w:tc>
          <w:tcPr>
            <w:tcW w:w="1100" w:type="dxa"/>
            <w:vAlign w:val="bottom"/>
            <w:tcBorders>
              <w:bottom w:val="single" w:sz="8" w:color="BCBEC0"/>
            </w:tcBorders>
          </w:tcPr>
          <w:p>
            <w:pPr>
              <w:spacing w:after="0"/>
              <w:rPr>
                <w:sz w:val="3"/>
                <w:szCs w:val="3"/>
                <w:color w:val="auto"/>
              </w:rPr>
            </w:pPr>
          </w:p>
        </w:tc>
        <w:tc>
          <w:tcPr>
            <w:tcW w:w="400" w:type="dxa"/>
            <w:vAlign w:val="bottom"/>
            <w:tcBorders>
              <w:bottom w:val="single" w:sz="8" w:color="BCBEC0"/>
            </w:tcBorders>
          </w:tcPr>
          <w:p>
            <w:pPr>
              <w:spacing w:after="0"/>
              <w:rPr>
                <w:sz w:val="3"/>
                <w:szCs w:val="3"/>
                <w:color w:val="auto"/>
              </w:rPr>
            </w:pPr>
          </w:p>
        </w:tc>
        <w:tc>
          <w:tcPr>
            <w:tcW w:w="1100" w:type="dxa"/>
            <w:vAlign w:val="bottom"/>
            <w:tcBorders>
              <w:bottom w:val="single" w:sz="8" w:color="BCBEC0"/>
            </w:tcBorders>
          </w:tcPr>
          <w:p>
            <w:pPr>
              <w:spacing w:after="0"/>
              <w:rPr>
                <w:sz w:val="3"/>
                <w:szCs w:val="3"/>
                <w:color w:val="auto"/>
              </w:rPr>
            </w:pPr>
          </w:p>
        </w:tc>
        <w:tc>
          <w:tcPr>
            <w:tcW w:w="380" w:type="dxa"/>
            <w:vAlign w:val="bottom"/>
            <w:tcBorders>
              <w:bottom w:val="single" w:sz="8" w:color="BCBEC0"/>
            </w:tcBorders>
          </w:tcPr>
          <w:p>
            <w:pPr>
              <w:spacing w:after="0"/>
              <w:rPr>
                <w:sz w:val="3"/>
                <w:szCs w:val="3"/>
                <w:color w:val="auto"/>
              </w:rPr>
            </w:pPr>
          </w:p>
        </w:tc>
        <w:tc>
          <w:tcPr>
            <w:tcW w:w="1100" w:type="dxa"/>
            <w:vAlign w:val="bottom"/>
            <w:tcBorders>
              <w:bottom w:val="single" w:sz="8" w:color="BCBEC0"/>
            </w:tcBorders>
          </w:tcPr>
          <w:p>
            <w:pPr>
              <w:spacing w:after="0"/>
              <w:rPr>
                <w:sz w:val="3"/>
                <w:szCs w:val="3"/>
                <w:color w:val="auto"/>
              </w:rPr>
            </w:pPr>
          </w:p>
        </w:tc>
        <w:tc>
          <w:tcPr>
            <w:tcW w:w="380" w:type="dxa"/>
            <w:vAlign w:val="bottom"/>
            <w:tcBorders>
              <w:bottom w:val="single" w:sz="8" w:color="BCBEC0"/>
            </w:tcBorders>
          </w:tcPr>
          <w:p>
            <w:pPr>
              <w:spacing w:after="0"/>
              <w:rPr>
                <w:sz w:val="3"/>
                <w:szCs w:val="3"/>
                <w:color w:val="auto"/>
              </w:rPr>
            </w:pPr>
          </w:p>
        </w:tc>
        <w:tc>
          <w:tcPr>
            <w:tcW w:w="1020" w:type="dxa"/>
            <w:vAlign w:val="bottom"/>
            <w:tcBorders>
              <w:bottom w:val="single" w:sz="8" w:color="BCBEC0"/>
            </w:tcBorders>
          </w:tcPr>
          <w:p>
            <w:pPr>
              <w:spacing w:after="0"/>
              <w:rPr>
                <w:sz w:val="3"/>
                <w:szCs w:val="3"/>
                <w:color w:val="auto"/>
              </w:rPr>
            </w:pPr>
          </w:p>
        </w:tc>
      </w:tr>
      <w:tr>
        <w:trPr>
          <w:trHeight w:val="221"/>
        </w:trPr>
        <w:tc>
          <w:tcPr>
            <w:tcW w:w="5060" w:type="dxa"/>
            <w:vAlign w:val="bottom"/>
          </w:tcPr>
          <w:p>
            <w:pPr>
              <w:ind w:left="240"/>
              <w:spacing w:after="0"/>
              <w:rPr>
                <w:sz w:val="20"/>
                <w:szCs w:val="20"/>
                <w:color w:val="auto"/>
              </w:rPr>
            </w:pPr>
            <w:r>
              <w:rPr>
                <w:rFonts w:ascii="Arial" w:cs="Arial" w:eastAsia="Arial" w:hAnsi="Arial"/>
                <w:sz w:val="16"/>
                <w:szCs w:val="16"/>
                <w:color w:val="auto"/>
              </w:rPr>
              <w:t>Equity income of unconsolidated subsidiaries</w:t>
            </w:r>
          </w:p>
        </w:tc>
        <w:tc>
          <w:tcPr>
            <w:tcW w:w="700" w:type="dxa"/>
            <w:vAlign w:val="bottom"/>
          </w:tcPr>
          <w:p>
            <w:pPr>
              <w:spacing w:after="0"/>
              <w:rPr>
                <w:sz w:val="19"/>
                <w:szCs w:val="19"/>
                <w:color w:val="auto"/>
              </w:rPr>
            </w:pPr>
          </w:p>
        </w:tc>
        <w:tc>
          <w:tcPr>
            <w:tcW w:w="1100" w:type="dxa"/>
            <w:vAlign w:val="bottom"/>
          </w:tcPr>
          <w:p>
            <w:pPr>
              <w:jc w:val="right"/>
              <w:ind w:right="199"/>
              <w:spacing w:after="0"/>
              <w:rPr>
                <w:sz w:val="20"/>
                <w:szCs w:val="20"/>
                <w:color w:val="auto"/>
              </w:rPr>
            </w:pPr>
            <w:r>
              <w:rPr>
                <w:rFonts w:ascii="Arial" w:cs="Arial" w:eastAsia="Arial" w:hAnsi="Arial"/>
                <w:sz w:val="16"/>
                <w:szCs w:val="16"/>
                <w:color w:val="auto"/>
              </w:rPr>
              <w:t>1.0</w:t>
            </w:r>
          </w:p>
        </w:tc>
        <w:tc>
          <w:tcPr>
            <w:tcW w:w="400" w:type="dxa"/>
            <w:vAlign w:val="bottom"/>
          </w:tcPr>
          <w:p>
            <w:pPr>
              <w:spacing w:after="0"/>
              <w:rPr>
                <w:sz w:val="19"/>
                <w:szCs w:val="19"/>
                <w:color w:val="auto"/>
              </w:rPr>
            </w:pPr>
          </w:p>
        </w:tc>
        <w:tc>
          <w:tcPr>
            <w:tcW w:w="1100" w:type="dxa"/>
            <w:vAlign w:val="bottom"/>
          </w:tcPr>
          <w:p>
            <w:pPr>
              <w:jc w:val="right"/>
              <w:ind w:right="219"/>
              <w:spacing w:after="0"/>
              <w:rPr>
                <w:sz w:val="20"/>
                <w:szCs w:val="20"/>
                <w:color w:val="auto"/>
              </w:rPr>
            </w:pPr>
            <w:r>
              <w:rPr>
                <w:rFonts w:ascii="Arial" w:cs="Arial" w:eastAsia="Arial" w:hAnsi="Arial"/>
                <w:sz w:val="16"/>
                <w:szCs w:val="16"/>
                <w:color w:val="auto"/>
              </w:rPr>
              <w:t>1.9</w:t>
            </w:r>
          </w:p>
        </w:tc>
        <w:tc>
          <w:tcPr>
            <w:tcW w:w="380" w:type="dxa"/>
            <w:vAlign w:val="bottom"/>
          </w:tcPr>
          <w:p>
            <w:pPr>
              <w:spacing w:after="0"/>
              <w:rPr>
                <w:sz w:val="19"/>
                <w:szCs w:val="19"/>
                <w:color w:val="auto"/>
              </w:rPr>
            </w:pPr>
          </w:p>
        </w:tc>
        <w:tc>
          <w:tcPr>
            <w:tcW w:w="1100" w:type="dxa"/>
            <w:vAlign w:val="bottom"/>
          </w:tcPr>
          <w:p>
            <w:pPr>
              <w:jc w:val="right"/>
              <w:ind w:right="219"/>
              <w:spacing w:after="0"/>
              <w:rPr>
                <w:sz w:val="20"/>
                <w:szCs w:val="20"/>
                <w:color w:val="auto"/>
              </w:rPr>
            </w:pPr>
            <w:r>
              <w:rPr>
                <w:rFonts w:ascii="Arial" w:cs="Arial" w:eastAsia="Arial" w:hAnsi="Arial"/>
                <w:sz w:val="16"/>
                <w:szCs w:val="16"/>
                <w:color w:val="auto"/>
              </w:rPr>
              <w:t>2.8</w:t>
            </w:r>
          </w:p>
        </w:tc>
        <w:tc>
          <w:tcPr>
            <w:tcW w:w="380" w:type="dxa"/>
            <w:vAlign w:val="bottom"/>
          </w:tcPr>
          <w:p>
            <w:pPr>
              <w:spacing w:after="0"/>
              <w:rPr>
                <w:sz w:val="19"/>
                <w:szCs w:val="19"/>
                <w:color w:val="auto"/>
              </w:rPr>
            </w:pP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1.8</w:t>
            </w:r>
          </w:p>
        </w:tc>
      </w:tr>
      <w:tr>
        <w:trPr>
          <w:trHeight w:val="43"/>
        </w:trPr>
        <w:tc>
          <w:tcPr>
            <w:tcW w:w="5060" w:type="dxa"/>
            <w:vAlign w:val="bottom"/>
            <w:tcBorders>
              <w:bottom w:val="single" w:sz="8" w:color="0C3471"/>
            </w:tcBorders>
          </w:tcPr>
          <w:p>
            <w:pPr>
              <w:spacing w:after="0"/>
              <w:rPr>
                <w:sz w:val="3"/>
                <w:szCs w:val="3"/>
                <w:color w:val="auto"/>
              </w:rPr>
            </w:pPr>
          </w:p>
        </w:tc>
        <w:tc>
          <w:tcPr>
            <w:tcW w:w="700" w:type="dxa"/>
            <w:vAlign w:val="bottom"/>
            <w:tcBorders>
              <w:bottom w:val="single" w:sz="8" w:color="0C3471"/>
            </w:tcBorders>
          </w:tcPr>
          <w:p>
            <w:pPr>
              <w:spacing w:after="0"/>
              <w:rPr>
                <w:sz w:val="3"/>
                <w:szCs w:val="3"/>
                <w:color w:val="auto"/>
              </w:rPr>
            </w:pPr>
          </w:p>
        </w:tc>
        <w:tc>
          <w:tcPr>
            <w:tcW w:w="1100" w:type="dxa"/>
            <w:vAlign w:val="bottom"/>
            <w:tcBorders>
              <w:bottom w:val="single" w:sz="8" w:color="0C3471"/>
            </w:tcBorders>
          </w:tcPr>
          <w:p>
            <w:pPr>
              <w:spacing w:after="0"/>
              <w:rPr>
                <w:sz w:val="3"/>
                <w:szCs w:val="3"/>
                <w:color w:val="auto"/>
              </w:rPr>
            </w:pPr>
          </w:p>
        </w:tc>
        <w:tc>
          <w:tcPr>
            <w:tcW w:w="400" w:type="dxa"/>
            <w:vAlign w:val="bottom"/>
            <w:tcBorders>
              <w:bottom w:val="single" w:sz="8" w:color="0C3471"/>
            </w:tcBorders>
          </w:tcPr>
          <w:p>
            <w:pPr>
              <w:spacing w:after="0"/>
              <w:rPr>
                <w:sz w:val="3"/>
                <w:szCs w:val="3"/>
                <w:color w:val="auto"/>
              </w:rPr>
            </w:pPr>
          </w:p>
        </w:tc>
        <w:tc>
          <w:tcPr>
            <w:tcW w:w="1100" w:type="dxa"/>
            <w:vAlign w:val="bottom"/>
            <w:tcBorders>
              <w:bottom w:val="single" w:sz="8" w:color="0C3471"/>
            </w:tcBorders>
          </w:tcPr>
          <w:p>
            <w:pPr>
              <w:spacing w:after="0"/>
              <w:rPr>
                <w:sz w:val="3"/>
                <w:szCs w:val="3"/>
                <w:color w:val="auto"/>
              </w:rPr>
            </w:pPr>
          </w:p>
        </w:tc>
        <w:tc>
          <w:tcPr>
            <w:tcW w:w="380" w:type="dxa"/>
            <w:vAlign w:val="bottom"/>
            <w:tcBorders>
              <w:bottom w:val="single" w:sz="8" w:color="0C3471"/>
            </w:tcBorders>
          </w:tcPr>
          <w:p>
            <w:pPr>
              <w:spacing w:after="0"/>
              <w:rPr>
                <w:sz w:val="3"/>
                <w:szCs w:val="3"/>
                <w:color w:val="auto"/>
              </w:rPr>
            </w:pPr>
          </w:p>
        </w:tc>
        <w:tc>
          <w:tcPr>
            <w:tcW w:w="1100" w:type="dxa"/>
            <w:vAlign w:val="bottom"/>
            <w:tcBorders>
              <w:bottom w:val="single" w:sz="8" w:color="0C3471"/>
            </w:tcBorders>
          </w:tcPr>
          <w:p>
            <w:pPr>
              <w:spacing w:after="0"/>
              <w:rPr>
                <w:sz w:val="3"/>
                <w:szCs w:val="3"/>
                <w:color w:val="auto"/>
              </w:rPr>
            </w:pPr>
          </w:p>
        </w:tc>
        <w:tc>
          <w:tcPr>
            <w:tcW w:w="380" w:type="dxa"/>
            <w:vAlign w:val="bottom"/>
            <w:tcBorders>
              <w:bottom w:val="single" w:sz="8" w:color="0C3471"/>
            </w:tcBorders>
          </w:tcPr>
          <w:p>
            <w:pPr>
              <w:spacing w:after="0"/>
              <w:rPr>
                <w:sz w:val="3"/>
                <w:szCs w:val="3"/>
                <w:color w:val="auto"/>
              </w:rPr>
            </w:pPr>
          </w:p>
        </w:tc>
        <w:tc>
          <w:tcPr>
            <w:tcW w:w="1020" w:type="dxa"/>
            <w:vAlign w:val="bottom"/>
            <w:tcBorders>
              <w:bottom w:val="single" w:sz="8" w:color="0C3471"/>
            </w:tcBorders>
          </w:tcPr>
          <w:p>
            <w:pPr>
              <w:spacing w:after="0"/>
              <w:rPr>
                <w:sz w:val="3"/>
                <w:szCs w:val="3"/>
                <w:color w:val="auto"/>
              </w:rPr>
            </w:pPr>
          </w:p>
        </w:tc>
      </w:tr>
      <w:tr>
        <w:trPr>
          <w:trHeight w:val="229"/>
        </w:trPr>
        <w:tc>
          <w:tcPr>
            <w:tcW w:w="5060" w:type="dxa"/>
            <w:vAlign w:val="bottom"/>
          </w:tcPr>
          <w:p>
            <w:pPr>
              <w:ind w:left="20"/>
              <w:spacing w:after="0"/>
              <w:rPr>
                <w:sz w:val="20"/>
                <w:szCs w:val="20"/>
                <w:color w:val="auto"/>
              </w:rPr>
            </w:pPr>
            <w:r>
              <w:rPr>
                <w:rFonts w:ascii="Arial" w:cs="Arial" w:eastAsia="Arial" w:hAnsi="Arial"/>
                <w:sz w:val="16"/>
                <w:szCs w:val="16"/>
                <w:b w:val="1"/>
                <w:bCs w:val="1"/>
                <w:color w:val="auto"/>
              </w:rPr>
              <w:t>Adjusted operating income</w:t>
            </w:r>
          </w:p>
        </w:tc>
        <w:tc>
          <w:tcPr>
            <w:tcW w:w="700" w:type="dxa"/>
            <w:vAlign w:val="bottom"/>
          </w:tcPr>
          <w:p>
            <w:pPr>
              <w:spacing w:after="0"/>
              <w:rPr>
                <w:sz w:val="19"/>
                <w:szCs w:val="19"/>
                <w:color w:val="auto"/>
              </w:rPr>
            </w:pPr>
          </w:p>
        </w:tc>
        <w:tc>
          <w:tcPr>
            <w:tcW w:w="1100" w:type="dxa"/>
            <w:vAlign w:val="bottom"/>
          </w:tcPr>
          <w:p>
            <w:pPr>
              <w:jc w:val="right"/>
              <w:ind w:right="199"/>
              <w:spacing w:after="0"/>
              <w:rPr>
                <w:sz w:val="20"/>
                <w:szCs w:val="20"/>
                <w:color w:val="auto"/>
              </w:rPr>
            </w:pPr>
            <w:r>
              <w:rPr>
                <w:rFonts w:ascii="Arial" w:cs="Arial" w:eastAsia="Arial" w:hAnsi="Arial"/>
                <w:sz w:val="16"/>
                <w:szCs w:val="16"/>
                <w:color w:val="auto"/>
              </w:rPr>
              <w:t>1,053.5</w:t>
            </w:r>
          </w:p>
        </w:tc>
        <w:tc>
          <w:tcPr>
            <w:tcW w:w="400" w:type="dxa"/>
            <w:vAlign w:val="bottom"/>
          </w:tcPr>
          <w:p>
            <w:pPr>
              <w:spacing w:after="0"/>
              <w:rPr>
                <w:sz w:val="19"/>
                <w:szCs w:val="19"/>
                <w:color w:val="auto"/>
              </w:rPr>
            </w:pPr>
          </w:p>
        </w:tc>
        <w:tc>
          <w:tcPr>
            <w:tcW w:w="1100" w:type="dxa"/>
            <w:vAlign w:val="bottom"/>
          </w:tcPr>
          <w:p>
            <w:pPr>
              <w:jc w:val="right"/>
              <w:ind w:right="219"/>
              <w:spacing w:after="0"/>
              <w:rPr>
                <w:sz w:val="20"/>
                <w:szCs w:val="20"/>
                <w:color w:val="auto"/>
              </w:rPr>
            </w:pPr>
            <w:r>
              <w:rPr>
                <w:rFonts w:ascii="Arial" w:cs="Arial" w:eastAsia="Arial" w:hAnsi="Arial"/>
                <w:sz w:val="16"/>
                <w:szCs w:val="16"/>
                <w:color w:val="auto"/>
              </w:rPr>
              <w:t>959.2</w:t>
            </w:r>
          </w:p>
        </w:tc>
        <w:tc>
          <w:tcPr>
            <w:tcW w:w="380" w:type="dxa"/>
            <w:vAlign w:val="bottom"/>
          </w:tcPr>
          <w:p>
            <w:pPr>
              <w:spacing w:after="0"/>
              <w:rPr>
                <w:sz w:val="19"/>
                <w:szCs w:val="19"/>
                <w:color w:val="auto"/>
              </w:rPr>
            </w:pPr>
          </w:p>
        </w:tc>
        <w:tc>
          <w:tcPr>
            <w:tcW w:w="1100" w:type="dxa"/>
            <w:vAlign w:val="bottom"/>
          </w:tcPr>
          <w:p>
            <w:pPr>
              <w:jc w:val="right"/>
              <w:ind w:right="219"/>
              <w:spacing w:after="0"/>
              <w:rPr>
                <w:sz w:val="20"/>
                <w:szCs w:val="20"/>
                <w:color w:val="auto"/>
              </w:rPr>
            </w:pPr>
            <w:r>
              <w:rPr>
                <w:rFonts w:ascii="Arial" w:cs="Arial" w:eastAsia="Arial" w:hAnsi="Arial"/>
                <w:sz w:val="16"/>
                <w:szCs w:val="16"/>
                <w:color w:val="auto"/>
              </w:rPr>
              <w:t>855.1</w:t>
            </w:r>
          </w:p>
        </w:tc>
        <w:tc>
          <w:tcPr>
            <w:tcW w:w="380" w:type="dxa"/>
            <w:vAlign w:val="bottom"/>
          </w:tcPr>
          <w:p>
            <w:pPr>
              <w:spacing w:after="0"/>
              <w:rPr>
                <w:sz w:val="19"/>
                <w:szCs w:val="19"/>
                <w:color w:val="auto"/>
              </w:rPr>
            </w:pP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767.7</w:t>
            </w:r>
          </w:p>
        </w:tc>
      </w:tr>
      <w:tr>
        <w:trPr>
          <w:trHeight w:val="35"/>
        </w:trPr>
        <w:tc>
          <w:tcPr>
            <w:tcW w:w="5060" w:type="dxa"/>
            <w:vAlign w:val="bottom"/>
            <w:tcBorders>
              <w:bottom w:val="single" w:sz="8" w:color="BCBEC0"/>
            </w:tcBorders>
          </w:tcPr>
          <w:p>
            <w:pPr>
              <w:spacing w:after="0"/>
              <w:rPr>
                <w:sz w:val="3"/>
                <w:szCs w:val="3"/>
                <w:color w:val="auto"/>
              </w:rPr>
            </w:pPr>
          </w:p>
        </w:tc>
        <w:tc>
          <w:tcPr>
            <w:tcW w:w="700" w:type="dxa"/>
            <w:vAlign w:val="bottom"/>
            <w:tcBorders>
              <w:bottom w:val="single" w:sz="8" w:color="BCBEC0"/>
            </w:tcBorders>
          </w:tcPr>
          <w:p>
            <w:pPr>
              <w:spacing w:after="0"/>
              <w:rPr>
                <w:sz w:val="3"/>
                <w:szCs w:val="3"/>
                <w:color w:val="auto"/>
              </w:rPr>
            </w:pPr>
          </w:p>
        </w:tc>
        <w:tc>
          <w:tcPr>
            <w:tcW w:w="1100" w:type="dxa"/>
            <w:vAlign w:val="bottom"/>
            <w:tcBorders>
              <w:bottom w:val="single" w:sz="8" w:color="BCBEC0"/>
            </w:tcBorders>
          </w:tcPr>
          <w:p>
            <w:pPr>
              <w:spacing w:after="0"/>
              <w:rPr>
                <w:sz w:val="3"/>
                <w:szCs w:val="3"/>
                <w:color w:val="auto"/>
              </w:rPr>
            </w:pPr>
          </w:p>
        </w:tc>
        <w:tc>
          <w:tcPr>
            <w:tcW w:w="400" w:type="dxa"/>
            <w:vAlign w:val="bottom"/>
            <w:tcBorders>
              <w:bottom w:val="single" w:sz="8" w:color="BCBEC0"/>
            </w:tcBorders>
          </w:tcPr>
          <w:p>
            <w:pPr>
              <w:spacing w:after="0"/>
              <w:rPr>
                <w:sz w:val="3"/>
                <w:szCs w:val="3"/>
                <w:color w:val="auto"/>
              </w:rPr>
            </w:pPr>
          </w:p>
        </w:tc>
        <w:tc>
          <w:tcPr>
            <w:tcW w:w="1100" w:type="dxa"/>
            <w:vAlign w:val="bottom"/>
            <w:tcBorders>
              <w:bottom w:val="single" w:sz="8" w:color="BCBEC0"/>
            </w:tcBorders>
          </w:tcPr>
          <w:p>
            <w:pPr>
              <w:spacing w:after="0"/>
              <w:rPr>
                <w:sz w:val="3"/>
                <w:szCs w:val="3"/>
                <w:color w:val="auto"/>
              </w:rPr>
            </w:pPr>
          </w:p>
        </w:tc>
        <w:tc>
          <w:tcPr>
            <w:tcW w:w="380" w:type="dxa"/>
            <w:vAlign w:val="bottom"/>
            <w:tcBorders>
              <w:bottom w:val="single" w:sz="8" w:color="BCBEC0"/>
            </w:tcBorders>
          </w:tcPr>
          <w:p>
            <w:pPr>
              <w:spacing w:after="0"/>
              <w:rPr>
                <w:sz w:val="3"/>
                <w:szCs w:val="3"/>
                <w:color w:val="auto"/>
              </w:rPr>
            </w:pPr>
          </w:p>
        </w:tc>
        <w:tc>
          <w:tcPr>
            <w:tcW w:w="1100" w:type="dxa"/>
            <w:vAlign w:val="bottom"/>
            <w:tcBorders>
              <w:bottom w:val="single" w:sz="8" w:color="BCBEC0"/>
            </w:tcBorders>
          </w:tcPr>
          <w:p>
            <w:pPr>
              <w:spacing w:after="0"/>
              <w:rPr>
                <w:sz w:val="3"/>
                <w:szCs w:val="3"/>
                <w:color w:val="auto"/>
              </w:rPr>
            </w:pPr>
          </w:p>
        </w:tc>
        <w:tc>
          <w:tcPr>
            <w:tcW w:w="380" w:type="dxa"/>
            <w:vAlign w:val="bottom"/>
            <w:tcBorders>
              <w:bottom w:val="single" w:sz="8" w:color="BCBEC0"/>
            </w:tcBorders>
          </w:tcPr>
          <w:p>
            <w:pPr>
              <w:spacing w:after="0"/>
              <w:rPr>
                <w:sz w:val="3"/>
                <w:szCs w:val="3"/>
                <w:color w:val="auto"/>
              </w:rPr>
            </w:pPr>
          </w:p>
        </w:tc>
        <w:tc>
          <w:tcPr>
            <w:tcW w:w="1020" w:type="dxa"/>
            <w:vAlign w:val="bottom"/>
            <w:tcBorders>
              <w:bottom w:val="single" w:sz="8" w:color="BCBEC0"/>
            </w:tcBorders>
          </w:tcPr>
          <w:p>
            <w:pPr>
              <w:spacing w:after="0"/>
              <w:rPr>
                <w:sz w:val="3"/>
                <w:szCs w:val="3"/>
                <w:color w:val="auto"/>
              </w:rPr>
            </w:pPr>
          </w:p>
        </w:tc>
      </w:tr>
      <w:tr>
        <w:trPr>
          <w:trHeight w:val="221"/>
        </w:trPr>
        <w:tc>
          <w:tcPr>
            <w:tcW w:w="5060" w:type="dxa"/>
            <w:vAlign w:val="bottom"/>
          </w:tcPr>
          <w:p>
            <w:pPr>
              <w:ind w:left="240"/>
              <w:spacing w:after="0"/>
              <w:rPr>
                <w:sz w:val="20"/>
                <w:szCs w:val="20"/>
                <w:color w:val="auto"/>
              </w:rPr>
            </w:pPr>
            <w:r>
              <w:rPr>
                <w:rFonts w:ascii="Arial" w:cs="Arial" w:eastAsia="Arial" w:hAnsi="Arial"/>
                <w:sz w:val="16"/>
                <w:szCs w:val="16"/>
                <w:i w:val="1"/>
                <w:iCs w:val="1"/>
                <w:color w:val="auto"/>
              </w:rPr>
              <w:t>Adjusted return on sales</w:t>
            </w:r>
          </w:p>
        </w:tc>
        <w:tc>
          <w:tcPr>
            <w:tcW w:w="700" w:type="dxa"/>
            <w:vAlign w:val="bottom"/>
          </w:tcPr>
          <w:p>
            <w:pPr>
              <w:spacing w:after="0"/>
              <w:rPr>
                <w:sz w:val="19"/>
                <w:szCs w:val="19"/>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i w:val="1"/>
                <w:iCs w:val="1"/>
                <w:color w:val="auto"/>
              </w:rPr>
              <w:t>25.2%</w:t>
            </w:r>
          </w:p>
        </w:tc>
        <w:tc>
          <w:tcPr>
            <w:tcW w:w="400" w:type="dxa"/>
            <w:vAlign w:val="bottom"/>
          </w:tcPr>
          <w:p>
            <w:pPr>
              <w:spacing w:after="0"/>
              <w:rPr>
                <w:sz w:val="19"/>
                <w:szCs w:val="19"/>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i w:val="1"/>
                <w:iCs w:val="1"/>
                <w:color w:val="auto"/>
              </w:rPr>
              <w:t>23.5%</w:t>
            </w:r>
          </w:p>
        </w:tc>
        <w:tc>
          <w:tcPr>
            <w:tcW w:w="380" w:type="dxa"/>
            <w:vAlign w:val="bottom"/>
          </w:tcPr>
          <w:p>
            <w:pPr>
              <w:spacing w:after="0"/>
              <w:rPr>
                <w:sz w:val="19"/>
                <w:szCs w:val="19"/>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i w:val="1"/>
                <w:iCs w:val="1"/>
                <w:color w:val="auto"/>
              </w:rPr>
              <w:t>20.8%</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i w:val="1"/>
                <w:iCs w:val="1"/>
                <w:color w:val="auto"/>
              </w:rPr>
              <w:t>18.6%</w:t>
            </w:r>
          </w:p>
        </w:tc>
      </w:tr>
      <w:tr>
        <w:trPr>
          <w:trHeight w:val="42"/>
        </w:trPr>
        <w:tc>
          <w:tcPr>
            <w:tcW w:w="5060" w:type="dxa"/>
            <w:vAlign w:val="bottom"/>
            <w:tcBorders>
              <w:bottom w:val="single" w:sz="8" w:color="BCBEC0"/>
            </w:tcBorders>
          </w:tcPr>
          <w:p>
            <w:pPr>
              <w:spacing w:after="0"/>
              <w:rPr>
                <w:sz w:val="3"/>
                <w:szCs w:val="3"/>
                <w:color w:val="auto"/>
              </w:rPr>
            </w:pPr>
          </w:p>
        </w:tc>
        <w:tc>
          <w:tcPr>
            <w:tcW w:w="700" w:type="dxa"/>
            <w:vAlign w:val="bottom"/>
            <w:tcBorders>
              <w:bottom w:val="single" w:sz="8" w:color="BCBEC0"/>
            </w:tcBorders>
          </w:tcPr>
          <w:p>
            <w:pPr>
              <w:spacing w:after="0"/>
              <w:rPr>
                <w:sz w:val="3"/>
                <w:szCs w:val="3"/>
                <w:color w:val="auto"/>
              </w:rPr>
            </w:pPr>
          </w:p>
        </w:tc>
        <w:tc>
          <w:tcPr>
            <w:tcW w:w="1100" w:type="dxa"/>
            <w:vAlign w:val="bottom"/>
            <w:tcBorders>
              <w:bottom w:val="single" w:sz="8" w:color="BCBEC0"/>
            </w:tcBorders>
          </w:tcPr>
          <w:p>
            <w:pPr>
              <w:spacing w:after="0"/>
              <w:rPr>
                <w:sz w:val="3"/>
                <w:szCs w:val="3"/>
                <w:color w:val="auto"/>
              </w:rPr>
            </w:pPr>
          </w:p>
        </w:tc>
        <w:tc>
          <w:tcPr>
            <w:tcW w:w="400" w:type="dxa"/>
            <w:vAlign w:val="bottom"/>
            <w:tcBorders>
              <w:bottom w:val="single" w:sz="8" w:color="BCBEC0"/>
            </w:tcBorders>
          </w:tcPr>
          <w:p>
            <w:pPr>
              <w:spacing w:after="0"/>
              <w:rPr>
                <w:sz w:val="3"/>
                <w:szCs w:val="3"/>
                <w:color w:val="auto"/>
              </w:rPr>
            </w:pPr>
          </w:p>
        </w:tc>
        <w:tc>
          <w:tcPr>
            <w:tcW w:w="1100" w:type="dxa"/>
            <w:vAlign w:val="bottom"/>
            <w:tcBorders>
              <w:bottom w:val="single" w:sz="8" w:color="BCBEC0"/>
            </w:tcBorders>
          </w:tcPr>
          <w:p>
            <w:pPr>
              <w:spacing w:after="0"/>
              <w:rPr>
                <w:sz w:val="3"/>
                <w:szCs w:val="3"/>
                <w:color w:val="auto"/>
              </w:rPr>
            </w:pPr>
          </w:p>
        </w:tc>
        <w:tc>
          <w:tcPr>
            <w:tcW w:w="380" w:type="dxa"/>
            <w:vAlign w:val="bottom"/>
            <w:tcBorders>
              <w:bottom w:val="single" w:sz="8" w:color="BCBEC0"/>
            </w:tcBorders>
          </w:tcPr>
          <w:p>
            <w:pPr>
              <w:spacing w:after="0"/>
              <w:rPr>
                <w:sz w:val="3"/>
                <w:szCs w:val="3"/>
                <w:color w:val="auto"/>
              </w:rPr>
            </w:pPr>
          </w:p>
        </w:tc>
        <w:tc>
          <w:tcPr>
            <w:tcW w:w="1100" w:type="dxa"/>
            <w:vAlign w:val="bottom"/>
            <w:tcBorders>
              <w:bottom w:val="single" w:sz="8" w:color="BCBEC0"/>
            </w:tcBorders>
          </w:tcPr>
          <w:p>
            <w:pPr>
              <w:spacing w:after="0"/>
              <w:rPr>
                <w:sz w:val="3"/>
                <w:szCs w:val="3"/>
                <w:color w:val="auto"/>
              </w:rPr>
            </w:pPr>
          </w:p>
        </w:tc>
        <w:tc>
          <w:tcPr>
            <w:tcW w:w="380" w:type="dxa"/>
            <w:vAlign w:val="bottom"/>
            <w:tcBorders>
              <w:bottom w:val="single" w:sz="8" w:color="BCBEC0"/>
            </w:tcBorders>
          </w:tcPr>
          <w:p>
            <w:pPr>
              <w:spacing w:after="0"/>
              <w:rPr>
                <w:sz w:val="3"/>
                <w:szCs w:val="3"/>
                <w:color w:val="auto"/>
              </w:rPr>
            </w:pPr>
          </w:p>
        </w:tc>
        <w:tc>
          <w:tcPr>
            <w:tcW w:w="1020" w:type="dxa"/>
            <w:vAlign w:val="bottom"/>
            <w:tcBorders>
              <w:bottom w:val="single" w:sz="8" w:color="BCBEC0"/>
            </w:tcBorders>
          </w:tcPr>
          <w:p>
            <w:pPr>
              <w:spacing w:after="0"/>
              <w:rPr>
                <w:sz w:val="3"/>
                <w:szCs w:val="3"/>
                <w:color w:val="auto"/>
              </w:rPr>
            </w:pPr>
          </w:p>
        </w:tc>
      </w:tr>
      <w:tr>
        <w:trPr>
          <w:trHeight w:val="221"/>
        </w:trPr>
        <w:tc>
          <w:tcPr>
            <w:tcW w:w="5060" w:type="dxa"/>
            <w:vAlign w:val="bottom"/>
          </w:tcPr>
          <w:p>
            <w:pPr>
              <w:ind w:left="20"/>
              <w:spacing w:after="0"/>
              <w:rPr>
                <w:sz w:val="20"/>
                <w:szCs w:val="20"/>
                <w:color w:val="auto"/>
              </w:rPr>
            </w:pPr>
            <w:r>
              <w:rPr>
                <w:rFonts w:ascii="Arial" w:cs="Arial" w:eastAsia="Arial" w:hAnsi="Arial"/>
                <w:sz w:val="16"/>
                <w:szCs w:val="16"/>
                <w:color w:val="auto"/>
              </w:rPr>
              <w:t>Net income from continuing operations—as reported</w:t>
            </w:r>
          </w:p>
        </w:tc>
        <w:tc>
          <w:tcPr>
            <w:tcW w:w="700" w:type="dxa"/>
            <w:vAlign w:val="bottom"/>
          </w:tcPr>
          <w:p>
            <w:pPr>
              <w:spacing w:after="0"/>
              <w:rPr>
                <w:sz w:val="19"/>
                <w:szCs w:val="19"/>
                <w:color w:val="auto"/>
              </w:rPr>
            </w:pPr>
          </w:p>
        </w:tc>
        <w:tc>
          <w:tcPr>
            <w:tcW w:w="1100" w:type="dxa"/>
            <w:vAlign w:val="bottom"/>
          </w:tcPr>
          <w:p>
            <w:pPr>
              <w:jc w:val="right"/>
              <w:ind w:right="199"/>
              <w:spacing w:after="0"/>
              <w:rPr>
                <w:sz w:val="20"/>
                <w:szCs w:val="20"/>
                <w:color w:val="auto"/>
              </w:rPr>
            </w:pPr>
            <w:r>
              <w:rPr>
                <w:rFonts w:ascii="Arial" w:cs="Arial" w:eastAsia="Arial" w:hAnsi="Arial"/>
                <w:sz w:val="16"/>
                <w:szCs w:val="16"/>
                <w:color w:val="auto"/>
              </w:rPr>
              <w:t>649.5</w:t>
            </w:r>
          </w:p>
        </w:tc>
        <w:tc>
          <w:tcPr>
            <w:tcW w:w="400" w:type="dxa"/>
            <w:vAlign w:val="bottom"/>
          </w:tcPr>
          <w:p>
            <w:pPr>
              <w:spacing w:after="0"/>
              <w:rPr>
                <w:sz w:val="19"/>
                <w:szCs w:val="19"/>
                <w:color w:val="auto"/>
              </w:rPr>
            </w:pPr>
          </w:p>
        </w:tc>
        <w:tc>
          <w:tcPr>
            <w:tcW w:w="1100" w:type="dxa"/>
            <w:vAlign w:val="bottom"/>
          </w:tcPr>
          <w:p>
            <w:pPr>
              <w:jc w:val="right"/>
              <w:ind w:right="219"/>
              <w:spacing w:after="0"/>
              <w:rPr>
                <w:sz w:val="20"/>
                <w:szCs w:val="20"/>
                <w:color w:val="auto"/>
              </w:rPr>
            </w:pPr>
            <w:r>
              <w:rPr>
                <w:rFonts w:ascii="Arial" w:cs="Arial" w:eastAsia="Arial" w:hAnsi="Arial"/>
                <w:sz w:val="16"/>
                <w:szCs w:val="16"/>
                <w:color w:val="auto"/>
              </w:rPr>
              <w:t>625.6</w:t>
            </w:r>
          </w:p>
        </w:tc>
        <w:tc>
          <w:tcPr>
            <w:tcW w:w="380" w:type="dxa"/>
            <w:vAlign w:val="bottom"/>
          </w:tcPr>
          <w:p>
            <w:pPr>
              <w:spacing w:after="0"/>
              <w:rPr>
                <w:sz w:val="19"/>
                <w:szCs w:val="19"/>
                <w:color w:val="auto"/>
              </w:rPr>
            </w:pPr>
          </w:p>
        </w:tc>
        <w:tc>
          <w:tcPr>
            <w:tcW w:w="1100" w:type="dxa"/>
            <w:vAlign w:val="bottom"/>
          </w:tcPr>
          <w:p>
            <w:pPr>
              <w:jc w:val="right"/>
              <w:ind w:right="219"/>
              <w:spacing w:after="0"/>
              <w:rPr>
                <w:sz w:val="20"/>
                <w:szCs w:val="20"/>
                <w:color w:val="auto"/>
              </w:rPr>
            </w:pPr>
            <w:r>
              <w:rPr>
                <w:rFonts w:ascii="Arial" w:cs="Arial" w:eastAsia="Arial" w:hAnsi="Arial"/>
                <w:sz w:val="16"/>
                <w:szCs w:val="16"/>
                <w:color w:val="auto"/>
              </w:rPr>
              <w:t>622.9</w:t>
            </w:r>
          </w:p>
        </w:tc>
        <w:tc>
          <w:tcPr>
            <w:tcW w:w="380" w:type="dxa"/>
            <w:vAlign w:val="bottom"/>
          </w:tcPr>
          <w:p>
            <w:pPr>
              <w:spacing w:after="0"/>
              <w:rPr>
                <w:sz w:val="19"/>
                <w:szCs w:val="19"/>
                <w:color w:val="auto"/>
              </w:rPr>
            </w:pP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483.2</w:t>
            </w:r>
          </w:p>
        </w:tc>
      </w:tr>
      <w:tr>
        <w:trPr>
          <w:trHeight w:val="43"/>
        </w:trPr>
        <w:tc>
          <w:tcPr>
            <w:tcW w:w="5060" w:type="dxa"/>
            <w:vAlign w:val="bottom"/>
            <w:tcBorders>
              <w:bottom w:val="single" w:sz="8" w:color="BCBEC0"/>
            </w:tcBorders>
          </w:tcPr>
          <w:p>
            <w:pPr>
              <w:spacing w:after="0"/>
              <w:rPr>
                <w:sz w:val="3"/>
                <w:szCs w:val="3"/>
                <w:color w:val="auto"/>
              </w:rPr>
            </w:pPr>
          </w:p>
        </w:tc>
        <w:tc>
          <w:tcPr>
            <w:tcW w:w="700" w:type="dxa"/>
            <w:vAlign w:val="bottom"/>
            <w:tcBorders>
              <w:bottom w:val="single" w:sz="8" w:color="BCBEC0"/>
            </w:tcBorders>
          </w:tcPr>
          <w:p>
            <w:pPr>
              <w:spacing w:after="0"/>
              <w:rPr>
                <w:sz w:val="3"/>
                <w:szCs w:val="3"/>
                <w:color w:val="auto"/>
              </w:rPr>
            </w:pPr>
          </w:p>
        </w:tc>
        <w:tc>
          <w:tcPr>
            <w:tcW w:w="1100" w:type="dxa"/>
            <w:vAlign w:val="bottom"/>
            <w:tcBorders>
              <w:bottom w:val="single" w:sz="8" w:color="BCBEC0"/>
            </w:tcBorders>
          </w:tcPr>
          <w:p>
            <w:pPr>
              <w:spacing w:after="0"/>
              <w:rPr>
                <w:sz w:val="3"/>
                <w:szCs w:val="3"/>
                <w:color w:val="auto"/>
              </w:rPr>
            </w:pPr>
          </w:p>
        </w:tc>
        <w:tc>
          <w:tcPr>
            <w:tcW w:w="400" w:type="dxa"/>
            <w:vAlign w:val="bottom"/>
            <w:tcBorders>
              <w:bottom w:val="single" w:sz="8" w:color="BCBEC0"/>
            </w:tcBorders>
          </w:tcPr>
          <w:p>
            <w:pPr>
              <w:spacing w:after="0"/>
              <w:rPr>
                <w:sz w:val="3"/>
                <w:szCs w:val="3"/>
                <w:color w:val="auto"/>
              </w:rPr>
            </w:pPr>
          </w:p>
        </w:tc>
        <w:tc>
          <w:tcPr>
            <w:tcW w:w="1100" w:type="dxa"/>
            <w:vAlign w:val="bottom"/>
            <w:tcBorders>
              <w:bottom w:val="single" w:sz="8" w:color="BCBEC0"/>
            </w:tcBorders>
          </w:tcPr>
          <w:p>
            <w:pPr>
              <w:spacing w:after="0"/>
              <w:rPr>
                <w:sz w:val="3"/>
                <w:szCs w:val="3"/>
                <w:color w:val="auto"/>
              </w:rPr>
            </w:pPr>
          </w:p>
        </w:tc>
        <w:tc>
          <w:tcPr>
            <w:tcW w:w="380" w:type="dxa"/>
            <w:vAlign w:val="bottom"/>
            <w:tcBorders>
              <w:bottom w:val="single" w:sz="8" w:color="BCBEC0"/>
            </w:tcBorders>
          </w:tcPr>
          <w:p>
            <w:pPr>
              <w:spacing w:after="0"/>
              <w:rPr>
                <w:sz w:val="3"/>
                <w:szCs w:val="3"/>
                <w:color w:val="auto"/>
              </w:rPr>
            </w:pPr>
          </w:p>
        </w:tc>
        <w:tc>
          <w:tcPr>
            <w:tcW w:w="1100" w:type="dxa"/>
            <w:vAlign w:val="bottom"/>
            <w:tcBorders>
              <w:bottom w:val="single" w:sz="8" w:color="BCBEC0"/>
            </w:tcBorders>
          </w:tcPr>
          <w:p>
            <w:pPr>
              <w:spacing w:after="0"/>
              <w:rPr>
                <w:sz w:val="3"/>
                <w:szCs w:val="3"/>
                <w:color w:val="auto"/>
              </w:rPr>
            </w:pPr>
          </w:p>
        </w:tc>
        <w:tc>
          <w:tcPr>
            <w:tcW w:w="380" w:type="dxa"/>
            <w:vAlign w:val="bottom"/>
            <w:tcBorders>
              <w:bottom w:val="single" w:sz="8" w:color="BCBEC0"/>
            </w:tcBorders>
          </w:tcPr>
          <w:p>
            <w:pPr>
              <w:spacing w:after="0"/>
              <w:rPr>
                <w:sz w:val="3"/>
                <w:szCs w:val="3"/>
                <w:color w:val="auto"/>
              </w:rPr>
            </w:pPr>
          </w:p>
        </w:tc>
        <w:tc>
          <w:tcPr>
            <w:tcW w:w="1020" w:type="dxa"/>
            <w:vAlign w:val="bottom"/>
            <w:tcBorders>
              <w:bottom w:val="single" w:sz="8" w:color="BCBEC0"/>
            </w:tcBorders>
          </w:tcPr>
          <w:p>
            <w:pPr>
              <w:spacing w:after="0"/>
              <w:rPr>
                <w:sz w:val="3"/>
                <w:szCs w:val="3"/>
                <w:color w:val="auto"/>
              </w:rPr>
            </w:pPr>
          </w:p>
        </w:tc>
      </w:tr>
      <w:tr>
        <w:trPr>
          <w:trHeight w:val="221"/>
        </w:trPr>
        <w:tc>
          <w:tcPr>
            <w:tcW w:w="5060" w:type="dxa"/>
            <w:vAlign w:val="bottom"/>
          </w:tcPr>
          <w:p>
            <w:pPr>
              <w:ind w:left="240"/>
              <w:spacing w:after="0"/>
              <w:rPr>
                <w:sz w:val="20"/>
                <w:szCs w:val="20"/>
                <w:color w:val="auto"/>
              </w:rPr>
            </w:pPr>
            <w:r>
              <w:rPr>
                <w:rFonts w:ascii="Arial" w:cs="Arial" w:eastAsia="Arial" w:hAnsi="Arial"/>
                <w:sz w:val="16"/>
                <w:szCs w:val="16"/>
                <w:color w:val="auto"/>
              </w:rPr>
              <w:t>Loss on sale of business</w:t>
            </w:r>
          </w:p>
        </w:tc>
        <w:tc>
          <w:tcPr>
            <w:tcW w:w="700" w:type="dxa"/>
            <w:vAlign w:val="bottom"/>
          </w:tcPr>
          <w:p>
            <w:pPr>
              <w:spacing w:after="0"/>
              <w:rPr>
                <w:sz w:val="19"/>
                <w:szCs w:val="19"/>
                <w:color w:val="auto"/>
              </w:rPr>
            </w:pPr>
          </w:p>
        </w:tc>
        <w:tc>
          <w:tcPr>
            <w:tcW w:w="1100" w:type="dxa"/>
            <w:vAlign w:val="bottom"/>
          </w:tcPr>
          <w:p>
            <w:pPr>
              <w:jc w:val="right"/>
              <w:ind w:right="199"/>
              <w:spacing w:after="0"/>
              <w:rPr>
                <w:sz w:val="20"/>
                <w:szCs w:val="20"/>
                <w:color w:val="auto"/>
              </w:rPr>
            </w:pPr>
            <w:r>
              <w:rPr>
                <w:rFonts w:ascii="Arial" w:cs="Arial" w:eastAsia="Arial" w:hAnsi="Arial"/>
                <w:sz w:val="16"/>
                <w:szCs w:val="16"/>
                <w:color w:val="auto"/>
              </w:rPr>
              <w:t>26.3</w:t>
            </w:r>
          </w:p>
        </w:tc>
        <w:tc>
          <w:tcPr>
            <w:tcW w:w="400" w:type="dxa"/>
            <w:vAlign w:val="bottom"/>
          </w:tcPr>
          <w:p>
            <w:pPr>
              <w:spacing w:after="0"/>
              <w:rPr>
                <w:sz w:val="19"/>
                <w:szCs w:val="19"/>
                <w:color w:val="auto"/>
              </w:rPr>
            </w:pPr>
          </w:p>
        </w:tc>
        <w:tc>
          <w:tcPr>
            <w:tcW w:w="110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9"/>
                <w:szCs w:val="19"/>
                <w:color w:val="auto"/>
              </w:rPr>
            </w:pPr>
          </w:p>
        </w:tc>
        <w:tc>
          <w:tcPr>
            <w:tcW w:w="110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9"/>
                <w:szCs w:val="19"/>
                <w:color w:val="auto"/>
              </w:rPr>
            </w:pP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w:t>
            </w:r>
          </w:p>
        </w:tc>
      </w:tr>
      <w:tr>
        <w:trPr>
          <w:trHeight w:val="43"/>
        </w:trPr>
        <w:tc>
          <w:tcPr>
            <w:tcW w:w="5060" w:type="dxa"/>
            <w:vAlign w:val="bottom"/>
            <w:tcBorders>
              <w:bottom w:val="single" w:sz="8" w:color="BCBEC0"/>
            </w:tcBorders>
          </w:tcPr>
          <w:p>
            <w:pPr>
              <w:spacing w:after="0"/>
              <w:rPr>
                <w:sz w:val="3"/>
                <w:szCs w:val="3"/>
                <w:color w:val="auto"/>
              </w:rPr>
            </w:pPr>
          </w:p>
        </w:tc>
        <w:tc>
          <w:tcPr>
            <w:tcW w:w="700" w:type="dxa"/>
            <w:vAlign w:val="bottom"/>
            <w:tcBorders>
              <w:bottom w:val="single" w:sz="8" w:color="BCBEC0"/>
            </w:tcBorders>
          </w:tcPr>
          <w:p>
            <w:pPr>
              <w:spacing w:after="0"/>
              <w:rPr>
                <w:sz w:val="3"/>
                <w:szCs w:val="3"/>
                <w:color w:val="auto"/>
              </w:rPr>
            </w:pPr>
          </w:p>
        </w:tc>
        <w:tc>
          <w:tcPr>
            <w:tcW w:w="1100" w:type="dxa"/>
            <w:vAlign w:val="bottom"/>
            <w:tcBorders>
              <w:bottom w:val="single" w:sz="8" w:color="BCBEC0"/>
            </w:tcBorders>
          </w:tcPr>
          <w:p>
            <w:pPr>
              <w:spacing w:after="0"/>
              <w:rPr>
                <w:sz w:val="3"/>
                <w:szCs w:val="3"/>
                <w:color w:val="auto"/>
              </w:rPr>
            </w:pPr>
          </w:p>
        </w:tc>
        <w:tc>
          <w:tcPr>
            <w:tcW w:w="400" w:type="dxa"/>
            <w:vAlign w:val="bottom"/>
            <w:tcBorders>
              <w:bottom w:val="single" w:sz="8" w:color="BCBEC0"/>
            </w:tcBorders>
          </w:tcPr>
          <w:p>
            <w:pPr>
              <w:spacing w:after="0"/>
              <w:rPr>
                <w:sz w:val="3"/>
                <w:szCs w:val="3"/>
                <w:color w:val="auto"/>
              </w:rPr>
            </w:pPr>
          </w:p>
        </w:tc>
        <w:tc>
          <w:tcPr>
            <w:tcW w:w="1100" w:type="dxa"/>
            <w:vAlign w:val="bottom"/>
            <w:tcBorders>
              <w:bottom w:val="single" w:sz="8" w:color="BCBEC0"/>
            </w:tcBorders>
          </w:tcPr>
          <w:p>
            <w:pPr>
              <w:spacing w:after="0"/>
              <w:rPr>
                <w:sz w:val="3"/>
                <w:szCs w:val="3"/>
                <w:color w:val="auto"/>
              </w:rPr>
            </w:pPr>
          </w:p>
        </w:tc>
        <w:tc>
          <w:tcPr>
            <w:tcW w:w="380" w:type="dxa"/>
            <w:vAlign w:val="bottom"/>
            <w:tcBorders>
              <w:bottom w:val="single" w:sz="8" w:color="BCBEC0"/>
            </w:tcBorders>
          </w:tcPr>
          <w:p>
            <w:pPr>
              <w:spacing w:after="0"/>
              <w:rPr>
                <w:sz w:val="3"/>
                <w:szCs w:val="3"/>
                <w:color w:val="auto"/>
              </w:rPr>
            </w:pPr>
          </w:p>
        </w:tc>
        <w:tc>
          <w:tcPr>
            <w:tcW w:w="1100" w:type="dxa"/>
            <w:vAlign w:val="bottom"/>
            <w:tcBorders>
              <w:bottom w:val="single" w:sz="8" w:color="BCBEC0"/>
            </w:tcBorders>
          </w:tcPr>
          <w:p>
            <w:pPr>
              <w:spacing w:after="0"/>
              <w:rPr>
                <w:sz w:val="3"/>
                <w:szCs w:val="3"/>
                <w:color w:val="auto"/>
              </w:rPr>
            </w:pPr>
          </w:p>
        </w:tc>
        <w:tc>
          <w:tcPr>
            <w:tcW w:w="380" w:type="dxa"/>
            <w:vAlign w:val="bottom"/>
            <w:tcBorders>
              <w:bottom w:val="single" w:sz="8" w:color="BCBEC0"/>
            </w:tcBorders>
          </w:tcPr>
          <w:p>
            <w:pPr>
              <w:spacing w:after="0"/>
              <w:rPr>
                <w:sz w:val="3"/>
                <w:szCs w:val="3"/>
                <w:color w:val="auto"/>
              </w:rPr>
            </w:pPr>
          </w:p>
        </w:tc>
        <w:tc>
          <w:tcPr>
            <w:tcW w:w="1020" w:type="dxa"/>
            <w:vAlign w:val="bottom"/>
            <w:tcBorders>
              <w:bottom w:val="single" w:sz="8" w:color="BCBEC0"/>
            </w:tcBorders>
          </w:tcPr>
          <w:p>
            <w:pPr>
              <w:spacing w:after="0"/>
              <w:rPr>
                <w:sz w:val="3"/>
                <w:szCs w:val="3"/>
                <w:color w:val="auto"/>
              </w:rPr>
            </w:pPr>
          </w:p>
        </w:tc>
      </w:tr>
      <w:tr>
        <w:trPr>
          <w:trHeight w:val="221"/>
        </w:trPr>
        <w:tc>
          <w:tcPr>
            <w:tcW w:w="5060" w:type="dxa"/>
            <w:vAlign w:val="bottom"/>
          </w:tcPr>
          <w:p>
            <w:pPr>
              <w:ind w:left="240"/>
              <w:spacing w:after="0"/>
              <w:rPr>
                <w:sz w:val="20"/>
                <w:szCs w:val="20"/>
                <w:color w:val="auto"/>
              </w:rPr>
            </w:pPr>
            <w:r>
              <w:rPr>
                <w:rFonts w:ascii="Arial" w:cs="Arial" w:eastAsia="Arial" w:hAnsi="Arial"/>
                <w:sz w:val="16"/>
                <w:szCs w:val="16"/>
                <w:color w:val="auto"/>
              </w:rPr>
              <w:t>Pension and other post-retirement mark-to-market loss (gain)</w:t>
            </w:r>
          </w:p>
        </w:tc>
        <w:tc>
          <w:tcPr>
            <w:tcW w:w="700" w:type="dxa"/>
            <w:vAlign w:val="bottom"/>
          </w:tcPr>
          <w:p>
            <w:pPr>
              <w:spacing w:after="0"/>
              <w:rPr>
                <w:sz w:val="19"/>
                <w:szCs w:val="19"/>
                <w:color w:val="auto"/>
              </w:rPr>
            </w:pPr>
          </w:p>
        </w:tc>
        <w:tc>
          <w:tcPr>
            <w:tcW w:w="1100" w:type="dxa"/>
            <w:vAlign w:val="bottom"/>
          </w:tcPr>
          <w:p>
            <w:pPr>
              <w:jc w:val="right"/>
              <w:ind w:right="199"/>
              <w:spacing w:after="0"/>
              <w:rPr>
                <w:sz w:val="20"/>
                <w:szCs w:val="20"/>
                <w:color w:val="auto"/>
              </w:rPr>
            </w:pPr>
            <w:r>
              <w:rPr>
                <w:rFonts w:ascii="Arial" w:cs="Arial" w:eastAsia="Arial" w:hAnsi="Arial"/>
                <w:sz w:val="16"/>
                <w:szCs w:val="16"/>
                <w:color w:val="auto"/>
              </w:rPr>
              <w:t>2.4</w:t>
            </w:r>
          </w:p>
        </w:tc>
        <w:tc>
          <w:tcPr>
            <w:tcW w:w="400" w:type="dxa"/>
            <w:vAlign w:val="bottom"/>
          </w:tcPr>
          <w:p>
            <w:pPr>
              <w:spacing w:after="0"/>
              <w:rPr>
                <w:sz w:val="19"/>
                <w:szCs w:val="19"/>
                <w:color w:val="auto"/>
              </w:rPr>
            </w:pPr>
          </w:p>
        </w:tc>
        <w:tc>
          <w:tcPr>
            <w:tcW w:w="1100" w:type="dxa"/>
            <w:vAlign w:val="bottom"/>
          </w:tcPr>
          <w:p>
            <w:pPr>
              <w:jc w:val="right"/>
              <w:ind w:right="179"/>
              <w:spacing w:after="0"/>
              <w:rPr>
                <w:sz w:val="20"/>
                <w:szCs w:val="20"/>
                <w:color w:val="auto"/>
              </w:rPr>
            </w:pPr>
            <w:r>
              <w:rPr>
                <w:rFonts w:ascii="Arial" w:cs="Arial" w:eastAsia="Arial" w:hAnsi="Arial"/>
                <w:sz w:val="16"/>
                <w:szCs w:val="16"/>
                <w:color w:val="auto"/>
              </w:rPr>
              <w:t>(5.3)</w:t>
            </w:r>
          </w:p>
        </w:tc>
        <w:tc>
          <w:tcPr>
            <w:tcW w:w="380" w:type="dxa"/>
            <w:vAlign w:val="bottom"/>
          </w:tcPr>
          <w:p>
            <w:pPr>
              <w:spacing w:after="0"/>
              <w:rPr>
                <w:sz w:val="19"/>
                <w:szCs w:val="19"/>
                <w:color w:val="auto"/>
              </w:rPr>
            </w:pPr>
          </w:p>
        </w:tc>
        <w:tc>
          <w:tcPr>
            <w:tcW w:w="1100" w:type="dxa"/>
            <w:vAlign w:val="bottom"/>
          </w:tcPr>
          <w:p>
            <w:pPr>
              <w:jc w:val="right"/>
              <w:ind w:right="219"/>
              <w:spacing w:after="0"/>
              <w:rPr>
                <w:sz w:val="20"/>
                <w:szCs w:val="20"/>
                <w:color w:val="auto"/>
              </w:rPr>
            </w:pPr>
            <w:r>
              <w:rPr>
                <w:rFonts w:ascii="Arial" w:cs="Arial" w:eastAsia="Arial" w:hAnsi="Arial"/>
                <w:sz w:val="16"/>
                <w:szCs w:val="16"/>
                <w:color w:val="auto"/>
              </w:rPr>
              <w:t>6.1</w:t>
            </w:r>
          </w:p>
        </w:tc>
        <w:tc>
          <w:tcPr>
            <w:tcW w:w="380" w:type="dxa"/>
            <w:vAlign w:val="bottom"/>
          </w:tcPr>
          <w:p>
            <w:pPr>
              <w:spacing w:after="0"/>
              <w:rPr>
                <w:sz w:val="19"/>
                <w:szCs w:val="19"/>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(17.5)</w:t>
            </w:r>
          </w:p>
        </w:tc>
      </w:tr>
      <w:tr>
        <w:trPr>
          <w:trHeight w:val="43"/>
        </w:trPr>
        <w:tc>
          <w:tcPr>
            <w:tcW w:w="5060" w:type="dxa"/>
            <w:vAlign w:val="bottom"/>
            <w:tcBorders>
              <w:bottom w:val="single" w:sz="8" w:color="BCBEC0"/>
            </w:tcBorders>
          </w:tcPr>
          <w:p>
            <w:pPr>
              <w:spacing w:after="0"/>
              <w:rPr>
                <w:sz w:val="3"/>
                <w:szCs w:val="3"/>
                <w:color w:val="auto"/>
              </w:rPr>
            </w:pPr>
          </w:p>
        </w:tc>
        <w:tc>
          <w:tcPr>
            <w:tcW w:w="700" w:type="dxa"/>
            <w:vAlign w:val="bottom"/>
            <w:tcBorders>
              <w:bottom w:val="single" w:sz="8" w:color="BCBEC0"/>
            </w:tcBorders>
          </w:tcPr>
          <w:p>
            <w:pPr>
              <w:spacing w:after="0"/>
              <w:rPr>
                <w:sz w:val="3"/>
                <w:szCs w:val="3"/>
                <w:color w:val="auto"/>
              </w:rPr>
            </w:pPr>
          </w:p>
        </w:tc>
        <w:tc>
          <w:tcPr>
            <w:tcW w:w="1100" w:type="dxa"/>
            <w:vAlign w:val="bottom"/>
            <w:tcBorders>
              <w:bottom w:val="single" w:sz="8" w:color="BCBEC0"/>
            </w:tcBorders>
          </w:tcPr>
          <w:p>
            <w:pPr>
              <w:spacing w:after="0"/>
              <w:rPr>
                <w:sz w:val="3"/>
                <w:szCs w:val="3"/>
                <w:color w:val="auto"/>
              </w:rPr>
            </w:pPr>
          </w:p>
        </w:tc>
        <w:tc>
          <w:tcPr>
            <w:tcW w:w="400" w:type="dxa"/>
            <w:vAlign w:val="bottom"/>
            <w:tcBorders>
              <w:bottom w:val="single" w:sz="8" w:color="BCBEC0"/>
            </w:tcBorders>
          </w:tcPr>
          <w:p>
            <w:pPr>
              <w:spacing w:after="0"/>
              <w:rPr>
                <w:sz w:val="3"/>
                <w:szCs w:val="3"/>
                <w:color w:val="auto"/>
              </w:rPr>
            </w:pPr>
          </w:p>
        </w:tc>
        <w:tc>
          <w:tcPr>
            <w:tcW w:w="1100" w:type="dxa"/>
            <w:vAlign w:val="bottom"/>
            <w:tcBorders>
              <w:bottom w:val="single" w:sz="8" w:color="BCBEC0"/>
            </w:tcBorders>
          </w:tcPr>
          <w:p>
            <w:pPr>
              <w:spacing w:after="0"/>
              <w:rPr>
                <w:sz w:val="3"/>
                <w:szCs w:val="3"/>
                <w:color w:val="auto"/>
              </w:rPr>
            </w:pPr>
          </w:p>
        </w:tc>
        <w:tc>
          <w:tcPr>
            <w:tcW w:w="380" w:type="dxa"/>
            <w:vAlign w:val="bottom"/>
            <w:tcBorders>
              <w:bottom w:val="single" w:sz="8" w:color="BCBEC0"/>
            </w:tcBorders>
          </w:tcPr>
          <w:p>
            <w:pPr>
              <w:spacing w:after="0"/>
              <w:rPr>
                <w:sz w:val="3"/>
                <w:szCs w:val="3"/>
                <w:color w:val="auto"/>
              </w:rPr>
            </w:pPr>
          </w:p>
        </w:tc>
        <w:tc>
          <w:tcPr>
            <w:tcW w:w="1100" w:type="dxa"/>
            <w:vAlign w:val="bottom"/>
            <w:tcBorders>
              <w:bottom w:val="single" w:sz="8" w:color="BCBEC0"/>
            </w:tcBorders>
          </w:tcPr>
          <w:p>
            <w:pPr>
              <w:spacing w:after="0"/>
              <w:rPr>
                <w:sz w:val="3"/>
                <w:szCs w:val="3"/>
                <w:color w:val="auto"/>
              </w:rPr>
            </w:pPr>
          </w:p>
        </w:tc>
        <w:tc>
          <w:tcPr>
            <w:tcW w:w="380" w:type="dxa"/>
            <w:vAlign w:val="bottom"/>
            <w:tcBorders>
              <w:bottom w:val="single" w:sz="8" w:color="BCBEC0"/>
            </w:tcBorders>
          </w:tcPr>
          <w:p>
            <w:pPr>
              <w:spacing w:after="0"/>
              <w:rPr>
                <w:sz w:val="3"/>
                <w:szCs w:val="3"/>
                <w:color w:val="auto"/>
              </w:rPr>
            </w:pPr>
          </w:p>
        </w:tc>
        <w:tc>
          <w:tcPr>
            <w:tcW w:w="1020" w:type="dxa"/>
            <w:vAlign w:val="bottom"/>
            <w:tcBorders>
              <w:bottom w:val="single" w:sz="8" w:color="BCBEC0"/>
            </w:tcBorders>
          </w:tcPr>
          <w:p>
            <w:pPr>
              <w:spacing w:after="0"/>
              <w:rPr>
                <w:sz w:val="3"/>
                <w:szCs w:val="3"/>
                <w:color w:val="auto"/>
              </w:rPr>
            </w:pPr>
          </w:p>
        </w:tc>
      </w:tr>
      <w:tr>
        <w:trPr>
          <w:trHeight w:val="221"/>
        </w:trPr>
        <w:tc>
          <w:tcPr>
            <w:tcW w:w="5060" w:type="dxa"/>
            <w:vAlign w:val="bottom"/>
          </w:tcPr>
          <w:p>
            <w:pPr>
              <w:ind w:left="240"/>
              <w:spacing w:after="0"/>
              <w:rPr>
                <w:sz w:val="20"/>
                <w:szCs w:val="20"/>
                <w:color w:val="auto"/>
              </w:rPr>
            </w:pPr>
            <w:r>
              <w:rPr>
                <w:rFonts w:ascii="Arial" w:cs="Arial" w:eastAsia="Arial" w:hAnsi="Arial"/>
                <w:sz w:val="16"/>
                <w:szCs w:val="16"/>
                <w:color w:val="auto"/>
              </w:rPr>
              <w:t>Amortization of bridge financing fees</w:t>
            </w:r>
          </w:p>
        </w:tc>
        <w:tc>
          <w:tcPr>
            <w:tcW w:w="700" w:type="dxa"/>
            <w:vAlign w:val="bottom"/>
          </w:tcPr>
          <w:p>
            <w:pPr>
              <w:spacing w:after="0"/>
              <w:rPr>
                <w:sz w:val="19"/>
                <w:szCs w:val="19"/>
                <w:color w:val="auto"/>
              </w:rPr>
            </w:pPr>
          </w:p>
        </w:tc>
        <w:tc>
          <w:tcPr>
            <w:tcW w:w="11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9"/>
                <w:szCs w:val="19"/>
                <w:color w:val="auto"/>
              </w:rPr>
            </w:pPr>
          </w:p>
        </w:tc>
        <w:tc>
          <w:tcPr>
            <w:tcW w:w="110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9"/>
                <w:szCs w:val="19"/>
                <w:color w:val="auto"/>
              </w:rPr>
            </w:pPr>
          </w:p>
        </w:tc>
        <w:tc>
          <w:tcPr>
            <w:tcW w:w="110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9"/>
                <w:szCs w:val="19"/>
                <w:color w:val="auto"/>
              </w:rPr>
            </w:pP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9.0</w:t>
            </w:r>
          </w:p>
        </w:tc>
      </w:tr>
      <w:tr>
        <w:trPr>
          <w:trHeight w:val="43"/>
        </w:trPr>
        <w:tc>
          <w:tcPr>
            <w:tcW w:w="5060" w:type="dxa"/>
            <w:vAlign w:val="bottom"/>
            <w:tcBorders>
              <w:bottom w:val="single" w:sz="8" w:color="BCBEC0"/>
            </w:tcBorders>
          </w:tcPr>
          <w:p>
            <w:pPr>
              <w:spacing w:after="0"/>
              <w:rPr>
                <w:sz w:val="3"/>
                <w:szCs w:val="3"/>
                <w:color w:val="auto"/>
              </w:rPr>
            </w:pPr>
          </w:p>
        </w:tc>
        <w:tc>
          <w:tcPr>
            <w:tcW w:w="700" w:type="dxa"/>
            <w:vAlign w:val="bottom"/>
            <w:tcBorders>
              <w:bottom w:val="single" w:sz="8" w:color="BCBEC0"/>
            </w:tcBorders>
          </w:tcPr>
          <w:p>
            <w:pPr>
              <w:spacing w:after="0"/>
              <w:rPr>
                <w:sz w:val="3"/>
                <w:szCs w:val="3"/>
                <w:color w:val="auto"/>
              </w:rPr>
            </w:pPr>
          </w:p>
        </w:tc>
        <w:tc>
          <w:tcPr>
            <w:tcW w:w="1100" w:type="dxa"/>
            <w:vAlign w:val="bottom"/>
            <w:tcBorders>
              <w:bottom w:val="single" w:sz="8" w:color="BCBEC0"/>
            </w:tcBorders>
          </w:tcPr>
          <w:p>
            <w:pPr>
              <w:spacing w:after="0"/>
              <w:rPr>
                <w:sz w:val="3"/>
                <w:szCs w:val="3"/>
                <w:color w:val="auto"/>
              </w:rPr>
            </w:pPr>
          </w:p>
        </w:tc>
        <w:tc>
          <w:tcPr>
            <w:tcW w:w="400" w:type="dxa"/>
            <w:vAlign w:val="bottom"/>
            <w:tcBorders>
              <w:bottom w:val="single" w:sz="8" w:color="BCBEC0"/>
            </w:tcBorders>
          </w:tcPr>
          <w:p>
            <w:pPr>
              <w:spacing w:after="0"/>
              <w:rPr>
                <w:sz w:val="3"/>
                <w:szCs w:val="3"/>
                <w:color w:val="auto"/>
              </w:rPr>
            </w:pPr>
          </w:p>
        </w:tc>
        <w:tc>
          <w:tcPr>
            <w:tcW w:w="1100" w:type="dxa"/>
            <w:vAlign w:val="bottom"/>
            <w:tcBorders>
              <w:bottom w:val="single" w:sz="8" w:color="BCBEC0"/>
            </w:tcBorders>
          </w:tcPr>
          <w:p>
            <w:pPr>
              <w:spacing w:after="0"/>
              <w:rPr>
                <w:sz w:val="3"/>
                <w:szCs w:val="3"/>
                <w:color w:val="auto"/>
              </w:rPr>
            </w:pPr>
          </w:p>
        </w:tc>
        <w:tc>
          <w:tcPr>
            <w:tcW w:w="380" w:type="dxa"/>
            <w:vAlign w:val="bottom"/>
            <w:tcBorders>
              <w:bottom w:val="single" w:sz="8" w:color="BCBEC0"/>
            </w:tcBorders>
          </w:tcPr>
          <w:p>
            <w:pPr>
              <w:spacing w:after="0"/>
              <w:rPr>
                <w:sz w:val="3"/>
                <w:szCs w:val="3"/>
                <w:color w:val="auto"/>
              </w:rPr>
            </w:pPr>
          </w:p>
        </w:tc>
        <w:tc>
          <w:tcPr>
            <w:tcW w:w="1100" w:type="dxa"/>
            <w:vAlign w:val="bottom"/>
            <w:tcBorders>
              <w:bottom w:val="single" w:sz="8" w:color="BCBEC0"/>
            </w:tcBorders>
          </w:tcPr>
          <w:p>
            <w:pPr>
              <w:spacing w:after="0"/>
              <w:rPr>
                <w:sz w:val="3"/>
                <w:szCs w:val="3"/>
                <w:color w:val="auto"/>
              </w:rPr>
            </w:pPr>
          </w:p>
        </w:tc>
        <w:tc>
          <w:tcPr>
            <w:tcW w:w="380" w:type="dxa"/>
            <w:vAlign w:val="bottom"/>
            <w:tcBorders>
              <w:bottom w:val="single" w:sz="8" w:color="BCBEC0"/>
            </w:tcBorders>
          </w:tcPr>
          <w:p>
            <w:pPr>
              <w:spacing w:after="0"/>
              <w:rPr>
                <w:sz w:val="3"/>
                <w:szCs w:val="3"/>
                <w:color w:val="auto"/>
              </w:rPr>
            </w:pPr>
          </w:p>
        </w:tc>
        <w:tc>
          <w:tcPr>
            <w:tcW w:w="1020" w:type="dxa"/>
            <w:vAlign w:val="bottom"/>
            <w:tcBorders>
              <w:bottom w:val="single" w:sz="8" w:color="BCBEC0"/>
            </w:tcBorders>
          </w:tcPr>
          <w:p>
            <w:pPr>
              <w:spacing w:after="0"/>
              <w:rPr>
                <w:sz w:val="3"/>
                <w:szCs w:val="3"/>
                <w:color w:val="auto"/>
              </w:rPr>
            </w:pPr>
          </w:p>
        </w:tc>
      </w:tr>
      <w:tr>
        <w:trPr>
          <w:trHeight w:val="221"/>
        </w:trPr>
        <w:tc>
          <w:tcPr>
            <w:tcW w:w="5060" w:type="dxa"/>
            <w:vAlign w:val="bottom"/>
          </w:tcPr>
          <w:p>
            <w:pPr>
              <w:ind w:left="240"/>
              <w:spacing w:after="0"/>
              <w:rPr>
                <w:sz w:val="20"/>
                <w:szCs w:val="20"/>
                <w:color w:val="auto"/>
              </w:rPr>
            </w:pPr>
            <w:r>
              <w:rPr>
                <w:rFonts w:ascii="Arial" w:cs="Arial" w:eastAsia="Arial" w:hAnsi="Arial"/>
                <w:sz w:val="16"/>
                <w:szCs w:val="16"/>
                <w:color w:val="auto"/>
              </w:rPr>
              <w:t>Other income</w:t>
            </w:r>
          </w:p>
        </w:tc>
        <w:tc>
          <w:tcPr>
            <w:tcW w:w="700" w:type="dxa"/>
            <w:vAlign w:val="bottom"/>
          </w:tcPr>
          <w:p>
            <w:pPr>
              <w:spacing w:after="0"/>
              <w:rPr>
                <w:sz w:val="19"/>
                <w:szCs w:val="19"/>
                <w:color w:val="auto"/>
              </w:rPr>
            </w:pPr>
          </w:p>
        </w:tc>
        <w:tc>
          <w:tcPr>
            <w:tcW w:w="11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9"/>
                <w:szCs w:val="19"/>
                <w:color w:val="auto"/>
              </w:rPr>
            </w:pPr>
          </w:p>
        </w:tc>
        <w:tc>
          <w:tcPr>
            <w:tcW w:w="1100" w:type="dxa"/>
            <w:vAlign w:val="bottom"/>
          </w:tcPr>
          <w:p>
            <w:pPr>
              <w:jc w:val="right"/>
              <w:ind w:right="179"/>
              <w:spacing w:after="0"/>
              <w:rPr>
                <w:sz w:val="20"/>
                <w:szCs w:val="20"/>
                <w:color w:val="auto"/>
              </w:rPr>
            </w:pPr>
            <w:r>
              <w:rPr>
                <w:rFonts w:ascii="Arial" w:cs="Arial" w:eastAsia="Arial" w:hAnsi="Arial"/>
                <w:sz w:val="16"/>
                <w:szCs w:val="16"/>
                <w:color w:val="auto"/>
              </w:rPr>
              <w:t>(0.4)</w:t>
            </w:r>
          </w:p>
        </w:tc>
        <w:tc>
          <w:tcPr>
            <w:tcW w:w="380" w:type="dxa"/>
            <w:vAlign w:val="bottom"/>
          </w:tcPr>
          <w:p>
            <w:pPr>
              <w:spacing w:after="0"/>
              <w:rPr>
                <w:sz w:val="19"/>
                <w:szCs w:val="19"/>
                <w:color w:val="auto"/>
              </w:rPr>
            </w:pPr>
          </w:p>
        </w:tc>
        <w:tc>
          <w:tcPr>
            <w:tcW w:w="1100" w:type="dxa"/>
            <w:vAlign w:val="bottom"/>
          </w:tcPr>
          <w:p>
            <w:pPr>
              <w:jc w:val="right"/>
              <w:ind w:right="159"/>
              <w:spacing w:after="0"/>
              <w:rPr>
                <w:sz w:val="20"/>
                <w:szCs w:val="20"/>
                <w:color w:val="auto"/>
              </w:rPr>
            </w:pPr>
            <w:r>
              <w:rPr>
                <w:rFonts w:ascii="Arial" w:cs="Arial" w:eastAsia="Arial" w:hAnsi="Arial"/>
                <w:sz w:val="16"/>
                <w:szCs w:val="16"/>
                <w:color w:val="auto"/>
              </w:rPr>
              <w:t>(5.1)</w:t>
            </w:r>
          </w:p>
        </w:tc>
        <w:tc>
          <w:tcPr>
            <w:tcW w:w="380" w:type="dxa"/>
            <w:vAlign w:val="bottom"/>
          </w:tcPr>
          <w:p>
            <w:pPr>
              <w:spacing w:after="0"/>
              <w:rPr>
                <w:sz w:val="19"/>
                <w:szCs w:val="19"/>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(0.2)</w:t>
            </w:r>
          </w:p>
        </w:tc>
      </w:tr>
      <w:tr>
        <w:trPr>
          <w:trHeight w:val="43"/>
        </w:trPr>
        <w:tc>
          <w:tcPr>
            <w:tcW w:w="5060" w:type="dxa"/>
            <w:vAlign w:val="bottom"/>
            <w:tcBorders>
              <w:bottom w:val="single" w:sz="8" w:color="BCBEC0"/>
            </w:tcBorders>
          </w:tcPr>
          <w:p>
            <w:pPr>
              <w:spacing w:after="0"/>
              <w:rPr>
                <w:sz w:val="3"/>
                <w:szCs w:val="3"/>
                <w:color w:val="auto"/>
              </w:rPr>
            </w:pPr>
          </w:p>
        </w:tc>
        <w:tc>
          <w:tcPr>
            <w:tcW w:w="700" w:type="dxa"/>
            <w:vAlign w:val="bottom"/>
            <w:tcBorders>
              <w:bottom w:val="single" w:sz="8" w:color="BCBEC0"/>
            </w:tcBorders>
          </w:tcPr>
          <w:p>
            <w:pPr>
              <w:spacing w:after="0"/>
              <w:rPr>
                <w:sz w:val="3"/>
                <w:szCs w:val="3"/>
                <w:color w:val="auto"/>
              </w:rPr>
            </w:pPr>
          </w:p>
        </w:tc>
        <w:tc>
          <w:tcPr>
            <w:tcW w:w="1100" w:type="dxa"/>
            <w:vAlign w:val="bottom"/>
            <w:tcBorders>
              <w:bottom w:val="single" w:sz="8" w:color="BCBEC0"/>
            </w:tcBorders>
          </w:tcPr>
          <w:p>
            <w:pPr>
              <w:spacing w:after="0"/>
              <w:rPr>
                <w:sz w:val="3"/>
                <w:szCs w:val="3"/>
                <w:color w:val="auto"/>
              </w:rPr>
            </w:pPr>
          </w:p>
        </w:tc>
        <w:tc>
          <w:tcPr>
            <w:tcW w:w="400" w:type="dxa"/>
            <w:vAlign w:val="bottom"/>
            <w:tcBorders>
              <w:bottom w:val="single" w:sz="8" w:color="BCBEC0"/>
            </w:tcBorders>
          </w:tcPr>
          <w:p>
            <w:pPr>
              <w:spacing w:after="0"/>
              <w:rPr>
                <w:sz w:val="3"/>
                <w:szCs w:val="3"/>
                <w:color w:val="auto"/>
              </w:rPr>
            </w:pPr>
          </w:p>
        </w:tc>
        <w:tc>
          <w:tcPr>
            <w:tcW w:w="1100" w:type="dxa"/>
            <w:vAlign w:val="bottom"/>
            <w:tcBorders>
              <w:bottom w:val="single" w:sz="8" w:color="BCBEC0"/>
            </w:tcBorders>
          </w:tcPr>
          <w:p>
            <w:pPr>
              <w:spacing w:after="0"/>
              <w:rPr>
                <w:sz w:val="3"/>
                <w:szCs w:val="3"/>
                <w:color w:val="auto"/>
              </w:rPr>
            </w:pPr>
          </w:p>
        </w:tc>
        <w:tc>
          <w:tcPr>
            <w:tcW w:w="380" w:type="dxa"/>
            <w:vAlign w:val="bottom"/>
            <w:tcBorders>
              <w:bottom w:val="single" w:sz="8" w:color="BCBEC0"/>
            </w:tcBorders>
          </w:tcPr>
          <w:p>
            <w:pPr>
              <w:spacing w:after="0"/>
              <w:rPr>
                <w:sz w:val="3"/>
                <w:szCs w:val="3"/>
                <w:color w:val="auto"/>
              </w:rPr>
            </w:pPr>
          </w:p>
        </w:tc>
        <w:tc>
          <w:tcPr>
            <w:tcW w:w="1100" w:type="dxa"/>
            <w:vAlign w:val="bottom"/>
            <w:tcBorders>
              <w:bottom w:val="single" w:sz="8" w:color="BCBEC0"/>
            </w:tcBorders>
          </w:tcPr>
          <w:p>
            <w:pPr>
              <w:spacing w:after="0"/>
              <w:rPr>
                <w:sz w:val="3"/>
                <w:szCs w:val="3"/>
                <w:color w:val="auto"/>
              </w:rPr>
            </w:pPr>
          </w:p>
        </w:tc>
        <w:tc>
          <w:tcPr>
            <w:tcW w:w="380" w:type="dxa"/>
            <w:vAlign w:val="bottom"/>
            <w:tcBorders>
              <w:bottom w:val="single" w:sz="8" w:color="BCBEC0"/>
            </w:tcBorders>
          </w:tcPr>
          <w:p>
            <w:pPr>
              <w:spacing w:after="0"/>
              <w:rPr>
                <w:sz w:val="3"/>
                <w:szCs w:val="3"/>
                <w:color w:val="auto"/>
              </w:rPr>
            </w:pPr>
          </w:p>
        </w:tc>
        <w:tc>
          <w:tcPr>
            <w:tcW w:w="1020" w:type="dxa"/>
            <w:vAlign w:val="bottom"/>
            <w:tcBorders>
              <w:bottom w:val="single" w:sz="8" w:color="BCBEC0"/>
            </w:tcBorders>
          </w:tcPr>
          <w:p>
            <w:pPr>
              <w:spacing w:after="0"/>
              <w:rPr>
                <w:sz w:val="3"/>
                <w:szCs w:val="3"/>
                <w:color w:val="auto"/>
              </w:rPr>
            </w:pPr>
          </w:p>
        </w:tc>
      </w:tr>
      <w:tr>
        <w:trPr>
          <w:trHeight w:val="221"/>
        </w:trPr>
        <w:tc>
          <w:tcPr>
            <w:tcW w:w="5060" w:type="dxa"/>
            <w:vAlign w:val="bottom"/>
          </w:tcPr>
          <w:p>
            <w:pPr>
              <w:ind w:left="240"/>
              <w:spacing w:after="0"/>
              <w:rPr>
                <w:sz w:val="20"/>
                <w:szCs w:val="20"/>
                <w:color w:val="auto"/>
              </w:rPr>
            </w:pPr>
            <w:r>
              <w:rPr>
                <w:rFonts w:ascii="Arial" w:cs="Arial" w:eastAsia="Arial" w:hAnsi="Arial"/>
                <w:sz w:val="16"/>
                <w:szCs w:val="16"/>
                <w:color w:val="auto"/>
              </w:rPr>
              <w:t>Adjustments to operating income</w:t>
            </w:r>
          </w:p>
        </w:tc>
        <w:tc>
          <w:tcPr>
            <w:tcW w:w="700" w:type="dxa"/>
            <w:vAlign w:val="bottom"/>
          </w:tcPr>
          <w:p>
            <w:pPr>
              <w:spacing w:after="0"/>
              <w:rPr>
                <w:sz w:val="19"/>
                <w:szCs w:val="19"/>
                <w:color w:val="auto"/>
              </w:rPr>
            </w:pPr>
          </w:p>
        </w:tc>
        <w:tc>
          <w:tcPr>
            <w:tcW w:w="1100" w:type="dxa"/>
            <w:vAlign w:val="bottom"/>
          </w:tcPr>
          <w:p>
            <w:pPr>
              <w:jc w:val="right"/>
              <w:ind w:right="199"/>
              <w:spacing w:after="0"/>
              <w:rPr>
                <w:sz w:val="20"/>
                <w:szCs w:val="20"/>
                <w:color w:val="auto"/>
              </w:rPr>
            </w:pPr>
            <w:r>
              <w:rPr>
                <w:rFonts w:ascii="Arial" w:cs="Arial" w:eastAsia="Arial" w:hAnsi="Arial"/>
                <w:sz w:val="16"/>
                <w:szCs w:val="16"/>
                <w:color w:val="auto"/>
              </w:rPr>
              <w:t>195.0</w:t>
            </w:r>
          </w:p>
        </w:tc>
        <w:tc>
          <w:tcPr>
            <w:tcW w:w="400" w:type="dxa"/>
            <w:vAlign w:val="bottom"/>
          </w:tcPr>
          <w:p>
            <w:pPr>
              <w:spacing w:after="0"/>
              <w:rPr>
                <w:sz w:val="19"/>
                <w:szCs w:val="19"/>
                <w:color w:val="auto"/>
              </w:rPr>
            </w:pPr>
          </w:p>
        </w:tc>
        <w:tc>
          <w:tcPr>
            <w:tcW w:w="1100" w:type="dxa"/>
            <w:vAlign w:val="bottom"/>
          </w:tcPr>
          <w:p>
            <w:pPr>
              <w:jc w:val="right"/>
              <w:ind w:right="219"/>
              <w:spacing w:after="0"/>
              <w:rPr>
                <w:sz w:val="20"/>
                <w:szCs w:val="20"/>
                <w:color w:val="auto"/>
              </w:rPr>
            </w:pPr>
            <w:r>
              <w:rPr>
                <w:rFonts w:ascii="Arial" w:cs="Arial" w:eastAsia="Arial" w:hAnsi="Arial"/>
                <w:sz w:val="16"/>
                <w:szCs w:val="16"/>
                <w:color w:val="auto"/>
              </w:rPr>
              <w:t>153.5</w:t>
            </w:r>
          </w:p>
        </w:tc>
        <w:tc>
          <w:tcPr>
            <w:tcW w:w="380" w:type="dxa"/>
            <w:vAlign w:val="bottom"/>
          </w:tcPr>
          <w:p>
            <w:pPr>
              <w:spacing w:after="0"/>
              <w:rPr>
                <w:sz w:val="19"/>
                <w:szCs w:val="19"/>
                <w:color w:val="auto"/>
              </w:rPr>
            </w:pPr>
          </w:p>
        </w:tc>
        <w:tc>
          <w:tcPr>
            <w:tcW w:w="1100" w:type="dxa"/>
            <w:vAlign w:val="bottom"/>
          </w:tcPr>
          <w:p>
            <w:pPr>
              <w:jc w:val="right"/>
              <w:ind w:right="219"/>
              <w:spacing w:after="0"/>
              <w:rPr>
                <w:sz w:val="20"/>
                <w:szCs w:val="20"/>
                <w:color w:val="auto"/>
              </w:rPr>
            </w:pPr>
            <w:r>
              <w:rPr>
                <w:rFonts w:ascii="Arial" w:cs="Arial" w:eastAsia="Arial" w:hAnsi="Arial"/>
                <w:sz w:val="16"/>
                <w:szCs w:val="16"/>
                <w:color w:val="auto"/>
              </w:rPr>
              <w:t>113.1</w:t>
            </w:r>
          </w:p>
        </w:tc>
        <w:tc>
          <w:tcPr>
            <w:tcW w:w="380" w:type="dxa"/>
            <w:vAlign w:val="bottom"/>
          </w:tcPr>
          <w:p>
            <w:pPr>
              <w:spacing w:after="0"/>
              <w:rPr>
                <w:sz w:val="19"/>
                <w:szCs w:val="19"/>
                <w:color w:val="auto"/>
              </w:rPr>
            </w:pP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170.6</w:t>
            </w:r>
          </w:p>
        </w:tc>
      </w:tr>
      <w:tr>
        <w:trPr>
          <w:trHeight w:val="43"/>
        </w:trPr>
        <w:tc>
          <w:tcPr>
            <w:tcW w:w="5060" w:type="dxa"/>
            <w:vAlign w:val="bottom"/>
            <w:tcBorders>
              <w:bottom w:val="single" w:sz="8" w:color="BCBEC0"/>
            </w:tcBorders>
          </w:tcPr>
          <w:p>
            <w:pPr>
              <w:spacing w:after="0"/>
              <w:rPr>
                <w:sz w:val="3"/>
                <w:szCs w:val="3"/>
                <w:color w:val="auto"/>
              </w:rPr>
            </w:pPr>
          </w:p>
        </w:tc>
        <w:tc>
          <w:tcPr>
            <w:tcW w:w="700" w:type="dxa"/>
            <w:vAlign w:val="bottom"/>
            <w:tcBorders>
              <w:bottom w:val="single" w:sz="8" w:color="BCBEC0"/>
            </w:tcBorders>
          </w:tcPr>
          <w:p>
            <w:pPr>
              <w:spacing w:after="0"/>
              <w:rPr>
                <w:sz w:val="3"/>
                <w:szCs w:val="3"/>
                <w:color w:val="auto"/>
              </w:rPr>
            </w:pPr>
          </w:p>
        </w:tc>
        <w:tc>
          <w:tcPr>
            <w:tcW w:w="1100" w:type="dxa"/>
            <w:vAlign w:val="bottom"/>
            <w:tcBorders>
              <w:bottom w:val="single" w:sz="8" w:color="BCBEC0"/>
            </w:tcBorders>
          </w:tcPr>
          <w:p>
            <w:pPr>
              <w:spacing w:after="0"/>
              <w:rPr>
                <w:sz w:val="3"/>
                <w:szCs w:val="3"/>
                <w:color w:val="auto"/>
              </w:rPr>
            </w:pPr>
          </w:p>
        </w:tc>
        <w:tc>
          <w:tcPr>
            <w:tcW w:w="400" w:type="dxa"/>
            <w:vAlign w:val="bottom"/>
            <w:tcBorders>
              <w:bottom w:val="single" w:sz="8" w:color="BCBEC0"/>
            </w:tcBorders>
          </w:tcPr>
          <w:p>
            <w:pPr>
              <w:spacing w:after="0"/>
              <w:rPr>
                <w:sz w:val="3"/>
                <w:szCs w:val="3"/>
                <w:color w:val="auto"/>
              </w:rPr>
            </w:pPr>
          </w:p>
        </w:tc>
        <w:tc>
          <w:tcPr>
            <w:tcW w:w="1100" w:type="dxa"/>
            <w:vAlign w:val="bottom"/>
            <w:tcBorders>
              <w:bottom w:val="single" w:sz="8" w:color="BCBEC0"/>
            </w:tcBorders>
          </w:tcPr>
          <w:p>
            <w:pPr>
              <w:spacing w:after="0"/>
              <w:rPr>
                <w:sz w:val="3"/>
                <w:szCs w:val="3"/>
                <w:color w:val="auto"/>
              </w:rPr>
            </w:pPr>
          </w:p>
        </w:tc>
        <w:tc>
          <w:tcPr>
            <w:tcW w:w="380" w:type="dxa"/>
            <w:vAlign w:val="bottom"/>
            <w:tcBorders>
              <w:bottom w:val="single" w:sz="8" w:color="BCBEC0"/>
            </w:tcBorders>
          </w:tcPr>
          <w:p>
            <w:pPr>
              <w:spacing w:after="0"/>
              <w:rPr>
                <w:sz w:val="3"/>
                <w:szCs w:val="3"/>
                <w:color w:val="auto"/>
              </w:rPr>
            </w:pPr>
          </w:p>
        </w:tc>
        <w:tc>
          <w:tcPr>
            <w:tcW w:w="1100" w:type="dxa"/>
            <w:vAlign w:val="bottom"/>
            <w:tcBorders>
              <w:bottom w:val="single" w:sz="8" w:color="BCBEC0"/>
            </w:tcBorders>
          </w:tcPr>
          <w:p>
            <w:pPr>
              <w:spacing w:after="0"/>
              <w:rPr>
                <w:sz w:val="3"/>
                <w:szCs w:val="3"/>
                <w:color w:val="auto"/>
              </w:rPr>
            </w:pPr>
          </w:p>
        </w:tc>
        <w:tc>
          <w:tcPr>
            <w:tcW w:w="380" w:type="dxa"/>
            <w:vAlign w:val="bottom"/>
            <w:tcBorders>
              <w:bottom w:val="single" w:sz="8" w:color="BCBEC0"/>
            </w:tcBorders>
          </w:tcPr>
          <w:p>
            <w:pPr>
              <w:spacing w:after="0"/>
              <w:rPr>
                <w:sz w:val="3"/>
                <w:szCs w:val="3"/>
                <w:color w:val="auto"/>
              </w:rPr>
            </w:pPr>
          </w:p>
        </w:tc>
        <w:tc>
          <w:tcPr>
            <w:tcW w:w="1020" w:type="dxa"/>
            <w:vAlign w:val="bottom"/>
            <w:tcBorders>
              <w:bottom w:val="single" w:sz="8" w:color="BCBEC0"/>
            </w:tcBorders>
          </w:tcPr>
          <w:p>
            <w:pPr>
              <w:spacing w:after="0"/>
              <w:rPr>
                <w:sz w:val="3"/>
                <w:szCs w:val="3"/>
                <w:color w:val="auto"/>
              </w:rPr>
            </w:pPr>
          </w:p>
        </w:tc>
      </w:tr>
      <w:tr>
        <w:trPr>
          <w:trHeight w:val="263"/>
        </w:trPr>
        <w:tc>
          <w:tcPr>
            <w:tcW w:w="5060" w:type="dxa"/>
            <w:vAlign w:val="bottom"/>
            <w:tcBorders>
              <w:bottom w:val="single" w:sz="8" w:color="0C3471"/>
            </w:tcBorders>
          </w:tcPr>
          <w:p>
            <w:pPr>
              <w:ind w:left="240"/>
              <w:spacing w:after="0"/>
              <w:rPr>
                <w:sz w:val="20"/>
                <w:szCs w:val="20"/>
                <w:color w:val="auto"/>
              </w:rPr>
            </w:pPr>
            <w:r>
              <w:rPr>
                <w:rFonts w:ascii="Arial" w:cs="Arial" w:eastAsia="Arial" w:hAnsi="Arial"/>
                <w:sz w:val="16"/>
                <w:szCs w:val="16"/>
                <w:color w:val="auto"/>
              </w:rPr>
              <w:t xml:space="preserve">Income tax adjustments </w:t>
            </w:r>
            <w:r>
              <w:rPr>
                <w:rFonts w:ascii="Arial" w:cs="Arial" w:eastAsia="Arial" w:hAnsi="Arial"/>
                <w:sz w:val="21"/>
                <w:szCs w:val="21"/>
                <w:color w:val="auto"/>
                <w:vertAlign w:val="superscript"/>
              </w:rPr>
              <w:t>(1)</w:t>
            </w:r>
          </w:p>
        </w:tc>
        <w:tc>
          <w:tcPr>
            <w:tcW w:w="700" w:type="dxa"/>
            <w:vAlign w:val="bottom"/>
            <w:tcBorders>
              <w:bottom w:val="single" w:sz="8" w:color="0C3471"/>
            </w:tcBorders>
          </w:tcPr>
          <w:p>
            <w:pPr>
              <w:spacing w:after="0"/>
              <w:rPr>
                <w:sz w:val="22"/>
                <w:szCs w:val="22"/>
                <w:color w:val="auto"/>
              </w:rPr>
            </w:pPr>
          </w:p>
        </w:tc>
        <w:tc>
          <w:tcPr>
            <w:tcW w:w="1100" w:type="dxa"/>
            <w:vAlign w:val="bottom"/>
            <w:tcBorders>
              <w:bottom w:val="single" w:sz="8" w:color="0C3471"/>
            </w:tcBorders>
          </w:tcPr>
          <w:p>
            <w:pPr>
              <w:jc w:val="right"/>
              <w:ind w:right="159"/>
              <w:spacing w:after="0"/>
              <w:rPr>
                <w:sz w:val="20"/>
                <w:szCs w:val="20"/>
                <w:color w:val="auto"/>
              </w:rPr>
            </w:pPr>
            <w:r>
              <w:rPr>
                <w:rFonts w:ascii="Arial" w:cs="Arial" w:eastAsia="Arial" w:hAnsi="Arial"/>
                <w:sz w:val="16"/>
                <w:szCs w:val="16"/>
                <w:color w:val="auto"/>
              </w:rPr>
              <w:t>(58.5)</w:t>
            </w:r>
          </w:p>
        </w:tc>
        <w:tc>
          <w:tcPr>
            <w:tcW w:w="400" w:type="dxa"/>
            <w:vAlign w:val="bottom"/>
            <w:tcBorders>
              <w:bottom w:val="single" w:sz="8" w:color="0C3471"/>
            </w:tcBorders>
          </w:tcPr>
          <w:p>
            <w:pPr>
              <w:spacing w:after="0"/>
              <w:rPr>
                <w:sz w:val="22"/>
                <w:szCs w:val="22"/>
                <w:color w:val="auto"/>
              </w:rPr>
            </w:pPr>
          </w:p>
        </w:tc>
        <w:tc>
          <w:tcPr>
            <w:tcW w:w="1100" w:type="dxa"/>
            <w:vAlign w:val="bottom"/>
            <w:tcBorders>
              <w:bottom w:val="single" w:sz="8" w:color="0C3471"/>
            </w:tcBorders>
          </w:tcPr>
          <w:p>
            <w:pPr>
              <w:jc w:val="right"/>
              <w:ind w:right="179"/>
              <w:spacing w:after="0"/>
              <w:rPr>
                <w:sz w:val="20"/>
                <w:szCs w:val="20"/>
                <w:color w:val="auto"/>
              </w:rPr>
            </w:pPr>
            <w:r>
              <w:rPr>
                <w:rFonts w:ascii="Arial" w:cs="Arial" w:eastAsia="Arial" w:hAnsi="Arial"/>
                <w:sz w:val="16"/>
                <w:szCs w:val="16"/>
                <w:color w:val="auto"/>
              </w:rPr>
              <w:t>(49.7)</w:t>
            </w:r>
          </w:p>
        </w:tc>
        <w:tc>
          <w:tcPr>
            <w:tcW w:w="380" w:type="dxa"/>
            <w:vAlign w:val="bottom"/>
            <w:tcBorders>
              <w:bottom w:val="single" w:sz="8" w:color="0C3471"/>
            </w:tcBorders>
          </w:tcPr>
          <w:p>
            <w:pPr>
              <w:spacing w:after="0"/>
              <w:rPr>
                <w:sz w:val="22"/>
                <w:szCs w:val="22"/>
                <w:color w:val="auto"/>
              </w:rPr>
            </w:pPr>
          </w:p>
        </w:tc>
        <w:tc>
          <w:tcPr>
            <w:tcW w:w="1100" w:type="dxa"/>
            <w:vAlign w:val="bottom"/>
            <w:tcBorders>
              <w:bottom w:val="single" w:sz="8" w:color="0C3471"/>
            </w:tcBorders>
          </w:tcPr>
          <w:p>
            <w:pPr>
              <w:jc w:val="right"/>
              <w:ind w:right="159"/>
              <w:spacing w:after="0"/>
              <w:rPr>
                <w:sz w:val="20"/>
                <w:szCs w:val="20"/>
                <w:color w:val="auto"/>
              </w:rPr>
            </w:pPr>
            <w:r>
              <w:rPr>
                <w:rFonts w:ascii="Arial" w:cs="Arial" w:eastAsia="Arial" w:hAnsi="Arial"/>
                <w:sz w:val="16"/>
                <w:szCs w:val="16"/>
                <w:color w:val="auto"/>
              </w:rPr>
              <w:t>(112.8)</w:t>
            </w:r>
          </w:p>
        </w:tc>
        <w:tc>
          <w:tcPr>
            <w:tcW w:w="380" w:type="dxa"/>
            <w:vAlign w:val="bottom"/>
            <w:tcBorders>
              <w:bottom w:val="single" w:sz="8" w:color="0C3471"/>
            </w:tcBorders>
          </w:tcPr>
          <w:p>
            <w:pPr>
              <w:spacing w:after="0"/>
              <w:rPr>
                <w:sz w:val="22"/>
                <w:szCs w:val="22"/>
                <w:color w:val="auto"/>
              </w:rPr>
            </w:pPr>
          </w:p>
        </w:tc>
        <w:tc>
          <w:tcPr>
            <w:tcW w:w="1020" w:type="dxa"/>
            <w:vAlign w:val="bottom"/>
            <w:tcBorders>
              <w:bottom w:val="single" w:sz="8" w:color="0C3471"/>
            </w:tcBorders>
          </w:tcPr>
          <w:p>
            <w:pPr>
              <w:jc w:val="right"/>
              <w:ind w:right="79"/>
              <w:spacing w:after="0"/>
              <w:rPr>
                <w:sz w:val="20"/>
                <w:szCs w:val="20"/>
                <w:color w:val="auto"/>
              </w:rPr>
            </w:pPr>
            <w:r>
              <w:rPr>
                <w:rFonts w:ascii="Arial" w:cs="Arial" w:eastAsia="Arial" w:hAnsi="Arial"/>
                <w:sz w:val="16"/>
                <w:szCs w:val="16"/>
                <w:color w:val="auto"/>
              </w:rPr>
              <w:t>(35.9)</w:t>
            </w:r>
          </w:p>
        </w:tc>
      </w:tr>
      <w:tr>
        <w:trPr>
          <w:trHeight w:val="221"/>
        </w:trPr>
        <w:tc>
          <w:tcPr>
            <w:tcW w:w="5060" w:type="dxa"/>
            <w:vAlign w:val="bottom"/>
          </w:tcPr>
          <w:p>
            <w:pPr>
              <w:ind w:left="20"/>
              <w:spacing w:after="0"/>
              <w:rPr>
                <w:sz w:val="20"/>
                <w:szCs w:val="20"/>
                <w:color w:val="auto"/>
              </w:rPr>
            </w:pPr>
            <w:r>
              <w:rPr>
                <w:rFonts w:ascii="Arial" w:cs="Arial" w:eastAsia="Arial" w:hAnsi="Arial"/>
                <w:sz w:val="16"/>
                <w:szCs w:val="16"/>
                <w:color w:val="auto"/>
              </w:rPr>
              <w:t>Net income from continuing operations—as adjusted</w:t>
            </w:r>
          </w:p>
        </w:tc>
        <w:tc>
          <w:tcPr>
            <w:tcW w:w="7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99"/>
              <w:spacing w:after="0"/>
              <w:rPr>
                <w:sz w:val="20"/>
                <w:szCs w:val="20"/>
                <w:color w:val="auto"/>
              </w:rPr>
            </w:pPr>
            <w:r>
              <w:rPr>
                <w:rFonts w:ascii="Arial" w:cs="Arial" w:eastAsia="Arial" w:hAnsi="Arial"/>
                <w:sz w:val="16"/>
                <w:szCs w:val="16"/>
                <w:color w:val="auto"/>
              </w:rPr>
              <w:t>814.7</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19"/>
              <w:spacing w:after="0"/>
              <w:rPr>
                <w:sz w:val="20"/>
                <w:szCs w:val="20"/>
                <w:color w:val="auto"/>
              </w:rPr>
            </w:pPr>
            <w:r>
              <w:rPr>
                <w:rFonts w:ascii="Arial" w:cs="Arial" w:eastAsia="Arial" w:hAnsi="Arial"/>
                <w:sz w:val="16"/>
                <w:szCs w:val="16"/>
                <w:color w:val="auto"/>
              </w:rPr>
              <w:t>723.7</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19"/>
              <w:spacing w:after="0"/>
              <w:rPr>
                <w:sz w:val="20"/>
                <w:szCs w:val="20"/>
                <w:color w:val="auto"/>
              </w:rPr>
            </w:pPr>
            <w:r>
              <w:rPr>
                <w:rFonts w:ascii="Arial" w:cs="Arial" w:eastAsia="Arial" w:hAnsi="Arial"/>
                <w:sz w:val="16"/>
                <w:szCs w:val="16"/>
                <w:color w:val="auto"/>
              </w:rPr>
              <w:t>624.2</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609.2</w:t>
            </w:r>
          </w:p>
        </w:tc>
      </w:tr>
      <w:tr>
        <w:trPr>
          <w:trHeight w:val="43"/>
        </w:trPr>
        <w:tc>
          <w:tcPr>
            <w:tcW w:w="5060" w:type="dxa"/>
            <w:vAlign w:val="bottom"/>
            <w:tcBorders>
              <w:bottom w:val="single" w:sz="8" w:color="0C3471"/>
            </w:tcBorders>
          </w:tcPr>
          <w:p>
            <w:pPr>
              <w:spacing w:after="0"/>
              <w:rPr>
                <w:sz w:val="3"/>
                <w:szCs w:val="3"/>
                <w:color w:val="auto"/>
              </w:rPr>
            </w:pPr>
          </w:p>
        </w:tc>
        <w:tc>
          <w:tcPr>
            <w:tcW w:w="700" w:type="dxa"/>
            <w:vAlign w:val="bottom"/>
            <w:tcBorders>
              <w:bottom w:val="single" w:sz="8" w:color="0C3471"/>
            </w:tcBorders>
          </w:tcPr>
          <w:p>
            <w:pPr>
              <w:spacing w:after="0"/>
              <w:rPr>
                <w:sz w:val="3"/>
                <w:szCs w:val="3"/>
                <w:color w:val="auto"/>
              </w:rPr>
            </w:pPr>
          </w:p>
        </w:tc>
        <w:tc>
          <w:tcPr>
            <w:tcW w:w="1100" w:type="dxa"/>
            <w:vAlign w:val="bottom"/>
            <w:tcBorders>
              <w:bottom w:val="single" w:sz="8" w:color="0C3471"/>
            </w:tcBorders>
          </w:tcPr>
          <w:p>
            <w:pPr>
              <w:spacing w:after="0"/>
              <w:rPr>
                <w:sz w:val="3"/>
                <w:szCs w:val="3"/>
                <w:color w:val="auto"/>
              </w:rPr>
            </w:pPr>
          </w:p>
        </w:tc>
        <w:tc>
          <w:tcPr>
            <w:tcW w:w="400" w:type="dxa"/>
            <w:vAlign w:val="bottom"/>
            <w:tcBorders>
              <w:bottom w:val="single" w:sz="8" w:color="0C3471"/>
            </w:tcBorders>
          </w:tcPr>
          <w:p>
            <w:pPr>
              <w:spacing w:after="0"/>
              <w:rPr>
                <w:sz w:val="3"/>
                <w:szCs w:val="3"/>
                <w:color w:val="auto"/>
              </w:rPr>
            </w:pPr>
          </w:p>
        </w:tc>
        <w:tc>
          <w:tcPr>
            <w:tcW w:w="1100" w:type="dxa"/>
            <w:vAlign w:val="bottom"/>
            <w:tcBorders>
              <w:bottom w:val="single" w:sz="8" w:color="0C3471"/>
            </w:tcBorders>
          </w:tcPr>
          <w:p>
            <w:pPr>
              <w:spacing w:after="0"/>
              <w:rPr>
                <w:sz w:val="3"/>
                <w:szCs w:val="3"/>
                <w:color w:val="auto"/>
              </w:rPr>
            </w:pPr>
          </w:p>
        </w:tc>
        <w:tc>
          <w:tcPr>
            <w:tcW w:w="380" w:type="dxa"/>
            <w:vAlign w:val="bottom"/>
            <w:tcBorders>
              <w:bottom w:val="single" w:sz="8" w:color="0C3471"/>
            </w:tcBorders>
          </w:tcPr>
          <w:p>
            <w:pPr>
              <w:spacing w:after="0"/>
              <w:rPr>
                <w:sz w:val="3"/>
                <w:szCs w:val="3"/>
                <w:color w:val="auto"/>
              </w:rPr>
            </w:pPr>
          </w:p>
        </w:tc>
        <w:tc>
          <w:tcPr>
            <w:tcW w:w="1100" w:type="dxa"/>
            <w:vAlign w:val="bottom"/>
            <w:tcBorders>
              <w:bottom w:val="single" w:sz="8" w:color="0C3471"/>
            </w:tcBorders>
          </w:tcPr>
          <w:p>
            <w:pPr>
              <w:spacing w:after="0"/>
              <w:rPr>
                <w:sz w:val="3"/>
                <w:szCs w:val="3"/>
                <w:color w:val="auto"/>
              </w:rPr>
            </w:pPr>
          </w:p>
        </w:tc>
        <w:tc>
          <w:tcPr>
            <w:tcW w:w="380" w:type="dxa"/>
            <w:vAlign w:val="bottom"/>
            <w:tcBorders>
              <w:bottom w:val="single" w:sz="8" w:color="0C3471"/>
            </w:tcBorders>
          </w:tcPr>
          <w:p>
            <w:pPr>
              <w:spacing w:after="0"/>
              <w:rPr>
                <w:sz w:val="3"/>
                <w:szCs w:val="3"/>
                <w:color w:val="auto"/>
              </w:rPr>
            </w:pPr>
          </w:p>
        </w:tc>
        <w:tc>
          <w:tcPr>
            <w:tcW w:w="1020" w:type="dxa"/>
            <w:vAlign w:val="bottom"/>
            <w:tcBorders>
              <w:bottom w:val="single" w:sz="8" w:color="0C3471"/>
            </w:tcBorders>
          </w:tcPr>
          <w:p>
            <w:pPr>
              <w:spacing w:after="0"/>
              <w:rPr>
                <w:sz w:val="3"/>
                <w:szCs w:val="3"/>
                <w:color w:val="auto"/>
              </w:rPr>
            </w:pPr>
          </w:p>
        </w:tc>
      </w:tr>
      <w:tr>
        <w:trPr>
          <w:trHeight w:val="233"/>
        </w:trPr>
        <w:tc>
          <w:tcPr>
            <w:tcW w:w="5060" w:type="dxa"/>
            <w:vAlign w:val="bottom"/>
            <w:tcBorders>
              <w:bottom w:val="single" w:sz="8" w:color="0C3471"/>
            </w:tcBorders>
          </w:tcPr>
          <w:p>
            <w:pPr>
              <w:ind w:left="20"/>
              <w:spacing w:after="0"/>
              <w:rPr>
                <w:sz w:val="20"/>
                <w:szCs w:val="20"/>
                <w:color w:val="auto"/>
              </w:rPr>
            </w:pPr>
            <w:r>
              <w:rPr>
                <w:rFonts w:ascii="Arial" w:cs="Arial" w:eastAsia="Arial" w:hAnsi="Arial"/>
                <w:sz w:val="16"/>
                <w:szCs w:val="16"/>
                <w:b w:val="1"/>
                <w:bCs w:val="1"/>
                <w:color w:val="auto"/>
              </w:rPr>
              <w:t>Continuing earnings per ordinary share—diluted</w:t>
            </w:r>
          </w:p>
        </w:tc>
        <w:tc>
          <w:tcPr>
            <w:tcW w:w="700" w:type="dxa"/>
            <w:vAlign w:val="bottom"/>
            <w:tcBorders>
              <w:bottom w:val="single" w:sz="8" w:color="0C3471"/>
            </w:tcBorders>
          </w:tcPr>
          <w:p>
            <w:pPr>
              <w:spacing w:after="0"/>
              <w:rPr>
                <w:sz w:val="20"/>
                <w:szCs w:val="20"/>
                <w:color w:val="auto"/>
              </w:rPr>
            </w:pPr>
          </w:p>
        </w:tc>
        <w:tc>
          <w:tcPr>
            <w:tcW w:w="1100" w:type="dxa"/>
            <w:vAlign w:val="bottom"/>
            <w:tcBorders>
              <w:bottom w:val="single" w:sz="8" w:color="0C3471"/>
            </w:tcBorders>
          </w:tcPr>
          <w:p>
            <w:pPr>
              <w:spacing w:after="0"/>
              <w:rPr>
                <w:sz w:val="20"/>
                <w:szCs w:val="20"/>
                <w:color w:val="auto"/>
              </w:rPr>
            </w:pPr>
          </w:p>
        </w:tc>
        <w:tc>
          <w:tcPr>
            <w:tcW w:w="400" w:type="dxa"/>
            <w:vAlign w:val="bottom"/>
            <w:tcBorders>
              <w:bottom w:val="single" w:sz="8" w:color="0C3471"/>
            </w:tcBorders>
          </w:tcPr>
          <w:p>
            <w:pPr>
              <w:spacing w:after="0"/>
              <w:rPr>
                <w:sz w:val="20"/>
                <w:szCs w:val="20"/>
                <w:color w:val="auto"/>
              </w:rPr>
            </w:pPr>
          </w:p>
        </w:tc>
        <w:tc>
          <w:tcPr>
            <w:tcW w:w="1100" w:type="dxa"/>
            <w:vAlign w:val="bottom"/>
            <w:tcBorders>
              <w:bottom w:val="single" w:sz="8" w:color="0C3471"/>
            </w:tcBorders>
          </w:tcPr>
          <w:p>
            <w:pPr>
              <w:spacing w:after="0"/>
              <w:rPr>
                <w:sz w:val="20"/>
                <w:szCs w:val="20"/>
                <w:color w:val="auto"/>
              </w:rPr>
            </w:pPr>
          </w:p>
        </w:tc>
        <w:tc>
          <w:tcPr>
            <w:tcW w:w="380" w:type="dxa"/>
            <w:vAlign w:val="bottom"/>
            <w:tcBorders>
              <w:bottom w:val="single" w:sz="8" w:color="0C3471"/>
            </w:tcBorders>
          </w:tcPr>
          <w:p>
            <w:pPr>
              <w:spacing w:after="0"/>
              <w:rPr>
                <w:sz w:val="20"/>
                <w:szCs w:val="20"/>
                <w:color w:val="auto"/>
              </w:rPr>
            </w:pPr>
          </w:p>
        </w:tc>
        <w:tc>
          <w:tcPr>
            <w:tcW w:w="1100" w:type="dxa"/>
            <w:vAlign w:val="bottom"/>
            <w:tcBorders>
              <w:bottom w:val="single" w:sz="8" w:color="0C3471"/>
            </w:tcBorders>
          </w:tcPr>
          <w:p>
            <w:pPr>
              <w:spacing w:after="0"/>
              <w:rPr>
                <w:sz w:val="20"/>
                <w:szCs w:val="20"/>
                <w:color w:val="auto"/>
              </w:rPr>
            </w:pPr>
          </w:p>
        </w:tc>
        <w:tc>
          <w:tcPr>
            <w:tcW w:w="380" w:type="dxa"/>
            <w:vAlign w:val="bottom"/>
            <w:tcBorders>
              <w:bottom w:val="single" w:sz="8" w:color="0C3471"/>
            </w:tcBorders>
          </w:tcPr>
          <w:p>
            <w:pPr>
              <w:spacing w:after="0"/>
              <w:rPr>
                <w:sz w:val="20"/>
                <w:szCs w:val="20"/>
                <w:color w:val="auto"/>
              </w:rPr>
            </w:pPr>
          </w:p>
        </w:tc>
        <w:tc>
          <w:tcPr>
            <w:tcW w:w="1020" w:type="dxa"/>
            <w:vAlign w:val="bottom"/>
            <w:tcBorders>
              <w:bottom w:val="single" w:sz="8" w:color="0C3471"/>
            </w:tcBorders>
          </w:tcPr>
          <w:p>
            <w:pPr>
              <w:spacing w:after="0"/>
              <w:rPr>
                <w:sz w:val="20"/>
                <w:szCs w:val="20"/>
                <w:color w:val="auto"/>
              </w:rPr>
            </w:pPr>
          </w:p>
        </w:tc>
      </w:tr>
      <w:tr>
        <w:trPr>
          <w:trHeight w:val="225"/>
        </w:trPr>
        <w:tc>
          <w:tcPr>
            <w:tcW w:w="5060" w:type="dxa"/>
            <w:vAlign w:val="bottom"/>
          </w:tcPr>
          <w:p>
            <w:pPr>
              <w:ind w:left="20"/>
              <w:spacing w:after="0"/>
              <w:rPr>
                <w:sz w:val="20"/>
                <w:szCs w:val="20"/>
                <w:color w:val="auto"/>
              </w:rPr>
            </w:pPr>
            <w:r>
              <w:rPr>
                <w:rFonts w:ascii="Arial" w:cs="Arial" w:eastAsia="Arial" w:hAnsi="Arial"/>
                <w:sz w:val="16"/>
                <w:szCs w:val="16"/>
                <w:color w:val="auto"/>
              </w:rPr>
              <w:t>Diluted earnings per ordinary share—as reported</w:t>
            </w:r>
          </w:p>
        </w:tc>
        <w:tc>
          <w:tcPr>
            <w:tcW w:w="7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99"/>
              <w:spacing w:after="0"/>
              <w:rPr>
                <w:sz w:val="20"/>
                <w:szCs w:val="20"/>
                <w:color w:val="auto"/>
              </w:rPr>
            </w:pPr>
            <w:r>
              <w:rPr>
                <w:rFonts w:ascii="Arial" w:cs="Arial" w:eastAsia="Arial" w:hAnsi="Arial"/>
                <w:sz w:val="16"/>
                <w:szCs w:val="16"/>
                <w:color w:val="auto"/>
              </w:rPr>
              <w:t>3.93</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19"/>
              <w:spacing w:after="0"/>
              <w:rPr>
                <w:sz w:val="20"/>
                <w:szCs w:val="20"/>
                <w:color w:val="auto"/>
              </w:rPr>
            </w:pPr>
            <w:r>
              <w:rPr>
                <w:rFonts w:ascii="Arial" w:cs="Arial" w:eastAsia="Arial" w:hAnsi="Arial"/>
                <w:sz w:val="16"/>
                <w:szCs w:val="16"/>
                <w:color w:val="auto"/>
              </w:rPr>
              <w:t>3.74</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19"/>
              <w:spacing w:after="0"/>
              <w:rPr>
                <w:sz w:val="20"/>
                <w:szCs w:val="20"/>
                <w:color w:val="auto"/>
              </w:rPr>
            </w:pPr>
            <w:r>
              <w:rPr>
                <w:rFonts w:ascii="Arial" w:cs="Arial" w:eastAsia="Arial" w:hAnsi="Arial"/>
                <w:sz w:val="16"/>
                <w:szCs w:val="16"/>
                <w:color w:val="auto"/>
              </w:rPr>
              <w:t>3.75</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2.92</w:t>
            </w:r>
          </w:p>
        </w:tc>
      </w:tr>
      <w:tr>
        <w:trPr>
          <w:trHeight w:val="43"/>
        </w:trPr>
        <w:tc>
          <w:tcPr>
            <w:tcW w:w="5060" w:type="dxa"/>
            <w:vAlign w:val="bottom"/>
            <w:tcBorders>
              <w:bottom w:val="single" w:sz="8" w:color="BCBEC0"/>
            </w:tcBorders>
          </w:tcPr>
          <w:p>
            <w:pPr>
              <w:spacing w:after="0"/>
              <w:rPr>
                <w:sz w:val="3"/>
                <w:szCs w:val="3"/>
                <w:color w:val="auto"/>
              </w:rPr>
            </w:pPr>
          </w:p>
        </w:tc>
        <w:tc>
          <w:tcPr>
            <w:tcW w:w="700" w:type="dxa"/>
            <w:vAlign w:val="bottom"/>
            <w:tcBorders>
              <w:bottom w:val="single" w:sz="8" w:color="BCBEC0"/>
            </w:tcBorders>
          </w:tcPr>
          <w:p>
            <w:pPr>
              <w:spacing w:after="0"/>
              <w:rPr>
                <w:sz w:val="3"/>
                <w:szCs w:val="3"/>
                <w:color w:val="auto"/>
              </w:rPr>
            </w:pPr>
          </w:p>
        </w:tc>
        <w:tc>
          <w:tcPr>
            <w:tcW w:w="1100" w:type="dxa"/>
            <w:vAlign w:val="bottom"/>
            <w:tcBorders>
              <w:bottom w:val="single" w:sz="8" w:color="BCBEC0"/>
            </w:tcBorders>
          </w:tcPr>
          <w:p>
            <w:pPr>
              <w:spacing w:after="0"/>
              <w:rPr>
                <w:sz w:val="3"/>
                <w:szCs w:val="3"/>
                <w:color w:val="auto"/>
              </w:rPr>
            </w:pPr>
          </w:p>
        </w:tc>
        <w:tc>
          <w:tcPr>
            <w:tcW w:w="400" w:type="dxa"/>
            <w:vAlign w:val="bottom"/>
            <w:tcBorders>
              <w:bottom w:val="single" w:sz="8" w:color="BCBEC0"/>
            </w:tcBorders>
          </w:tcPr>
          <w:p>
            <w:pPr>
              <w:spacing w:after="0"/>
              <w:rPr>
                <w:sz w:val="3"/>
                <w:szCs w:val="3"/>
                <w:color w:val="auto"/>
              </w:rPr>
            </w:pPr>
          </w:p>
        </w:tc>
        <w:tc>
          <w:tcPr>
            <w:tcW w:w="1100" w:type="dxa"/>
            <w:vAlign w:val="bottom"/>
            <w:tcBorders>
              <w:bottom w:val="single" w:sz="8" w:color="BCBEC0"/>
            </w:tcBorders>
          </w:tcPr>
          <w:p>
            <w:pPr>
              <w:spacing w:after="0"/>
              <w:rPr>
                <w:sz w:val="3"/>
                <w:szCs w:val="3"/>
                <w:color w:val="auto"/>
              </w:rPr>
            </w:pPr>
          </w:p>
        </w:tc>
        <w:tc>
          <w:tcPr>
            <w:tcW w:w="380" w:type="dxa"/>
            <w:vAlign w:val="bottom"/>
            <w:tcBorders>
              <w:bottom w:val="single" w:sz="8" w:color="BCBEC0"/>
            </w:tcBorders>
          </w:tcPr>
          <w:p>
            <w:pPr>
              <w:spacing w:after="0"/>
              <w:rPr>
                <w:sz w:val="3"/>
                <w:szCs w:val="3"/>
                <w:color w:val="auto"/>
              </w:rPr>
            </w:pPr>
          </w:p>
        </w:tc>
        <w:tc>
          <w:tcPr>
            <w:tcW w:w="1100" w:type="dxa"/>
            <w:vAlign w:val="bottom"/>
            <w:tcBorders>
              <w:bottom w:val="single" w:sz="8" w:color="BCBEC0"/>
            </w:tcBorders>
          </w:tcPr>
          <w:p>
            <w:pPr>
              <w:spacing w:after="0"/>
              <w:rPr>
                <w:sz w:val="3"/>
                <w:szCs w:val="3"/>
                <w:color w:val="auto"/>
              </w:rPr>
            </w:pPr>
          </w:p>
        </w:tc>
        <w:tc>
          <w:tcPr>
            <w:tcW w:w="380" w:type="dxa"/>
            <w:vAlign w:val="bottom"/>
            <w:tcBorders>
              <w:bottom w:val="single" w:sz="8" w:color="BCBEC0"/>
            </w:tcBorders>
          </w:tcPr>
          <w:p>
            <w:pPr>
              <w:spacing w:after="0"/>
              <w:rPr>
                <w:sz w:val="3"/>
                <w:szCs w:val="3"/>
                <w:color w:val="auto"/>
              </w:rPr>
            </w:pPr>
          </w:p>
        </w:tc>
        <w:tc>
          <w:tcPr>
            <w:tcW w:w="1020" w:type="dxa"/>
            <w:vAlign w:val="bottom"/>
            <w:tcBorders>
              <w:bottom w:val="single" w:sz="8" w:color="BCBEC0"/>
            </w:tcBorders>
          </w:tcPr>
          <w:p>
            <w:pPr>
              <w:spacing w:after="0"/>
              <w:rPr>
                <w:sz w:val="3"/>
                <w:szCs w:val="3"/>
                <w:color w:val="auto"/>
              </w:rPr>
            </w:pPr>
          </w:p>
        </w:tc>
      </w:tr>
      <w:tr>
        <w:trPr>
          <w:trHeight w:val="221"/>
        </w:trPr>
        <w:tc>
          <w:tcPr>
            <w:tcW w:w="5060" w:type="dxa"/>
            <w:vAlign w:val="bottom"/>
          </w:tcPr>
          <w:p>
            <w:pPr>
              <w:ind w:left="20"/>
              <w:spacing w:after="0"/>
              <w:rPr>
                <w:sz w:val="20"/>
                <w:szCs w:val="20"/>
                <w:color w:val="auto"/>
              </w:rPr>
            </w:pPr>
            <w:r>
              <w:rPr>
                <w:rFonts w:ascii="Arial" w:cs="Arial" w:eastAsia="Arial" w:hAnsi="Arial"/>
                <w:sz w:val="16"/>
                <w:szCs w:val="16"/>
                <w:color w:val="auto"/>
              </w:rPr>
              <w:t>Adjustments</w:t>
            </w:r>
          </w:p>
        </w:tc>
        <w:tc>
          <w:tcPr>
            <w:tcW w:w="700" w:type="dxa"/>
            <w:vAlign w:val="bottom"/>
          </w:tcPr>
          <w:p>
            <w:pPr>
              <w:spacing w:after="0"/>
              <w:rPr>
                <w:sz w:val="19"/>
                <w:szCs w:val="19"/>
                <w:color w:val="auto"/>
              </w:rPr>
            </w:pPr>
          </w:p>
        </w:tc>
        <w:tc>
          <w:tcPr>
            <w:tcW w:w="1100" w:type="dxa"/>
            <w:vAlign w:val="bottom"/>
          </w:tcPr>
          <w:p>
            <w:pPr>
              <w:jc w:val="right"/>
              <w:ind w:right="199"/>
              <w:spacing w:after="0"/>
              <w:rPr>
                <w:sz w:val="20"/>
                <w:szCs w:val="20"/>
                <w:color w:val="auto"/>
              </w:rPr>
            </w:pPr>
            <w:r>
              <w:rPr>
                <w:rFonts w:ascii="Arial" w:cs="Arial" w:eastAsia="Arial" w:hAnsi="Arial"/>
                <w:sz w:val="16"/>
                <w:szCs w:val="16"/>
                <w:color w:val="auto"/>
              </w:rPr>
              <w:t>0.99</w:t>
            </w:r>
          </w:p>
        </w:tc>
        <w:tc>
          <w:tcPr>
            <w:tcW w:w="400" w:type="dxa"/>
            <w:vAlign w:val="bottom"/>
          </w:tcPr>
          <w:p>
            <w:pPr>
              <w:spacing w:after="0"/>
              <w:rPr>
                <w:sz w:val="19"/>
                <w:szCs w:val="19"/>
                <w:color w:val="auto"/>
              </w:rPr>
            </w:pPr>
          </w:p>
        </w:tc>
        <w:tc>
          <w:tcPr>
            <w:tcW w:w="1100" w:type="dxa"/>
            <w:vAlign w:val="bottom"/>
          </w:tcPr>
          <w:p>
            <w:pPr>
              <w:jc w:val="right"/>
              <w:ind w:right="219"/>
              <w:spacing w:after="0"/>
              <w:rPr>
                <w:sz w:val="20"/>
                <w:szCs w:val="20"/>
                <w:color w:val="auto"/>
              </w:rPr>
            </w:pPr>
            <w:r>
              <w:rPr>
                <w:rFonts w:ascii="Arial" w:cs="Arial" w:eastAsia="Arial" w:hAnsi="Arial"/>
                <w:sz w:val="16"/>
                <w:szCs w:val="16"/>
                <w:color w:val="auto"/>
              </w:rPr>
              <w:t>0.59</w:t>
            </w:r>
          </w:p>
        </w:tc>
        <w:tc>
          <w:tcPr>
            <w:tcW w:w="380" w:type="dxa"/>
            <w:vAlign w:val="bottom"/>
          </w:tcPr>
          <w:p>
            <w:pPr>
              <w:spacing w:after="0"/>
              <w:rPr>
                <w:sz w:val="19"/>
                <w:szCs w:val="19"/>
                <w:color w:val="auto"/>
              </w:rPr>
            </w:pPr>
          </w:p>
        </w:tc>
        <w:tc>
          <w:tcPr>
            <w:tcW w:w="110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9"/>
                <w:szCs w:val="19"/>
                <w:color w:val="auto"/>
              </w:rPr>
            </w:pP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0.76</w:t>
            </w:r>
          </w:p>
        </w:tc>
      </w:tr>
      <w:tr>
        <w:trPr>
          <w:trHeight w:val="42"/>
        </w:trPr>
        <w:tc>
          <w:tcPr>
            <w:tcW w:w="5060" w:type="dxa"/>
            <w:vAlign w:val="bottom"/>
            <w:tcBorders>
              <w:bottom w:val="single" w:sz="8" w:color="BCBEC0"/>
            </w:tcBorders>
          </w:tcPr>
          <w:p>
            <w:pPr>
              <w:spacing w:after="0"/>
              <w:rPr>
                <w:sz w:val="3"/>
                <w:szCs w:val="3"/>
                <w:color w:val="auto"/>
              </w:rPr>
            </w:pPr>
          </w:p>
        </w:tc>
        <w:tc>
          <w:tcPr>
            <w:tcW w:w="700" w:type="dxa"/>
            <w:vAlign w:val="bottom"/>
            <w:tcBorders>
              <w:bottom w:val="single" w:sz="8" w:color="BCBEC0"/>
            </w:tcBorders>
          </w:tcPr>
          <w:p>
            <w:pPr>
              <w:spacing w:after="0"/>
              <w:rPr>
                <w:sz w:val="3"/>
                <w:szCs w:val="3"/>
                <w:color w:val="auto"/>
              </w:rPr>
            </w:pPr>
          </w:p>
        </w:tc>
        <w:tc>
          <w:tcPr>
            <w:tcW w:w="1100" w:type="dxa"/>
            <w:vAlign w:val="bottom"/>
            <w:tcBorders>
              <w:bottom w:val="single" w:sz="8" w:color="BCBEC0"/>
            </w:tcBorders>
          </w:tcPr>
          <w:p>
            <w:pPr>
              <w:spacing w:after="0"/>
              <w:rPr>
                <w:sz w:val="3"/>
                <w:szCs w:val="3"/>
                <w:color w:val="auto"/>
              </w:rPr>
            </w:pPr>
          </w:p>
        </w:tc>
        <w:tc>
          <w:tcPr>
            <w:tcW w:w="400" w:type="dxa"/>
            <w:vAlign w:val="bottom"/>
            <w:tcBorders>
              <w:bottom w:val="single" w:sz="8" w:color="BCBEC0"/>
            </w:tcBorders>
          </w:tcPr>
          <w:p>
            <w:pPr>
              <w:spacing w:after="0"/>
              <w:rPr>
                <w:sz w:val="3"/>
                <w:szCs w:val="3"/>
                <w:color w:val="auto"/>
              </w:rPr>
            </w:pPr>
          </w:p>
        </w:tc>
        <w:tc>
          <w:tcPr>
            <w:tcW w:w="1100" w:type="dxa"/>
            <w:vAlign w:val="bottom"/>
            <w:tcBorders>
              <w:bottom w:val="single" w:sz="8" w:color="BCBEC0"/>
            </w:tcBorders>
          </w:tcPr>
          <w:p>
            <w:pPr>
              <w:spacing w:after="0"/>
              <w:rPr>
                <w:sz w:val="3"/>
                <w:szCs w:val="3"/>
                <w:color w:val="auto"/>
              </w:rPr>
            </w:pPr>
          </w:p>
        </w:tc>
        <w:tc>
          <w:tcPr>
            <w:tcW w:w="380" w:type="dxa"/>
            <w:vAlign w:val="bottom"/>
            <w:tcBorders>
              <w:bottom w:val="single" w:sz="8" w:color="BCBEC0"/>
            </w:tcBorders>
          </w:tcPr>
          <w:p>
            <w:pPr>
              <w:spacing w:after="0"/>
              <w:rPr>
                <w:sz w:val="3"/>
                <w:szCs w:val="3"/>
                <w:color w:val="auto"/>
              </w:rPr>
            </w:pPr>
          </w:p>
        </w:tc>
        <w:tc>
          <w:tcPr>
            <w:tcW w:w="1100" w:type="dxa"/>
            <w:vAlign w:val="bottom"/>
            <w:tcBorders>
              <w:bottom w:val="single" w:sz="8" w:color="BCBEC0"/>
            </w:tcBorders>
          </w:tcPr>
          <w:p>
            <w:pPr>
              <w:spacing w:after="0"/>
              <w:rPr>
                <w:sz w:val="3"/>
                <w:szCs w:val="3"/>
                <w:color w:val="auto"/>
              </w:rPr>
            </w:pPr>
          </w:p>
        </w:tc>
        <w:tc>
          <w:tcPr>
            <w:tcW w:w="380" w:type="dxa"/>
            <w:vAlign w:val="bottom"/>
            <w:tcBorders>
              <w:bottom w:val="single" w:sz="8" w:color="BCBEC0"/>
            </w:tcBorders>
          </w:tcPr>
          <w:p>
            <w:pPr>
              <w:spacing w:after="0"/>
              <w:rPr>
                <w:sz w:val="3"/>
                <w:szCs w:val="3"/>
                <w:color w:val="auto"/>
              </w:rPr>
            </w:pPr>
          </w:p>
        </w:tc>
        <w:tc>
          <w:tcPr>
            <w:tcW w:w="1020" w:type="dxa"/>
            <w:vAlign w:val="bottom"/>
            <w:tcBorders>
              <w:bottom w:val="single" w:sz="8" w:color="BCBEC0"/>
            </w:tcBorders>
          </w:tcPr>
          <w:p>
            <w:pPr>
              <w:spacing w:after="0"/>
              <w:rPr>
                <w:sz w:val="3"/>
                <w:szCs w:val="3"/>
                <w:color w:val="auto"/>
              </w:rPr>
            </w:pPr>
          </w:p>
        </w:tc>
      </w:tr>
      <w:tr>
        <w:trPr>
          <w:trHeight w:val="221"/>
        </w:trPr>
        <w:tc>
          <w:tcPr>
            <w:tcW w:w="5060" w:type="dxa"/>
            <w:vAlign w:val="bottom"/>
          </w:tcPr>
          <w:p>
            <w:pPr>
              <w:ind w:left="20"/>
              <w:spacing w:after="0"/>
              <w:rPr>
                <w:sz w:val="20"/>
                <w:szCs w:val="20"/>
                <w:color w:val="auto"/>
              </w:rPr>
            </w:pPr>
            <w:r>
              <w:rPr>
                <w:rFonts w:ascii="Arial" w:cs="Arial" w:eastAsia="Arial" w:hAnsi="Arial"/>
                <w:sz w:val="16"/>
                <w:szCs w:val="16"/>
                <w:color w:val="auto"/>
              </w:rPr>
              <w:t>Diluted earnings per ordinary share—as adjusted</w:t>
            </w:r>
          </w:p>
        </w:tc>
        <w:tc>
          <w:tcPr>
            <w:tcW w:w="7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99"/>
              <w:spacing w:after="0"/>
              <w:rPr>
                <w:sz w:val="20"/>
                <w:szCs w:val="20"/>
                <w:color w:val="auto"/>
              </w:rPr>
            </w:pPr>
            <w:r>
              <w:rPr>
                <w:rFonts w:ascii="Arial" w:cs="Arial" w:eastAsia="Arial" w:hAnsi="Arial"/>
                <w:sz w:val="16"/>
                <w:szCs w:val="16"/>
                <w:color w:val="auto"/>
              </w:rPr>
              <w:t>4.92</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19"/>
              <w:spacing w:after="0"/>
              <w:rPr>
                <w:sz w:val="20"/>
                <w:szCs w:val="20"/>
                <w:color w:val="auto"/>
              </w:rPr>
            </w:pPr>
            <w:r>
              <w:rPr>
                <w:rFonts w:ascii="Arial" w:cs="Arial" w:eastAsia="Arial" w:hAnsi="Arial"/>
                <w:sz w:val="16"/>
                <w:szCs w:val="16"/>
                <w:color w:val="auto"/>
              </w:rPr>
              <w:t>4.33</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19"/>
              <w:spacing w:after="0"/>
              <w:rPr>
                <w:sz w:val="20"/>
                <w:szCs w:val="20"/>
                <w:color w:val="auto"/>
              </w:rPr>
            </w:pPr>
            <w:r>
              <w:rPr>
                <w:rFonts w:ascii="Arial" w:cs="Arial" w:eastAsia="Arial" w:hAnsi="Arial"/>
                <w:sz w:val="16"/>
                <w:szCs w:val="16"/>
                <w:color w:val="auto"/>
              </w:rPr>
              <w:t>3.75</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3.68</w:t>
            </w:r>
          </w:p>
        </w:tc>
      </w:tr>
      <w:tr>
        <w:trPr>
          <w:trHeight w:val="43"/>
        </w:trPr>
        <w:tc>
          <w:tcPr>
            <w:tcW w:w="5060" w:type="dxa"/>
            <w:vAlign w:val="bottom"/>
            <w:tcBorders>
              <w:bottom w:val="single" w:sz="8" w:color="0C3471"/>
            </w:tcBorders>
          </w:tcPr>
          <w:p>
            <w:pPr>
              <w:spacing w:after="0"/>
              <w:rPr>
                <w:sz w:val="3"/>
                <w:szCs w:val="3"/>
                <w:color w:val="auto"/>
              </w:rPr>
            </w:pPr>
          </w:p>
        </w:tc>
        <w:tc>
          <w:tcPr>
            <w:tcW w:w="700" w:type="dxa"/>
            <w:vAlign w:val="bottom"/>
            <w:tcBorders>
              <w:bottom w:val="single" w:sz="8" w:color="0C3471"/>
            </w:tcBorders>
          </w:tcPr>
          <w:p>
            <w:pPr>
              <w:spacing w:after="0"/>
              <w:rPr>
                <w:sz w:val="3"/>
                <w:szCs w:val="3"/>
                <w:color w:val="auto"/>
              </w:rPr>
            </w:pPr>
          </w:p>
        </w:tc>
        <w:tc>
          <w:tcPr>
            <w:tcW w:w="1100" w:type="dxa"/>
            <w:vAlign w:val="bottom"/>
            <w:tcBorders>
              <w:bottom w:val="single" w:sz="8" w:color="0C3471"/>
            </w:tcBorders>
          </w:tcPr>
          <w:p>
            <w:pPr>
              <w:spacing w:after="0"/>
              <w:rPr>
                <w:sz w:val="3"/>
                <w:szCs w:val="3"/>
                <w:color w:val="auto"/>
              </w:rPr>
            </w:pPr>
          </w:p>
        </w:tc>
        <w:tc>
          <w:tcPr>
            <w:tcW w:w="400" w:type="dxa"/>
            <w:vAlign w:val="bottom"/>
            <w:tcBorders>
              <w:bottom w:val="single" w:sz="8" w:color="0C3471"/>
            </w:tcBorders>
          </w:tcPr>
          <w:p>
            <w:pPr>
              <w:spacing w:after="0"/>
              <w:rPr>
                <w:sz w:val="3"/>
                <w:szCs w:val="3"/>
                <w:color w:val="auto"/>
              </w:rPr>
            </w:pPr>
          </w:p>
        </w:tc>
        <w:tc>
          <w:tcPr>
            <w:tcW w:w="1100" w:type="dxa"/>
            <w:vAlign w:val="bottom"/>
            <w:tcBorders>
              <w:bottom w:val="single" w:sz="8" w:color="0C3471"/>
            </w:tcBorders>
          </w:tcPr>
          <w:p>
            <w:pPr>
              <w:spacing w:after="0"/>
              <w:rPr>
                <w:sz w:val="3"/>
                <w:szCs w:val="3"/>
                <w:color w:val="auto"/>
              </w:rPr>
            </w:pPr>
          </w:p>
        </w:tc>
        <w:tc>
          <w:tcPr>
            <w:tcW w:w="380" w:type="dxa"/>
            <w:vAlign w:val="bottom"/>
            <w:tcBorders>
              <w:bottom w:val="single" w:sz="8" w:color="0C3471"/>
            </w:tcBorders>
          </w:tcPr>
          <w:p>
            <w:pPr>
              <w:spacing w:after="0"/>
              <w:rPr>
                <w:sz w:val="3"/>
                <w:szCs w:val="3"/>
                <w:color w:val="auto"/>
              </w:rPr>
            </w:pPr>
          </w:p>
        </w:tc>
        <w:tc>
          <w:tcPr>
            <w:tcW w:w="1100" w:type="dxa"/>
            <w:vAlign w:val="bottom"/>
            <w:tcBorders>
              <w:bottom w:val="single" w:sz="8" w:color="0C3471"/>
            </w:tcBorders>
          </w:tcPr>
          <w:p>
            <w:pPr>
              <w:spacing w:after="0"/>
              <w:rPr>
                <w:sz w:val="3"/>
                <w:szCs w:val="3"/>
                <w:color w:val="auto"/>
              </w:rPr>
            </w:pPr>
          </w:p>
        </w:tc>
        <w:tc>
          <w:tcPr>
            <w:tcW w:w="380" w:type="dxa"/>
            <w:vAlign w:val="bottom"/>
            <w:tcBorders>
              <w:bottom w:val="single" w:sz="8" w:color="0C3471"/>
            </w:tcBorders>
          </w:tcPr>
          <w:p>
            <w:pPr>
              <w:spacing w:after="0"/>
              <w:rPr>
                <w:sz w:val="3"/>
                <w:szCs w:val="3"/>
                <w:color w:val="auto"/>
              </w:rPr>
            </w:pPr>
          </w:p>
        </w:tc>
        <w:tc>
          <w:tcPr>
            <w:tcW w:w="1020" w:type="dxa"/>
            <w:vAlign w:val="bottom"/>
            <w:tcBorders>
              <w:bottom w:val="single" w:sz="8" w:color="0C3471"/>
            </w:tcBorders>
          </w:tcPr>
          <w:p>
            <w:pPr>
              <w:spacing w:after="0"/>
              <w:rPr>
                <w:sz w:val="3"/>
                <w:szCs w:val="3"/>
                <w:color w:val="auto"/>
              </w:rPr>
            </w:pPr>
          </w:p>
        </w:tc>
      </w:tr>
    </w:tbl>
    <w:p>
      <w:pPr>
        <w:spacing w:after="0" w:line="193" w:lineRule="exact"/>
        <w:rPr>
          <w:sz w:val="20"/>
          <w:szCs w:val="20"/>
          <w:color w:val="auto"/>
        </w:rPr>
      </w:pPr>
    </w:p>
    <w:p>
      <w:pPr>
        <w:ind w:left="200" w:right="80" w:hanging="192"/>
        <w:spacing w:after="0" w:line="239" w:lineRule="auto"/>
        <w:tabs>
          <w:tab w:leader="none" w:pos="228" w:val="left"/>
        </w:tabs>
        <w:numPr>
          <w:ilvl w:val="0"/>
          <w:numId w:val="163"/>
        </w:numPr>
        <w:rPr>
          <w:rFonts w:ascii="Arial" w:cs="Arial" w:eastAsia="Arial" w:hAnsi="Arial"/>
          <w:sz w:val="19"/>
          <w:szCs w:val="19"/>
          <w:color w:val="auto"/>
          <w:vertAlign w:val="superscript"/>
        </w:rPr>
      </w:pPr>
      <w:r>
        <w:rPr>
          <w:rFonts w:ascii="Arial" w:cs="Arial" w:eastAsia="Arial" w:hAnsi="Arial"/>
          <w:sz w:val="14"/>
          <w:szCs w:val="14"/>
          <w:color w:val="auto"/>
        </w:rPr>
        <w:t>Income tax adjustments for the year ended December 31, 2023 include $74.3 million resulting from favorable impacts of worthless stock deductions related to exiting certain businesses in our Water Solutions segment and favorable discrete items primarily related to the recognition of deferred tax assets.</w:t>
      </w:r>
    </w:p>
    <w:p>
      <w:pPr>
        <w:spacing w:after="0" w:line="200" w:lineRule="exact"/>
        <w:rPr>
          <w:sz w:val="20"/>
          <w:szCs w:val="20"/>
          <w:color w:val="auto"/>
        </w:rPr>
      </w:pP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10740" w:type="dxa"/>
            <w:vAlign w:val="bottom"/>
          </w:tcPr>
          <w:p>
            <w:pPr>
              <w:ind w:left="8260"/>
              <w:spacing w:after="0"/>
              <w:rPr>
                <w:sz w:val="20"/>
                <w:szCs w:val="20"/>
                <w:color w:val="auto"/>
              </w:rPr>
            </w:pPr>
            <w:r>
              <w:rPr>
                <w:rFonts w:ascii="Arial" w:cs="Arial" w:eastAsia="Arial" w:hAnsi="Arial"/>
                <w:sz w:val="16"/>
                <w:szCs w:val="16"/>
                <w:b w:val="1"/>
                <w:bCs w:val="1"/>
                <w:color w:val="auto"/>
              </w:rPr>
              <w:t xml:space="preserve">2026 Proxy Statement </w:t>
            </w:r>
            <w:r>
              <w:rPr>
                <w:rFonts w:ascii="Arial" w:cs="Arial" w:eastAsia="Arial" w:hAnsi="Arial"/>
                <w:sz w:val="16"/>
                <w:szCs w:val="16"/>
                <w:b w:val="1"/>
                <w:bCs w:val="1"/>
                <w:color w:val="0C3471"/>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Pentair</w:t>
            </w:r>
          </w:p>
        </w:tc>
        <w:tc>
          <w:tcPr>
            <w:tcW w:w="500" w:type="dxa"/>
            <w:vAlign w:val="bottom"/>
          </w:tcPr>
          <w:p>
            <w:pPr>
              <w:ind w:left="180"/>
              <w:spacing w:after="0"/>
              <w:rPr>
                <w:sz w:val="20"/>
                <w:szCs w:val="20"/>
                <w:color w:val="auto"/>
              </w:rPr>
            </w:pPr>
            <w:r>
              <w:rPr>
                <w:rFonts w:ascii="Arial" w:cs="Arial" w:eastAsia="Arial" w:hAnsi="Arial"/>
                <w:sz w:val="16"/>
                <w:szCs w:val="16"/>
                <w:b w:val="1"/>
                <w:bCs w:val="1"/>
                <w:color w:val="auto"/>
              </w:rPr>
              <w:t>A-1</w:t>
            </w:r>
          </w:p>
        </w:tc>
      </w:tr>
      <w:tr>
        <w:trPr>
          <w:trHeight w:val="325"/>
        </w:trPr>
        <w:tc>
          <w:tcPr>
            <w:tcW w:w="1074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98" w:right="339" w:bottom="1440" w:gutter="0" w:footer="0" w:header="0"/>
        </w:sectPr>
      </w:pPr>
    </w:p>
    <w:bookmarkStart w:id="91" w:name="page92"/>
    <w:bookmarkEnd w:id="91"/>
    <w:p>
      <w:pPr>
        <w:ind w:left="36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225425</wp:posOffset>
            </wp:positionH>
            <wp:positionV relativeFrom="page">
              <wp:posOffset>123190</wp:posOffset>
            </wp:positionV>
            <wp:extent cx="102870" cy="11112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clrChange>
                        <a:clrFrom>
                          <a:srgbClr val="FFFFFF"/>
                        </a:clrFrom>
                        <a:clrTo>
                          <a:srgbClr val="FFFFFF">
                            <a:alpha val="0"/>
                          </a:srgbClr>
                        </a:clrTo>
                      </a:clrChange>
                      <a:extLst>
                        <a:ext uri="{28A0092B-C50C-407E-A947-70E740481C1C}"/>
                      </a:extLst>
                    </a:blip>
                    <a:srcRect/>
                    <a:stretch>
                      <a:fillRect/>
                    </a:stretch>
                  </pic:blipFill>
                  <pic:spPr bwMode="auto">
                    <a:xfrm>
                      <a:off x="0" y="0"/>
                      <a:ext cx="102870" cy="111125"/>
                    </a:xfrm>
                    <a:prstGeom prst="rect">
                      <a:avLst/>
                    </a:prstGeom>
                    <a:noFill/>
                  </pic:spPr>
                </pic:pic>
              </a:graphicData>
            </a:graphic>
          </wp:anchor>
        </w:drawing>
        <w:t>Appendix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6"/>
          <w:szCs w:val="16"/>
          <w:b w:val="1"/>
          <w:bCs w:val="1"/>
          <w:color w:val="0C3471"/>
        </w:rPr>
        <w:t>PENTAIR PLC AND SUBSIDIARIES</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b w:val="1"/>
          <w:bCs w:val="1"/>
          <w:color w:val="0C3471"/>
        </w:rPr>
        <w:t>FREE CASH FLOW FOR YEARS ENDED DECEMBER 31, 2025, 2024, 2023, and 2022</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420" w:type="dxa"/>
            <w:vAlign w:val="bottom"/>
            <w:tcBorders>
              <w:bottom w:val="single" w:sz="8" w:color="0C3471"/>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400" w:type="dxa"/>
            <w:vAlign w:val="bottom"/>
            <w:tcBorders>
              <w:bottom w:val="single" w:sz="8" w:color="0C3471"/>
            </w:tcBorders>
          </w:tcPr>
          <w:p>
            <w:pPr>
              <w:spacing w:after="0"/>
              <w:rPr>
                <w:sz w:val="17"/>
                <w:szCs w:val="17"/>
                <w:color w:val="auto"/>
              </w:rPr>
            </w:pPr>
          </w:p>
        </w:tc>
        <w:tc>
          <w:tcPr>
            <w:tcW w:w="1060" w:type="dxa"/>
            <w:vAlign w:val="bottom"/>
            <w:tcBorders>
              <w:bottom w:val="single" w:sz="8" w:color="0C3471"/>
            </w:tcBorders>
          </w:tcPr>
          <w:p>
            <w:pPr>
              <w:spacing w:after="0"/>
              <w:rPr>
                <w:sz w:val="17"/>
                <w:szCs w:val="17"/>
                <w:color w:val="auto"/>
              </w:rPr>
            </w:pPr>
          </w:p>
        </w:tc>
        <w:tc>
          <w:tcPr>
            <w:tcW w:w="340" w:type="dxa"/>
            <w:vAlign w:val="bottom"/>
            <w:tcBorders>
              <w:bottom w:val="single" w:sz="8" w:color="0C3471"/>
            </w:tcBorders>
          </w:tcPr>
          <w:p>
            <w:pPr>
              <w:spacing w:after="0"/>
              <w:rPr>
                <w:sz w:val="17"/>
                <w:szCs w:val="17"/>
                <w:color w:val="auto"/>
              </w:rPr>
            </w:pPr>
          </w:p>
        </w:tc>
        <w:tc>
          <w:tcPr>
            <w:tcW w:w="1020" w:type="dxa"/>
            <w:vAlign w:val="bottom"/>
            <w:tcBorders>
              <w:bottom w:val="single" w:sz="8" w:color="0C3471"/>
            </w:tcBorders>
          </w:tcPr>
          <w:p>
            <w:pPr>
              <w:jc w:val="right"/>
              <w:ind w:right="401"/>
              <w:spacing w:after="0"/>
              <w:rPr>
                <w:sz w:val="20"/>
                <w:szCs w:val="20"/>
                <w:color w:val="auto"/>
              </w:rPr>
            </w:pPr>
            <w:r>
              <w:rPr>
                <w:rFonts w:ascii="Arial" w:cs="Arial" w:eastAsia="Arial" w:hAnsi="Arial"/>
                <w:sz w:val="14"/>
                <w:szCs w:val="14"/>
                <w:b w:val="1"/>
                <w:bCs w:val="1"/>
                <w:color w:val="auto"/>
              </w:rPr>
              <w:t>2025</w:t>
            </w:r>
          </w:p>
        </w:tc>
        <w:tc>
          <w:tcPr>
            <w:tcW w:w="320" w:type="dxa"/>
            <w:vAlign w:val="bottom"/>
            <w:tcBorders>
              <w:bottom w:val="single" w:sz="8" w:color="0C3471"/>
            </w:tcBorders>
          </w:tcPr>
          <w:p>
            <w:pPr>
              <w:spacing w:after="0"/>
              <w:rPr>
                <w:sz w:val="17"/>
                <w:szCs w:val="17"/>
                <w:color w:val="auto"/>
              </w:rPr>
            </w:pPr>
          </w:p>
        </w:tc>
        <w:tc>
          <w:tcPr>
            <w:tcW w:w="1020" w:type="dxa"/>
            <w:vAlign w:val="bottom"/>
            <w:tcBorders>
              <w:bottom w:val="single" w:sz="8" w:color="0C3471"/>
            </w:tcBorders>
          </w:tcPr>
          <w:p>
            <w:pPr>
              <w:jc w:val="right"/>
              <w:ind w:right="381"/>
              <w:spacing w:after="0"/>
              <w:rPr>
                <w:sz w:val="20"/>
                <w:szCs w:val="20"/>
                <w:color w:val="auto"/>
              </w:rPr>
            </w:pPr>
            <w:r>
              <w:rPr>
                <w:rFonts w:ascii="Arial" w:cs="Arial" w:eastAsia="Arial" w:hAnsi="Arial"/>
                <w:sz w:val="14"/>
                <w:szCs w:val="14"/>
                <w:b w:val="1"/>
                <w:bCs w:val="1"/>
                <w:color w:val="auto"/>
              </w:rPr>
              <w:t>2024</w:t>
            </w:r>
          </w:p>
        </w:tc>
        <w:tc>
          <w:tcPr>
            <w:tcW w:w="340" w:type="dxa"/>
            <w:vAlign w:val="bottom"/>
            <w:tcBorders>
              <w:bottom w:val="single" w:sz="8" w:color="0C3471"/>
            </w:tcBorders>
          </w:tcPr>
          <w:p>
            <w:pPr>
              <w:spacing w:after="0"/>
              <w:rPr>
                <w:sz w:val="17"/>
                <w:szCs w:val="17"/>
                <w:color w:val="auto"/>
              </w:rPr>
            </w:pPr>
          </w:p>
        </w:tc>
        <w:tc>
          <w:tcPr>
            <w:tcW w:w="1020" w:type="dxa"/>
            <w:vAlign w:val="bottom"/>
            <w:tcBorders>
              <w:bottom w:val="single" w:sz="8" w:color="0C3471"/>
            </w:tcBorders>
          </w:tcPr>
          <w:p>
            <w:pPr>
              <w:jc w:val="right"/>
              <w:ind w:right="401"/>
              <w:spacing w:after="0"/>
              <w:rPr>
                <w:sz w:val="20"/>
                <w:szCs w:val="20"/>
                <w:color w:val="auto"/>
              </w:rPr>
            </w:pPr>
            <w:r>
              <w:rPr>
                <w:rFonts w:ascii="Arial" w:cs="Arial" w:eastAsia="Arial" w:hAnsi="Arial"/>
                <w:sz w:val="14"/>
                <w:szCs w:val="14"/>
                <w:b w:val="1"/>
                <w:bCs w:val="1"/>
                <w:color w:val="auto"/>
              </w:rPr>
              <w:t>2023</w:t>
            </w:r>
          </w:p>
        </w:tc>
        <w:tc>
          <w:tcPr>
            <w:tcW w:w="320" w:type="dxa"/>
            <w:vAlign w:val="bottom"/>
            <w:tcBorders>
              <w:bottom w:val="single" w:sz="8" w:color="0C3471"/>
            </w:tcBorders>
          </w:tcPr>
          <w:p>
            <w:pPr>
              <w:spacing w:after="0"/>
              <w:rPr>
                <w:sz w:val="17"/>
                <w:szCs w:val="17"/>
                <w:color w:val="auto"/>
              </w:rPr>
            </w:pPr>
          </w:p>
        </w:tc>
        <w:tc>
          <w:tcPr>
            <w:tcW w:w="980" w:type="dxa"/>
            <w:vAlign w:val="bottom"/>
            <w:tcBorders>
              <w:bottom w:val="single" w:sz="8" w:color="0C3471"/>
            </w:tcBorders>
          </w:tcPr>
          <w:p>
            <w:pPr>
              <w:jc w:val="right"/>
              <w:ind w:right="341"/>
              <w:spacing w:after="0"/>
              <w:rPr>
                <w:sz w:val="20"/>
                <w:szCs w:val="20"/>
                <w:color w:val="auto"/>
              </w:rPr>
            </w:pPr>
            <w:r>
              <w:rPr>
                <w:rFonts w:ascii="Arial" w:cs="Arial" w:eastAsia="Arial" w:hAnsi="Arial"/>
                <w:sz w:val="14"/>
                <w:szCs w:val="14"/>
                <w:b w:val="1"/>
                <w:bCs w:val="1"/>
                <w:color w:val="auto"/>
              </w:rPr>
              <w:t>2022</w:t>
            </w:r>
          </w:p>
        </w:tc>
      </w:tr>
      <w:tr>
        <w:trPr>
          <w:trHeight w:val="227"/>
        </w:trPr>
        <w:tc>
          <w:tcPr>
            <w:tcW w:w="4820" w:type="dxa"/>
            <w:vAlign w:val="bottom"/>
            <w:gridSpan w:val="2"/>
          </w:tcPr>
          <w:p>
            <w:pPr>
              <w:ind w:left="20"/>
              <w:spacing w:after="0"/>
              <w:rPr>
                <w:sz w:val="20"/>
                <w:szCs w:val="20"/>
                <w:color w:val="auto"/>
              </w:rPr>
            </w:pPr>
            <w:r>
              <w:rPr>
                <w:rFonts w:ascii="Arial" w:cs="Arial" w:eastAsia="Arial" w:hAnsi="Arial"/>
                <w:sz w:val="16"/>
                <w:szCs w:val="16"/>
                <w:color w:val="auto"/>
              </w:rPr>
              <w:t>Net cash provided by operating activities of continuing operations</w:t>
            </w:r>
          </w:p>
        </w:tc>
        <w:tc>
          <w:tcPr>
            <w:tcW w:w="1060" w:type="dxa"/>
            <w:vAlign w:val="bottom"/>
          </w:tcPr>
          <w:p>
            <w:pPr>
              <w:spacing w:after="0"/>
              <w:rPr>
                <w:sz w:val="19"/>
                <w:szCs w:val="19"/>
                <w:color w:val="auto"/>
              </w:rPr>
            </w:pPr>
          </w:p>
        </w:tc>
        <w:tc>
          <w:tcPr>
            <w:tcW w:w="3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tcPr>
          <w:p>
            <w:pPr>
              <w:ind w:left="500"/>
              <w:spacing w:after="0"/>
              <w:rPr>
                <w:sz w:val="20"/>
                <w:szCs w:val="20"/>
                <w:color w:val="auto"/>
              </w:rPr>
            </w:pPr>
            <w:r>
              <w:rPr>
                <w:rFonts w:ascii="Arial" w:cs="Arial" w:eastAsia="Arial" w:hAnsi="Arial"/>
                <w:sz w:val="16"/>
                <w:szCs w:val="16"/>
                <w:color w:val="auto"/>
              </w:rPr>
              <w:t>814.8</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ind w:left="500"/>
              <w:spacing w:after="0"/>
              <w:rPr>
                <w:sz w:val="20"/>
                <w:szCs w:val="20"/>
                <w:color w:val="auto"/>
              </w:rPr>
            </w:pPr>
            <w:r>
              <w:rPr>
                <w:rFonts w:ascii="Arial" w:cs="Arial" w:eastAsia="Arial" w:hAnsi="Arial"/>
                <w:sz w:val="16"/>
                <w:szCs w:val="16"/>
                <w:color w:val="auto"/>
              </w:rPr>
              <w:t>766.9</w:t>
            </w:r>
          </w:p>
        </w:tc>
        <w:tc>
          <w:tcPr>
            <w:tcW w:w="3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tcPr>
          <w:p>
            <w:pPr>
              <w:ind w:left="500"/>
              <w:spacing w:after="0"/>
              <w:rPr>
                <w:sz w:val="20"/>
                <w:szCs w:val="20"/>
                <w:color w:val="auto"/>
              </w:rPr>
            </w:pPr>
            <w:r>
              <w:rPr>
                <w:rFonts w:ascii="Arial" w:cs="Arial" w:eastAsia="Arial" w:hAnsi="Arial"/>
                <w:sz w:val="16"/>
                <w:szCs w:val="16"/>
                <w:color w:val="auto"/>
              </w:rPr>
              <w:t>620.8</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ind w:left="500"/>
              <w:spacing w:after="0"/>
              <w:rPr>
                <w:sz w:val="20"/>
                <w:szCs w:val="20"/>
                <w:color w:val="auto"/>
              </w:rPr>
            </w:pPr>
            <w:r>
              <w:rPr>
                <w:rFonts w:ascii="Arial" w:cs="Arial" w:eastAsia="Arial" w:hAnsi="Arial"/>
                <w:sz w:val="16"/>
                <w:szCs w:val="16"/>
                <w:color w:val="auto"/>
              </w:rPr>
              <w:t>364.3</w:t>
            </w:r>
          </w:p>
        </w:tc>
      </w:tr>
      <w:tr>
        <w:trPr>
          <w:trHeight w:val="43"/>
        </w:trPr>
        <w:tc>
          <w:tcPr>
            <w:tcW w:w="4420" w:type="dxa"/>
            <w:vAlign w:val="bottom"/>
            <w:tcBorders>
              <w:bottom w:val="single" w:sz="8" w:color="BCBEC0"/>
            </w:tcBorders>
          </w:tcPr>
          <w:p>
            <w:pPr>
              <w:spacing w:after="0"/>
              <w:rPr>
                <w:sz w:val="3"/>
                <w:szCs w:val="3"/>
                <w:color w:val="auto"/>
              </w:rPr>
            </w:pPr>
          </w:p>
        </w:tc>
        <w:tc>
          <w:tcPr>
            <w:tcW w:w="400" w:type="dxa"/>
            <w:vAlign w:val="bottom"/>
            <w:tcBorders>
              <w:bottom w:val="single" w:sz="8" w:color="BCBEC0"/>
            </w:tcBorders>
          </w:tcPr>
          <w:p>
            <w:pPr>
              <w:spacing w:after="0"/>
              <w:rPr>
                <w:sz w:val="3"/>
                <w:szCs w:val="3"/>
                <w:color w:val="auto"/>
              </w:rPr>
            </w:pPr>
          </w:p>
        </w:tc>
        <w:tc>
          <w:tcPr>
            <w:tcW w:w="1060" w:type="dxa"/>
            <w:vAlign w:val="bottom"/>
            <w:tcBorders>
              <w:bottom w:val="single" w:sz="8" w:color="BCBEC0"/>
            </w:tcBorders>
          </w:tcPr>
          <w:p>
            <w:pPr>
              <w:spacing w:after="0"/>
              <w:rPr>
                <w:sz w:val="3"/>
                <w:szCs w:val="3"/>
                <w:color w:val="auto"/>
              </w:rPr>
            </w:pPr>
          </w:p>
        </w:tc>
        <w:tc>
          <w:tcPr>
            <w:tcW w:w="340" w:type="dxa"/>
            <w:vAlign w:val="bottom"/>
            <w:tcBorders>
              <w:bottom w:val="single" w:sz="8" w:color="BCBEC0"/>
            </w:tcBorders>
          </w:tcPr>
          <w:p>
            <w:pPr>
              <w:spacing w:after="0"/>
              <w:rPr>
                <w:sz w:val="3"/>
                <w:szCs w:val="3"/>
                <w:color w:val="auto"/>
              </w:rPr>
            </w:pPr>
          </w:p>
        </w:tc>
        <w:tc>
          <w:tcPr>
            <w:tcW w:w="1020" w:type="dxa"/>
            <w:vAlign w:val="bottom"/>
            <w:tcBorders>
              <w:bottom w:val="single" w:sz="8" w:color="BCBEC0"/>
            </w:tcBorders>
          </w:tcPr>
          <w:p>
            <w:pPr>
              <w:spacing w:after="0"/>
              <w:rPr>
                <w:sz w:val="3"/>
                <w:szCs w:val="3"/>
                <w:color w:val="auto"/>
              </w:rPr>
            </w:pPr>
          </w:p>
        </w:tc>
        <w:tc>
          <w:tcPr>
            <w:tcW w:w="320" w:type="dxa"/>
            <w:vAlign w:val="bottom"/>
            <w:tcBorders>
              <w:bottom w:val="single" w:sz="8" w:color="BCBEC0"/>
            </w:tcBorders>
          </w:tcPr>
          <w:p>
            <w:pPr>
              <w:spacing w:after="0"/>
              <w:rPr>
                <w:sz w:val="3"/>
                <w:szCs w:val="3"/>
                <w:color w:val="auto"/>
              </w:rPr>
            </w:pPr>
          </w:p>
        </w:tc>
        <w:tc>
          <w:tcPr>
            <w:tcW w:w="1020" w:type="dxa"/>
            <w:vAlign w:val="bottom"/>
            <w:tcBorders>
              <w:bottom w:val="single" w:sz="8" w:color="BCBEC0"/>
            </w:tcBorders>
          </w:tcPr>
          <w:p>
            <w:pPr>
              <w:spacing w:after="0"/>
              <w:rPr>
                <w:sz w:val="3"/>
                <w:szCs w:val="3"/>
                <w:color w:val="auto"/>
              </w:rPr>
            </w:pPr>
          </w:p>
        </w:tc>
        <w:tc>
          <w:tcPr>
            <w:tcW w:w="340" w:type="dxa"/>
            <w:vAlign w:val="bottom"/>
            <w:tcBorders>
              <w:bottom w:val="single" w:sz="8" w:color="BCBEC0"/>
            </w:tcBorders>
          </w:tcPr>
          <w:p>
            <w:pPr>
              <w:spacing w:after="0"/>
              <w:rPr>
                <w:sz w:val="3"/>
                <w:szCs w:val="3"/>
                <w:color w:val="auto"/>
              </w:rPr>
            </w:pPr>
          </w:p>
        </w:tc>
        <w:tc>
          <w:tcPr>
            <w:tcW w:w="1020" w:type="dxa"/>
            <w:vAlign w:val="bottom"/>
            <w:tcBorders>
              <w:bottom w:val="single" w:sz="8" w:color="BCBEC0"/>
            </w:tcBorders>
          </w:tcPr>
          <w:p>
            <w:pPr>
              <w:spacing w:after="0"/>
              <w:rPr>
                <w:sz w:val="3"/>
                <w:szCs w:val="3"/>
                <w:color w:val="auto"/>
              </w:rPr>
            </w:pPr>
          </w:p>
        </w:tc>
        <w:tc>
          <w:tcPr>
            <w:tcW w:w="320" w:type="dxa"/>
            <w:vAlign w:val="bottom"/>
            <w:tcBorders>
              <w:bottom w:val="single" w:sz="8" w:color="BCBEC0"/>
            </w:tcBorders>
          </w:tcPr>
          <w:p>
            <w:pPr>
              <w:spacing w:after="0"/>
              <w:rPr>
                <w:sz w:val="3"/>
                <w:szCs w:val="3"/>
                <w:color w:val="auto"/>
              </w:rPr>
            </w:pPr>
          </w:p>
        </w:tc>
        <w:tc>
          <w:tcPr>
            <w:tcW w:w="980" w:type="dxa"/>
            <w:vAlign w:val="bottom"/>
            <w:tcBorders>
              <w:bottom w:val="single" w:sz="8" w:color="BCBEC0"/>
            </w:tcBorders>
          </w:tcPr>
          <w:p>
            <w:pPr>
              <w:spacing w:after="0"/>
              <w:rPr>
                <w:sz w:val="3"/>
                <w:szCs w:val="3"/>
                <w:color w:val="auto"/>
              </w:rPr>
            </w:pPr>
          </w:p>
        </w:tc>
      </w:tr>
      <w:tr>
        <w:trPr>
          <w:trHeight w:val="221"/>
        </w:trPr>
        <w:tc>
          <w:tcPr>
            <w:tcW w:w="4420" w:type="dxa"/>
            <w:vAlign w:val="bottom"/>
          </w:tcPr>
          <w:p>
            <w:pPr>
              <w:ind w:left="20"/>
              <w:spacing w:after="0"/>
              <w:rPr>
                <w:sz w:val="20"/>
                <w:szCs w:val="20"/>
                <w:color w:val="auto"/>
              </w:rPr>
            </w:pPr>
            <w:r>
              <w:rPr>
                <w:rFonts w:ascii="Arial" w:cs="Arial" w:eastAsia="Arial" w:hAnsi="Arial"/>
                <w:sz w:val="16"/>
                <w:szCs w:val="16"/>
                <w:color w:val="auto"/>
              </w:rPr>
              <w:t>Capital expenditures</w:t>
            </w:r>
          </w:p>
        </w:tc>
        <w:tc>
          <w:tcPr>
            <w:tcW w:w="4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(68.8)</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(74.4)</w:t>
            </w:r>
          </w:p>
        </w:tc>
        <w:tc>
          <w:tcPr>
            <w:tcW w:w="340" w:type="dxa"/>
            <w:vAlign w:val="bottom"/>
          </w:tcPr>
          <w:p>
            <w:pPr>
              <w:spacing w:after="0"/>
              <w:rPr>
                <w:sz w:val="19"/>
                <w:szCs w:val="19"/>
                <w:color w:val="auto"/>
              </w:rPr>
            </w:pPr>
          </w:p>
        </w:tc>
        <w:tc>
          <w:tcPr>
            <w:tcW w:w="1020" w:type="dxa"/>
            <w:vAlign w:val="bottom"/>
          </w:tcPr>
          <w:p>
            <w:pPr>
              <w:jc w:val="right"/>
              <w:ind w:right="1"/>
              <w:spacing w:after="0"/>
              <w:rPr>
                <w:sz w:val="20"/>
                <w:szCs w:val="20"/>
                <w:color w:val="auto"/>
              </w:rPr>
            </w:pPr>
            <w:r>
              <w:rPr>
                <w:rFonts w:ascii="Arial" w:cs="Arial" w:eastAsia="Arial" w:hAnsi="Arial"/>
                <w:sz w:val="16"/>
                <w:szCs w:val="16"/>
                <w:color w:val="auto"/>
              </w:rPr>
              <w:t>(76.0)</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(85.2)</w:t>
            </w:r>
          </w:p>
        </w:tc>
      </w:tr>
      <w:tr>
        <w:trPr>
          <w:trHeight w:val="43"/>
        </w:trPr>
        <w:tc>
          <w:tcPr>
            <w:tcW w:w="4420" w:type="dxa"/>
            <w:vAlign w:val="bottom"/>
            <w:tcBorders>
              <w:bottom w:val="single" w:sz="8" w:color="BCBEC0"/>
            </w:tcBorders>
          </w:tcPr>
          <w:p>
            <w:pPr>
              <w:spacing w:after="0"/>
              <w:rPr>
                <w:sz w:val="3"/>
                <w:szCs w:val="3"/>
                <w:color w:val="auto"/>
              </w:rPr>
            </w:pPr>
          </w:p>
        </w:tc>
        <w:tc>
          <w:tcPr>
            <w:tcW w:w="400" w:type="dxa"/>
            <w:vAlign w:val="bottom"/>
            <w:tcBorders>
              <w:bottom w:val="single" w:sz="8" w:color="BCBEC0"/>
            </w:tcBorders>
          </w:tcPr>
          <w:p>
            <w:pPr>
              <w:spacing w:after="0"/>
              <w:rPr>
                <w:sz w:val="3"/>
                <w:szCs w:val="3"/>
                <w:color w:val="auto"/>
              </w:rPr>
            </w:pPr>
          </w:p>
        </w:tc>
        <w:tc>
          <w:tcPr>
            <w:tcW w:w="1060" w:type="dxa"/>
            <w:vAlign w:val="bottom"/>
            <w:tcBorders>
              <w:bottom w:val="single" w:sz="8" w:color="BCBEC0"/>
            </w:tcBorders>
          </w:tcPr>
          <w:p>
            <w:pPr>
              <w:spacing w:after="0"/>
              <w:rPr>
                <w:sz w:val="3"/>
                <w:szCs w:val="3"/>
                <w:color w:val="auto"/>
              </w:rPr>
            </w:pPr>
          </w:p>
        </w:tc>
        <w:tc>
          <w:tcPr>
            <w:tcW w:w="340" w:type="dxa"/>
            <w:vAlign w:val="bottom"/>
            <w:tcBorders>
              <w:bottom w:val="single" w:sz="8" w:color="BCBEC0"/>
            </w:tcBorders>
          </w:tcPr>
          <w:p>
            <w:pPr>
              <w:spacing w:after="0"/>
              <w:rPr>
                <w:sz w:val="3"/>
                <w:szCs w:val="3"/>
                <w:color w:val="auto"/>
              </w:rPr>
            </w:pPr>
          </w:p>
        </w:tc>
        <w:tc>
          <w:tcPr>
            <w:tcW w:w="1020" w:type="dxa"/>
            <w:vAlign w:val="bottom"/>
            <w:tcBorders>
              <w:bottom w:val="single" w:sz="8" w:color="BCBEC0"/>
            </w:tcBorders>
          </w:tcPr>
          <w:p>
            <w:pPr>
              <w:spacing w:after="0"/>
              <w:rPr>
                <w:sz w:val="3"/>
                <w:szCs w:val="3"/>
                <w:color w:val="auto"/>
              </w:rPr>
            </w:pPr>
          </w:p>
        </w:tc>
        <w:tc>
          <w:tcPr>
            <w:tcW w:w="320" w:type="dxa"/>
            <w:vAlign w:val="bottom"/>
            <w:tcBorders>
              <w:bottom w:val="single" w:sz="8" w:color="BCBEC0"/>
            </w:tcBorders>
          </w:tcPr>
          <w:p>
            <w:pPr>
              <w:spacing w:after="0"/>
              <w:rPr>
                <w:sz w:val="3"/>
                <w:szCs w:val="3"/>
                <w:color w:val="auto"/>
              </w:rPr>
            </w:pPr>
          </w:p>
        </w:tc>
        <w:tc>
          <w:tcPr>
            <w:tcW w:w="1020" w:type="dxa"/>
            <w:vAlign w:val="bottom"/>
            <w:tcBorders>
              <w:bottom w:val="single" w:sz="8" w:color="BCBEC0"/>
            </w:tcBorders>
          </w:tcPr>
          <w:p>
            <w:pPr>
              <w:spacing w:after="0"/>
              <w:rPr>
                <w:sz w:val="3"/>
                <w:szCs w:val="3"/>
                <w:color w:val="auto"/>
              </w:rPr>
            </w:pPr>
          </w:p>
        </w:tc>
        <w:tc>
          <w:tcPr>
            <w:tcW w:w="340" w:type="dxa"/>
            <w:vAlign w:val="bottom"/>
            <w:tcBorders>
              <w:bottom w:val="single" w:sz="8" w:color="BCBEC0"/>
            </w:tcBorders>
          </w:tcPr>
          <w:p>
            <w:pPr>
              <w:spacing w:after="0"/>
              <w:rPr>
                <w:sz w:val="3"/>
                <w:szCs w:val="3"/>
                <w:color w:val="auto"/>
              </w:rPr>
            </w:pPr>
          </w:p>
        </w:tc>
        <w:tc>
          <w:tcPr>
            <w:tcW w:w="1020" w:type="dxa"/>
            <w:vAlign w:val="bottom"/>
            <w:tcBorders>
              <w:bottom w:val="single" w:sz="8" w:color="BCBEC0"/>
            </w:tcBorders>
          </w:tcPr>
          <w:p>
            <w:pPr>
              <w:spacing w:after="0"/>
              <w:rPr>
                <w:sz w:val="3"/>
                <w:szCs w:val="3"/>
                <w:color w:val="auto"/>
              </w:rPr>
            </w:pPr>
          </w:p>
        </w:tc>
        <w:tc>
          <w:tcPr>
            <w:tcW w:w="320" w:type="dxa"/>
            <w:vAlign w:val="bottom"/>
            <w:tcBorders>
              <w:bottom w:val="single" w:sz="8" w:color="BCBEC0"/>
            </w:tcBorders>
          </w:tcPr>
          <w:p>
            <w:pPr>
              <w:spacing w:after="0"/>
              <w:rPr>
                <w:sz w:val="3"/>
                <w:szCs w:val="3"/>
                <w:color w:val="auto"/>
              </w:rPr>
            </w:pPr>
          </w:p>
        </w:tc>
        <w:tc>
          <w:tcPr>
            <w:tcW w:w="980" w:type="dxa"/>
            <w:vAlign w:val="bottom"/>
            <w:tcBorders>
              <w:bottom w:val="single" w:sz="8" w:color="BCBEC0"/>
            </w:tcBorders>
          </w:tcPr>
          <w:p>
            <w:pPr>
              <w:spacing w:after="0"/>
              <w:rPr>
                <w:sz w:val="3"/>
                <w:szCs w:val="3"/>
                <w:color w:val="auto"/>
              </w:rPr>
            </w:pPr>
          </w:p>
        </w:tc>
      </w:tr>
      <w:tr>
        <w:trPr>
          <w:trHeight w:val="221"/>
        </w:trPr>
        <w:tc>
          <w:tcPr>
            <w:tcW w:w="4420" w:type="dxa"/>
            <w:vAlign w:val="bottom"/>
          </w:tcPr>
          <w:p>
            <w:pPr>
              <w:ind w:left="20"/>
              <w:spacing w:after="0"/>
              <w:rPr>
                <w:sz w:val="20"/>
                <w:szCs w:val="20"/>
                <w:color w:val="auto"/>
              </w:rPr>
            </w:pPr>
            <w:r>
              <w:rPr>
                <w:rFonts w:ascii="Arial" w:cs="Arial" w:eastAsia="Arial" w:hAnsi="Arial"/>
                <w:sz w:val="16"/>
                <w:szCs w:val="16"/>
                <w:color w:val="auto"/>
              </w:rPr>
              <w:t>Proceeds from sale of property and equipment</w:t>
            </w:r>
          </w:p>
        </w:tc>
        <w:tc>
          <w:tcPr>
            <w:tcW w:w="4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2.4</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0.6</w:t>
            </w: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5.6</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4.1</w:t>
            </w:r>
          </w:p>
        </w:tc>
      </w:tr>
      <w:tr>
        <w:trPr>
          <w:trHeight w:val="43"/>
        </w:trPr>
        <w:tc>
          <w:tcPr>
            <w:tcW w:w="4420" w:type="dxa"/>
            <w:vAlign w:val="bottom"/>
            <w:tcBorders>
              <w:bottom w:val="single" w:sz="8" w:color="0C3471"/>
            </w:tcBorders>
          </w:tcPr>
          <w:p>
            <w:pPr>
              <w:spacing w:after="0"/>
              <w:rPr>
                <w:sz w:val="3"/>
                <w:szCs w:val="3"/>
                <w:color w:val="auto"/>
              </w:rPr>
            </w:pPr>
          </w:p>
        </w:tc>
        <w:tc>
          <w:tcPr>
            <w:tcW w:w="400" w:type="dxa"/>
            <w:vAlign w:val="bottom"/>
            <w:tcBorders>
              <w:bottom w:val="single" w:sz="8" w:color="0C3471"/>
            </w:tcBorders>
          </w:tcPr>
          <w:p>
            <w:pPr>
              <w:spacing w:after="0"/>
              <w:rPr>
                <w:sz w:val="3"/>
                <w:szCs w:val="3"/>
                <w:color w:val="auto"/>
              </w:rPr>
            </w:pPr>
          </w:p>
        </w:tc>
        <w:tc>
          <w:tcPr>
            <w:tcW w:w="1060" w:type="dxa"/>
            <w:vAlign w:val="bottom"/>
            <w:tcBorders>
              <w:bottom w:val="single" w:sz="8" w:color="0C3471"/>
            </w:tcBorders>
          </w:tcPr>
          <w:p>
            <w:pPr>
              <w:spacing w:after="0"/>
              <w:rPr>
                <w:sz w:val="3"/>
                <w:szCs w:val="3"/>
                <w:color w:val="auto"/>
              </w:rPr>
            </w:pPr>
          </w:p>
        </w:tc>
        <w:tc>
          <w:tcPr>
            <w:tcW w:w="340" w:type="dxa"/>
            <w:vAlign w:val="bottom"/>
            <w:tcBorders>
              <w:bottom w:val="single" w:sz="8" w:color="0C3471"/>
            </w:tcBorders>
          </w:tcPr>
          <w:p>
            <w:pPr>
              <w:spacing w:after="0"/>
              <w:rPr>
                <w:sz w:val="3"/>
                <w:szCs w:val="3"/>
                <w:color w:val="auto"/>
              </w:rPr>
            </w:pPr>
          </w:p>
        </w:tc>
        <w:tc>
          <w:tcPr>
            <w:tcW w:w="1020" w:type="dxa"/>
            <w:vAlign w:val="bottom"/>
            <w:tcBorders>
              <w:bottom w:val="single" w:sz="8" w:color="0C3471"/>
            </w:tcBorders>
          </w:tcPr>
          <w:p>
            <w:pPr>
              <w:spacing w:after="0"/>
              <w:rPr>
                <w:sz w:val="3"/>
                <w:szCs w:val="3"/>
                <w:color w:val="auto"/>
              </w:rPr>
            </w:pPr>
          </w:p>
        </w:tc>
        <w:tc>
          <w:tcPr>
            <w:tcW w:w="320" w:type="dxa"/>
            <w:vAlign w:val="bottom"/>
            <w:tcBorders>
              <w:bottom w:val="single" w:sz="8" w:color="0C3471"/>
            </w:tcBorders>
          </w:tcPr>
          <w:p>
            <w:pPr>
              <w:spacing w:after="0"/>
              <w:rPr>
                <w:sz w:val="3"/>
                <w:szCs w:val="3"/>
                <w:color w:val="auto"/>
              </w:rPr>
            </w:pPr>
          </w:p>
        </w:tc>
        <w:tc>
          <w:tcPr>
            <w:tcW w:w="1020" w:type="dxa"/>
            <w:vAlign w:val="bottom"/>
            <w:tcBorders>
              <w:bottom w:val="single" w:sz="8" w:color="0C3471"/>
            </w:tcBorders>
          </w:tcPr>
          <w:p>
            <w:pPr>
              <w:spacing w:after="0"/>
              <w:rPr>
                <w:sz w:val="3"/>
                <w:szCs w:val="3"/>
                <w:color w:val="auto"/>
              </w:rPr>
            </w:pPr>
          </w:p>
        </w:tc>
        <w:tc>
          <w:tcPr>
            <w:tcW w:w="340" w:type="dxa"/>
            <w:vAlign w:val="bottom"/>
            <w:tcBorders>
              <w:bottom w:val="single" w:sz="8" w:color="0C3471"/>
            </w:tcBorders>
          </w:tcPr>
          <w:p>
            <w:pPr>
              <w:spacing w:after="0"/>
              <w:rPr>
                <w:sz w:val="3"/>
                <w:szCs w:val="3"/>
                <w:color w:val="auto"/>
              </w:rPr>
            </w:pPr>
          </w:p>
        </w:tc>
        <w:tc>
          <w:tcPr>
            <w:tcW w:w="1020" w:type="dxa"/>
            <w:vAlign w:val="bottom"/>
            <w:tcBorders>
              <w:bottom w:val="single" w:sz="8" w:color="0C3471"/>
            </w:tcBorders>
          </w:tcPr>
          <w:p>
            <w:pPr>
              <w:spacing w:after="0"/>
              <w:rPr>
                <w:sz w:val="3"/>
                <w:szCs w:val="3"/>
                <w:color w:val="auto"/>
              </w:rPr>
            </w:pPr>
          </w:p>
        </w:tc>
        <w:tc>
          <w:tcPr>
            <w:tcW w:w="320" w:type="dxa"/>
            <w:vAlign w:val="bottom"/>
            <w:tcBorders>
              <w:bottom w:val="single" w:sz="8" w:color="0C3471"/>
            </w:tcBorders>
          </w:tcPr>
          <w:p>
            <w:pPr>
              <w:spacing w:after="0"/>
              <w:rPr>
                <w:sz w:val="3"/>
                <w:szCs w:val="3"/>
                <w:color w:val="auto"/>
              </w:rPr>
            </w:pPr>
          </w:p>
        </w:tc>
        <w:tc>
          <w:tcPr>
            <w:tcW w:w="980" w:type="dxa"/>
            <w:vAlign w:val="bottom"/>
            <w:tcBorders>
              <w:bottom w:val="single" w:sz="8" w:color="0C3471"/>
            </w:tcBorders>
          </w:tcPr>
          <w:p>
            <w:pPr>
              <w:spacing w:after="0"/>
              <w:rPr>
                <w:sz w:val="3"/>
                <w:szCs w:val="3"/>
                <w:color w:val="auto"/>
              </w:rPr>
            </w:pPr>
          </w:p>
        </w:tc>
      </w:tr>
      <w:tr>
        <w:trPr>
          <w:trHeight w:val="229"/>
        </w:trPr>
        <w:tc>
          <w:tcPr>
            <w:tcW w:w="4420" w:type="dxa"/>
            <w:vAlign w:val="bottom"/>
          </w:tcPr>
          <w:p>
            <w:pPr>
              <w:ind w:left="20"/>
              <w:spacing w:after="0"/>
              <w:rPr>
                <w:sz w:val="20"/>
                <w:szCs w:val="20"/>
                <w:color w:val="auto"/>
              </w:rPr>
            </w:pPr>
            <w:r>
              <w:rPr>
                <w:rFonts w:ascii="Arial" w:cs="Arial" w:eastAsia="Arial" w:hAnsi="Arial"/>
                <w:sz w:val="16"/>
                <w:szCs w:val="16"/>
                <w:b w:val="1"/>
                <w:bCs w:val="1"/>
                <w:color w:val="auto"/>
              </w:rPr>
              <w:t>Free cash flow from continuing operations</w:t>
            </w:r>
          </w:p>
        </w:tc>
        <w:tc>
          <w:tcPr>
            <w:tcW w:w="4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tcPr>
          <w:p>
            <w:pPr>
              <w:ind w:left="500"/>
              <w:spacing w:after="0"/>
              <w:rPr>
                <w:sz w:val="20"/>
                <w:szCs w:val="20"/>
                <w:color w:val="auto"/>
              </w:rPr>
            </w:pPr>
            <w:r>
              <w:rPr>
                <w:rFonts w:ascii="Arial" w:cs="Arial" w:eastAsia="Arial" w:hAnsi="Arial"/>
                <w:sz w:val="16"/>
                <w:szCs w:val="16"/>
                <w:color w:val="auto"/>
              </w:rPr>
              <w:t>748.4</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ind w:left="500"/>
              <w:spacing w:after="0"/>
              <w:rPr>
                <w:sz w:val="20"/>
                <w:szCs w:val="20"/>
                <w:color w:val="auto"/>
              </w:rPr>
            </w:pPr>
            <w:r>
              <w:rPr>
                <w:rFonts w:ascii="Arial" w:cs="Arial" w:eastAsia="Arial" w:hAnsi="Arial"/>
                <w:sz w:val="16"/>
                <w:szCs w:val="16"/>
                <w:color w:val="auto"/>
              </w:rPr>
              <w:t>693.1</w:t>
            </w:r>
          </w:p>
        </w:tc>
        <w:tc>
          <w:tcPr>
            <w:tcW w:w="3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tcPr>
          <w:p>
            <w:pPr>
              <w:ind w:left="500"/>
              <w:spacing w:after="0"/>
              <w:rPr>
                <w:sz w:val="20"/>
                <w:szCs w:val="20"/>
                <w:color w:val="auto"/>
              </w:rPr>
            </w:pPr>
            <w:r>
              <w:rPr>
                <w:rFonts w:ascii="Arial" w:cs="Arial" w:eastAsia="Arial" w:hAnsi="Arial"/>
                <w:sz w:val="16"/>
                <w:szCs w:val="16"/>
                <w:color w:val="auto"/>
              </w:rPr>
              <w:t>550.4</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ind w:left="500"/>
              <w:spacing w:after="0"/>
              <w:rPr>
                <w:sz w:val="20"/>
                <w:szCs w:val="20"/>
                <w:color w:val="auto"/>
              </w:rPr>
            </w:pPr>
            <w:r>
              <w:rPr>
                <w:rFonts w:ascii="Arial" w:cs="Arial" w:eastAsia="Arial" w:hAnsi="Arial"/>
                <w:sz w:val="16"/>
                <w:szCs w:val="16"/>
                <w:color w:val="auto"/>
              </w:rPr>
              <w:t>283.2</w:t>
            </w:r>
          </w:p>
        </w:tc>
      </w:tr>
      <w:tr>
        <w:trPr>
          <w:trHeight w:val="34"/>
        </w:trPr>
        <w:tc>
          <w:tcPr>
            <w:tcW w:w="4420" w:type="dxa"/>
            <w:vAlign w:val="bottom"/>
            <w:tcBorders>
              <w:bottom w:val="single" w:sz="8" w:color="0C3471"/>
            </w:tcBorders>
          </w:tcPr>
          <w:p>
            <w:pPr>
              <w:spacing w:after="0"/>
              <w:rPr>
                <w:sz w:val="3"/>
                <w:szCs w:val="3"/>
                <w:color w:val="auto"/>
              </w:rPr>
            </w:pPr>
          </w:p>
        </w:tc>
        <w:tc>
          <w:tcPr>
            <w:tcW w:w="400" w:type="dxa"/>
            <w:vAlign w:val="bottom"/>
            <w:tcBorders>
              <w:bottom w:val="single" w:sz="8" w:color="0C3471"/>
            </w:tcBorders>
          </w:tcPr>
          <w:p>
            <w:pPr>
              <w:spacing w:after="0"/>
              <w:rPr>
                <w:sz w:val="3"/>
                <w:szCs w:val="3"/>
                <w:color w:val="auto"/>
              </w:rPr>
            </w:pPr>
          </w:p>
        </w:tc>
        <w:tc>
          <w:tcPr>
            <w:tcW w:w="1060" w:type="dxa"/>
            <w:vAlign w:val="bottom"/>
            <w:tcBorders>
              <w:bottom w:val="single" w:sz="8" w:color="0C3471"/>
            </w:tcBorders>
          </w:tcPr>
          <w:p>
            <w:pPr>
              <w:spacing w:after="0"/>
              <w:rPr>
                <w:sz w:val="3"/>
                <w:szCs w:val="3"/>
                <w:color w:val="auto"/>
              </w:rPr>
            </w:pPr>
          </w:p>
        </w:tc>
        <w:tc>
          <w:tcPr>
            <w:tcW w:w="340" w:type="dxa"/>
            <w:vAlign w:val="bottom"/>
            <w:tcBorders>
              <w:bottom w:val="single" w:sz="8" w:color="0C3471"/>
            </w:tcBorders>
          </w:tcPr>
          <w:p>
            <w:pPr>
              <w:spacing w:after="0"/>
              <w:rPr>
                <w:sz w:val="3"/>
                <w:szCs w:val="3"/>
                <w:color w:val="auto"/>
              </w:rPr>
            </w:pPr>
          </w:p>
        </w:tc>
        <w:tc>
          <w:tcPr>
            <w:tcW w:w="1020" w:type="dxa"/>
            <w:vAlign w:val="bottom"/>
            <w:tcBorders>
              <w:bottom w:val="single" w:sz="8" w:color="0C3471"/>
            </w:tcBorders>
          </w:tcPr>
          <w:p>
            <w:pPr>
              <w:spacing w:after="0"/>
              <w:rPr>
                <w:sz w:val="3"/>
                <w:szCs w:val="3"/>
                <w:color w:val="auto"/>
              </w:rPr>
            </w:pPr>
          </w:p>
        </w:tc>
        <w:tc>
          <w:tcPr>
            <w:tcW w:w="320" w:type="dxa"/>
            <w:vAlign w:val="bottom"/>
            <w:tcBorders>
              <w:bottom w:val="single" w:sz="8" w:color="0C3471"/>
            </w:tcBorders>
          </w:tcPr>
          <w:p>
            <w:pPr>
              <w:spacing w:after="0"/>
              <w:rPr>
                <w:sz w:val="3"/>
                <w:szCs w:val="3"/>
                <w:color w:val="auto"/>
              </w:rPr>
            </w:pPr>
          </w:p>
        </w:tc>
        <w:tc>
          <w:tcPr>
            <w:tcW w:w="1020" w:type="dxa"/>
            <w:vAlign w:val="bottom"/>
            <w:tcBorders>
              <w:bottom w:val="single" w:sz="8" w:color="0C3471"/>
            </w:tcBorders>
          </w:tcPr>
          <w:p>
            <w:pPr>
              <w:spacing w:after="0"/>
              <w:rPr>
                <w:sz w:val="3"/>
                <w:szCs w:val="3"/>
                <w:color w:val="auto"/>
              </w:rPr>
            </w:pPr>
          </w:p>
        </w:tc>
        <w:tc>
          <w:tcPr>
            <w:tcW w:w="340" w:type="dxa"/>
            <w:vAlign w:val="bottom"/>
            <w:tcBorders>
              <w:bottom w:val="single" w:sz="8" w:color="0C3471"/>
            </w:tcBorders>
          </w:tcPr>
          <w:p>
            <w:pPr>
              <w:spacing w:after="0"/>
              <w:rPr>
                <w:sz w:val="3"/>
                <w:szCs w:val="3"/>
                <w:color w:val="auto"/>
              </w:rPr>
            </w:pPr>
          </w:p>
        </w:tc>
        <w:tc>
          <w:tcPr>
            <w:tcW w:w="1020" w:type="dxa"/>
            <w:vAlign w:val="bottom"/>
            <w:tcBorders>
              <w:bottom w:val="single" w:sz="8" w:color="0C3471"/>
            </w:tcBorders>
          </w:tcPr>
          <w:p>
            <w:pPr>
              <w:spacing w:after="0"/>
              <w:rPr>
                <w:sz w:val="3"/>
                <w:szCs w:val="3"/>
                <w:color w:val="auto"/>
              </w:rPr>
            </w:pPr>
          </w:p>
        </w:tc>
        <w:tc>
          <w:tcPr>
            <w:tcW w:w="320" w:type="dxa"/>
            <w:vAlign w:val="bottom"/>
            <w:tcBorders>
              <w:bottom w:val="single" w:sz="8" w:color="0C3471"/>
            </w:tcBorders>
          </w:tcPr>
          <w:p>
            <w:pPr>
              <w:spacing w:after="0"/>
              <w:rPr>
                <w:sz w:val="3"/>
                <w:szCs w:val="3"/>
                <w:color w:val="auto"/>
              </w:rPr>
            </w:pPr>
          </w:p>
        </w:tc>
        <w:tc>
          <w:tcPr>
            <w:tcW w:w="980" w:type="dxa"/>
            <w:vAlign w:val="bottom"/>
            <w:tcBorders>
              <w:bottom w:val="single" w:sz="8" w:color="0C3471"/>
            </w:tcBorders>
          </w:tcPr>
          <w:p>
            <w:pPr>
              <w:spacing w:after="0"/>
              <w:rPr>
                <w:sz w:val="3"/>
                <w:szCs w:val="3"/>
                <w:color w:val="auto"/>
              </w:rPr>
            </w:pPr>
          </w:p>
        </w:tc>
      </w:tr>
      <w:tr>
        <w:trPr>
          <w:trHeight w:val="384"/>
        </w:trPr>
        <w:tc>
          <w:tcPr>
            <w:tcW w:w="4420" w:type="dxa"/>
            <w:vAlign w:val="bottom"/>
          </w:tcPr>
          <w:p>
            <w:pPr>
              <w:spacing w:after="0"/>
              <w:rPr>
                <w:sz w:val="20"/>
                <w:szCs w:val="20"/>
                <w:color w:val="auto"/>
              </w:rPr>
            </w:pPr>
            <w:r>
              <w:rPr>
                <w:rFonts w:ascii="Arial" w:cs="Arial" w:eastAsia="Arial" w:hAnsi="Arial"/>
                <w:sz w:val="16"/>
                <w:szCs w:val="16"/>
                <w:b w:val="1"/>
                <w:bCs w:val="1"/>
                <w:color w:val="0C3471"/>
              </w:rPr>
              <w:t>PENTAIR PLC AND SUBSIDIARIES</w:t>
            </w:r>
          </w:p>
        </w:tc>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23"/>
        </w:trPr>
        <w:tc>
          <w:tcPr>
            <w:tcW w:w="4420" w:type="dxa"/>
            <w:vAlign w:val="bottom"/>
          </w:tcPr>
          <w:p>
            <w:pPr>
              <w:spacing w:after="0"/>
              <w:rPr>
                <w:sz w:val="20"/>
                <w:szCs w:val="20"/>
                <w:color w:val="auto"/>
              </w:rPr>
            </w:pPr>
            <w:r>
              <w:rPr>
                <w:rFonts w:ascii="Arial" w:cs="Arial" w:eastAsia="Arial" w:hAnsi="Arial"/>
                <w:sz w:val="16"/>
                <w:szCs w:val="16"/>
                <w:b w:val="1"/>
                <w:bCs w:val="1"/>
                <w:color w:val="0C3471"/>
              </w:rPr>
              <w:t>RETURN ON INVESTED CAPITAL (ROIC) (UNAUDITED)</w:t>
            </w:r>
          </w:p>
        </w:tc>
        <w:tc>
          <w:tcPr>
            <w:tcW w:w="4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336"/>
        </w:trPr>
        <w:tc>
          <w:tcPr>
            <w:tcW w:w="4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60" w:type="dxa"/>
            <w:vAlign w:val="bottom"/>
          </w:tcPr>
          <w:p>
            <w:pPr>
              <w:jc w:val="center"/>
              <w:ind w:right="201"/>
              <w:spacing w:after="0"/>
              <w:rPr>
                <w:sz w:val="20"/>
                <w:szCs w:val="20"/>
                <w:color w:val="auto"/>
              </w:rPr>
            </w:pPr>
            <w:r>
              <w:rPr>
                <w:rFonts w:ascii="Arial" w:cs="Arial" w:eastAsia="Arial" w:hAnsi="Arial"/>
                <w:sz w:val="14"/>
                <w:szCs w:val="14"/>
                <w:b w:val="1"/>
                <w:bCs w:val="1"/>
                <w:color w:val="auto"/>
              </w:rPr>
              <w:t>Fourth</w:t>
            </w:r>
          </w:p>
        </w:tc>
        <w:tc>
          <w:tcPr>
            <w:tcW w:w="340" w:type="dxa"/>
            <w:vAlign w:val="bottom"/>
          </w:tcPr>
          <w:p>
            <w:pPr>
              <w:spacing w:after="0"/>
              <w:rPr>
                <w:sz w:val="24"/>
                <w:szCs w:val="24"/>
                <w:color w:val="auto"/>
              </w:rPr>
            </w:pPr>
          </w:p>
        </w:tc>
        <w:tc>
          <w:tcPr>
            <w:tcW w:w="1020" w:type="dxa"/>
            <w:vAlign w:val="bottom"/>
          </w:tcPr>
          <w:p>
            <w:pPr>
              <w:jc w:val="center"/>
              <w:ind w:right="301"/>
              <w:spacing w:after="0"/>
              <w:rPr>
                <w:sz w:val="20"/>
                <w:szCs w:val="20"/>
                <w:color w:val="auto"/>
              </w:rPr>
            </w:pPr>
            <w:r>
              <w:rPr>
                <w:rFonts w:ascii="Arial" w:cs="Arial" w:eastAsia="Arial" w:hAnsi="Arial"/>
                <w:sz w:val="14"/>
                <w:szCs w:val="14"/>
                <w:b w:val="1"/>
                <w:bCs w:val="1"/>
                <w:color w:val="auto"/>
              </w:rPr>
              <w:t>First</w:t>
            </w:r>
          </w:p>
        </w:tc>
        <w:tc>
          <w:tcPr>
            <w:tcW w:w="320" w:type="dxa"/>
            <w:vAlign w:val="bottom"/>
          </w:tcPr>
          <w:p>
            <w:pPr>
              <w:spacing w:after="0"/>
              <w:rPr>
                <w:sz w:val="24"/>
                <w:szCs w:val="24"/>
                <w:color w:val="auto"/>
              </w:rPr>
            </w:pPr>
          </w:p>
        </w:tc>
        <w:tc>
          <w:tcPr>
            <w:tcW w:w="1020" w:type="dxa"/>
            <w:vAlign w:val="bottom"/>
          </w:tcPr>
          <w:p>
            <w:pPr>
              <w:jc w:val="center"/>
              <w:ind w:right="221"/>
              <w:spacing w:after="0"/>
              <w:rPr>
                <w:sz w:val="20"/>
                <w:szCs w:val="20"/>
                <w:color w:val="auto"/>
              </w:rPr>
            </w:pPr>
            <w:r>
              <w:rPr>
                <w:rFonts w:ascii="Arial" w:cs="Arial" w:eastAsia="Arial" w:hAnsi="Arial"/>
                <w:sz w:val="14"/>
                <w:szCs w:val="14"/>
                <w:b w:val="1"/>
                <w:bCs w:val="1"/>
                <w:color w:val="auto"/>
              </w:rPr>
              <w:t>Second</w:t>
            </w:r>
          </w:p>
        </w:tc>
        <w:tc>
          <w:tcPr>
            <w:tcW w:w="340" w:type="dxa"/>
            <w:vAlign w:val="bottom"/>
          </w:tcPr>
          <w:p>
            <w:pPr>
              <w:spacing w:after="0"/>
              <w:rPr>
                <w:sz w:val="24"/>
                <w:szCs w:val="24"/>
                <w:color w:val="auto"/>
              </w:rPr>
            </w:pPr>
          </w:p>
        </w:tc>
        <w:tc>
          <w:tcPr>
            <w:tcW w:w="1020" w:type="dxa"/>
            <w:vAlign w:val="bottom"/>
          </w:tcPr>
          <w:p>
            <w:pPr>
              <w:jc w:val="center"/>
              <w:ind w:right="261"/>
              <w:spacing w:after="0"/>
              <w:rPr>
                <w:sz w:val="20"/>
                <w:szCs w:val="20"/>
                <w:color w:val="auto"/>
              </w:rPr>
            </w:pPr>
            <w:r>
              <w:rPr>
                <w:rFonts w:ascii="Arial" w:cs="Arial" w:eastAsia="Arial" w:hAnsi="Arial"/>
                <w:sz w:val="14"/>
                <w:szCs w:val="14"/>
                <w:b w:val="1"/>
                <w:bCs w:val="1"/>
                <w:color w:val="auto"/>
              </w:rPr>
              <w:t>Third</w:t>
            </w:r>
          </w:p>
        </w:tc>
        <w:tc>
          <w:tcPr>
            <w:tcW w:w="320" w:type="dxa"/>
            <w:vAlign w:val="bottom"/>
          </w:tcPr>
          <w:p>
            <w:pPr>
              <w:spacing w:after="0"/>
              <w:rPr>
                <w:sz w:val="24"/>
                <w:szCs w:val="24"/>
                <w:color w:val="auto"/>
              </w:rPr>
            </w:pPr>
          </w:p>
        </w:tc>
        <w:tc>
          <w:tcPr>
            <w:tcW w:w="980" w:type="dxa"/>
            <w:vAlign w:val="bottom"/>
          </w:tcPr>
          <w:p>
            <w:pPr>
              <w:jc w:val="center"/>
              <w:ind w:right="201"/>
              <w:spacing w:after="0"/>
              <w:rPr>
                <w:sz w:val="20"/>
                <w:szCs w:val="20"/>
                <w:color w:val="auto"/>
              </w:rPr>
            </w:pPr>
            <w:r>
              <w:rPr>
                <w:rFonts w:ascii="Arial" w:cs="Arial" w:eastAsia="Arial" w:hAnsi="Arial"/>
                <w:sz w:val="14"/>
                <w:szCs w:val="14"/>
                <w:b w:val="1"/>
                <w:bCs w:val="1"/>
                <w:color w:val="auto"/>
              </w:rPr>
              <w:t>Fourth</w:t>
            </w:r>
          </w:p>
        </w:tc>
      </w:tr>
      <w:tr>
        <w:trPr>
          <w:trHeight w:val="196"/>
        </w:trPr>
        <w:tc>
          <w:tcPr>
            <w:tcW w:w="44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60" w:type="dxa"/>
            <w:vAlign w:val="bottom"/>
          </w:tcPr>
          <w:p>
            <w:pPr>
              <w:jc w:val="center"/>
              <w:ind w:right="181"/>
              <w:spacing w:after="0"/>
              <w:rPr>
                <w:sz w:val="20"/>
                <w:szCs w:val="20"/>
                <w:color w:val="auto"/>
              </w:rPr>
            </w:pPr>
            <w:r>
              <w:rPr>
                <w:rFonts w:ascii="Arial" w:cs="Arial" w:eastAsia="Arial" w:hAnsi="Arial"/>
                <w:sz w:val="14"/>
                <w:szCs w:val="14"/>
                <w:b w:val="1"/>
                <w:bCs w:val="1"/>
                <w:color w:val="auto"/>
              </w:rPr>
              <w:t>Quarter</w:t>
            </w:r>
          </w:p>
        </w:tc>
        <w:tc>
          <w:tcPr>
            <w:tcW w:w="340" w:type="dxa"/>
            <w:vAlign w:val="bottom"/>
          </w:tcPr>
          <w:p>
            <w:pPr>
              <w:spacing w:after="0"/>
              <w:rPr>
                <w:sz w:val="17"/>
                <w:szCs w:val="17"/>
                <w:color w:val="auto"/>
              </w:rPr>
            </w:pPr>
          </w:p>
        </w:tc>
        <w:tc>
          <w:tcPr>
            <w:tcW w:w="1020" w:type="dxa"/>
            <w:vAlign w:val="bottom"/>
          </w:tcPr>
          <w:p>
            <w:pPr>
              <w:jc w:val="center"/>
              <w:ind w:right="261"/>
              <w:spacing w:after="0"/>
              <w:rPr>
                <w:sz w:val="20"/>
                <w:szCs w:val="20"/>
                <w:color w:val="auto"/>
              </w:rPr>
            </w:pPr>
            <w:r>
              <w:rPr>
                <w:rFonts w:ascii="Arial" w:cs="Arial" w:eastAsia="Arial" w:hAnsi="Arial"/>
                <w:sz w:val="14"/>
                <w:szCs w:val="14"/>
                <w:b w:val="1"/>
                <w:bCs w:val="1"/>
                <w:color w:val="auto"/>
              </w:rPr>
              <w:t>Quarter</w:t>
            </w:r>
          </w:p>
        </w:tc>
        <w:tc>
          <w:tcPr>
            <w:tcW w:w="320" w:type="dxa"/>
            <w:vAlign w:val="bottom"/>
          </w:tcPr>
          <w:p>
            <w:pPr>
              <w:spacing w:after="0"/>
              <w:rPr>
                <w:sz w:val="17"/>
                <w:szCs w:val="17"/>
                <w:color w:val="auto"/>
              </w:rPr>
            </w:pPr>
          </w:p>
        </w:tc>
        <w:tc>
          <w:tcPr>
            <w:tcW w:w="1020" w:type="dxa"/>
            <w:vAlign w:val="bottom"/>
          </w:tcPr>
          <w:p>
            <w:pPr>
              <w:jc w:val="center"/>
              <w:ind w:right="221"/>
              <w:spacing w:after="0"/>
              <w:rPr>
                <w:sz w:val="20"/>
                <w:szCs w:val="20"/>
                <w:color w:val="auto"/>
              </w:rPr>
            </w:pPr>
            <w:r>
              <w:rPr>
                <w:rFonts w:ascii="Arial" w:cs="Arial" w:eastAsia="Arial" w:hAnsi="Arial"/>
                <w:sz w:val="14"/>
                <w:szCs w:val="14"/>
                <w:b w:val="1"/>
                <w:bCs w:val="1"/>
                <w:color w:val="auto"/>
              </w:rPr>
              <w:t>Quarter</w:t>
            </w:r>
          </w:p>
        </w:tc>
        <w:tc>
          <w:tcPr>
            <w:tcW w:w="340" w:type="dxa"/>
            <w:vAlign w:val="bottom"/>
          </w:tcPr>
          <w:p>
            <w:pPr>
              <w:spacing w:after="0"/>
              <w:rPr>
                <w:sz w:val="17"/>
                <w:szCs w:val="17"/>
                <w:color w:val="auto"/>
              </w:rPr>
            </w:pPr>
          </w:p>
        </w:tc>
        <w:tc>
          <w:tcPr>
            <w:tcW w:w="1020" w:type="dxa"/>
            <w:vAlign w:val="bottom"/>
          </w:tcPr>
          <w:p>
            <w:pPr>
              <w:jc w:val="center"/>
              <w:ind w:right="261"/>
              <w:spacing w:after="0"/>
              <w:rPr>
                <w:sz w:val="20"/>
                <w:szCs w:val="20"/>
                <w:color w:val="auto"/>
              </w:rPr>
            </w:pPr>
            <w:r>
              <w:rPr>
                <w:rFonts w:ascii="Arial" w:cs="Arial" w:eastAsia="Arial" w:hAnsi="Arial"/>
                <w:sz w:val="14"/>
                <w:szCs w:val="14"/>
                <w:b w:val="1"/>
                <w:bCs w:val="1"/>
                <w:color w:val="auto"/>
              </w:rPr>
              <w:t>Quarter</w:t>
            </w:r>
          </w:p>
        </w:tc>
        <w:tc>
          <w:tcPr>
            <w:tcW w:w="320" w:type="dxa"/>
            <w:vAlign w:val="bottom"/>
          </w:tcPr>
          <w:p>
            <w:pPr>
              <w:spacing w:after="0"/>
              <w:rPr>
                <w:sz w:val="17"/>
                <w:szCs w:val="17"/>
                <w:color w:val="auto"/>
              </w:rPr>
            </w:pPr>
          </w:p>
        </w:tc>
        <w:tc>
          <w:tcPr>
            <w:tcW w:w="980" w:type="dxa"/>
            <w:vAlign w:val="bottom"/>
          </w:tcPr>
          <w:p>
            <w:pPr>
              <w:jc w:val="center"/>
              <w:ind w:right="181"/>
              <w:spacing w:after="0"/>
              <w:rPr>
                <w:sz w:val="20"/>
                <w:szCs w:val="20"/>
                <w:color w:val="auto"/>
              </w:rPr>
            </w:pPr>
            <w:r>
              <w:rPr>
                <w:rFonts w:ascii="Arial" w:cs="Arial" w:eastAsia="Arial" w:hAnsi="Arial"/>
                <w:sz w:val="14"/>
                <w:szCs w:val="14"/>
                <w:b w:val="1"/>
                <w:bCs w:val="1"/>
                <w:color w:val="auto"/>
              </w:rPr>
              <w:t>Quarter</w:t>
            </w:r>
          </w:p>
        </w:tc>
      </w:tr>
      <w:tr>
        <w:trPr>
          <w:trHeight w:val="239"/>
        </w:trPr>
        <w:tc>
          <w:tcPr>
            <w:tcW w:w="4420" w:type="dxa"/>
            <w:vAlign w:val="bottom"/>
            <w:tcBorders>
              <w:bottom w:val="single" w:sz="8" w:color="0C3471"/>
            </w:tcBorders>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400" w:type="dxa"/>
            <w:vAlign w:val="bottom"/>
            <w:tcBorders>
              <w:bottom w:val="single" w:sz="8" w:color="0C3471"/>
            </w:tcBorders>
          </w:tcPr>
          <w:p>
            <w:pPr>
              <w:spacing w:after="0"/>
              <w:rPr>
                <w:sz w:val="20"/>
                <w:szCs w:val="20"/>
                <w:color w:val="auto"/>
              </w:rPr>
            </w:pPr>
          </w:p>
        </w:tc>
        <w:tc>
          <w:tcPr>
            <w:tcW w:w="1060" w:type="dxa"/>
            <w:vAlign w:val="bottom"/>
            <w:tcBorders>
              <w:bottom w:val="single" w:sz="8" w:color="0C3471"/>
            </w:tcBorders>
          </w:tcPr>
          <w:p>
            <w:pPr>
              <w:jc w:val="center"/>
              <w:ind w:right="181"/>
              <w:spacing w:after="0"/>
              <w:rPr>
                <w:sz w:val="20"/>
                <w:szCs w:val="20"/>
                <w:color w:val="auto"/>
              </w:rPr>
            </w:pPr>
            <w:r>
              <w:rPr>
                <w:rFonts w:ascii="Arial" w:cs="Arial" w:eastAsia="Arial" w:hAnsi="Arial"/>
                <w:sz w:val="14"/>
                <w:szCs w:val="14"/>
                <w:b w:val="1"/>
                <w:bCs w:val="1"/>
                <w:color w:val="auto"/>
              </w:rPr>
              <w:t>2024</w:t>
            </w:r>
          </w:p>
        </w:tc>
        <w:tc>
          <w:tcPr>
            <w:tcW w:w="340" w:type="dxa"/>
            <w:vAlign w:val="bottom"/>
            <w:tcBorders>
              <w:bottom w:val="single" w:sz="8" w:color="0C3471"/>
            </w:tcBorders>
          </w:tcPr>
          <w:p>
            <w:pPr>
              <w:spacing w:after="0"/>
              <w:rPr>
                <w:sz w:val="20"/>
                <w:szCs w:val="20"/>
                <w:color w:val="auto"/>
              </w:rPr>
            </w:pPr>
          </w:p>
        </w:tc>
        <w:tc>
          <w:tcPr>
            <w:tcW w:w="1020" w:type="dxa"/>
            <w:vAlign w:val="bottom"/>
            <w:tcBorders>
              <w:bottom w:val="single" w:sz="8" w:color="0C3471"/>
            </w:tcBorders>
          </w:tcPr>
          <w:p>
            <w:pPr>
              <w:jc w:val="center"/>
              <w:ind w:right="261"/>
              <w:spacing w:after="0"/>
              <w:rPr>
                <w:sz w:val="20"/>
                <w:szCs w:val="20"/>
                <w:color w:val="auto"/>
              </w:rPr>
            </w:pPr>
            <w:r>
              <w:rPr>
                <w:rFonts w:ascii="Arial" w:cs="Arial" w:eastAsia="Arial" w:hAnsi="Arial"/>
                <w:sz w:val="14"/>
                <w:szCs w:val="14"/>
                <w:b w:val="1"/>
                <w:bCs w:val="1"/>
                <w:color w:val="auto"/>
              </w:rPr>
              <w:t>2025</w:t>
            </w:r>
          </w:p>
        </w:tc>
        <w:tc>
          <w:tcPr>
            <w:tcW w:w="320" w:type="dxa"/>
            <w:vAlign w:val="bottom"/>
            <w:tcBorders>
              <w:bottom w:val="single" w:sz="8" w:color="0C3471"/>
            </w:tcBorders>
          </w:tcPr>
          <w:p>
            <w:pPr>
              <w:spacing w:after="0"/>
              <w:rPr>
                <w:sz w:val="20"/>
                <w:szCs w:val="20"/>
                <w:color w:val="auto"/>
              </w:rPr>
            </w:pPr>
          </w:p>
        </w:tc>
        <w:tc>
          <w:tcPr>
            <w:tcW w:w="1020" w:type="dxa"/>
            <w:vAlign w:val="bottom"/>
            <w:tcBorders>
              <w:bottom w:val="single" w:sz="8" w:color="0C3471"/>
            </w:tcBorders>
          </w:tcPr>
          <w:p>
            <w:pPr>
              <w:jc w:val="center"/>
              <w:ind w:right="221"/>
              <w:spacing w:after="0"/>
              <w:rPr>
                <w:sz w:val="20"/>
                <w:szCs w:val="20"/>
                <w:color w:val="auto"/>
              </w:rPr>
            </w:pPr>
            <w:r>
              <w:rPr>
                <w:rFonts w:ascii="Arial" w:cs="Arial" w:eastAsia="Arial" w:hAnsi="Arial"/>
                <w:sz w:val="14"/>
                <w:szCs w:val="14"/>
                <w:b w:val="1"/>
                <w:bCs w:val="1"/>
                <w:color w:val="auto"/>
              </w:rPr>
              <w:t>2025</w:t>
            </w:r>
          </w:p>
        </w:tc>
        <w:tc>
          <w:tcPr>
            <w:tcW w:w="340" w:type="dxa"/>
            <w:vAlign w:val="bottom"/>
            <w:tcBorders>
              <w:bottom w:val="single" w:sz="8" w:color="0C3471"/>
            </w:tcBorders>
          </w:tcPr>
          <w:p>
            <w:pPr>
              <w:spacing w:after="0"/>
              <w:rPr>
                <w:sz w:val="20"/>
                <w:szCs w:val="20"/>
                <w:color w:val="auto"/>
              </w:rPr>
            </w:pPr>
          </w:p>
        </w:tc>
        <w:tc>
          <w:tcPr>
            <w:tcW w:w="1020" w:type="dxa"/>
            <w:vAlign w:val="bottom"/>
            <w:tcBorders>
              <w:bottom w:val="single" w:sz="8" w:color="0C3471"/>
            </w:tcBorders>
          </w:tcPr>
          <w:p>
            <w:pPr>
              <w:jc w:val="center"/>
              <w:ind w:right="261"/>
              <w:spacing w:after="0"/>
              <w:rPr>
                <w:sz w:val="20"/>
                <w:szCs w:val="20"/>
                <w:color w:val="auto"/>
              </w:rPr>
            </w:pPr>
            <w:r>
              <w:rPr>
                <w:rFonts w:ascii="Arial" w:cs="Arial" w:eastAsia="Arial" w:hAnsi="Arial"/>
                <w:sz w:val="14"/>
                <w:szCs w:val="14"/>
                <w:b w:val="1"/>
                <w:bCs w:val="1"/>
                <w:color w:val="auto"/>
              </w:rPr>
              <w:t>2025</w:t>
            </w:r>
          </w:p>
        </w:tc>
        <w:tc>
          <w:tcPr>
            <w:tcW w:w="320" w:type="dxa"/>
            <w:vAlign w:val="bottom"/>
            <w:tcBorders>
              <w:bottom w:val="single" w:sz="8" w:color="0C3471"/>
            </w:tcBorders>
          </w:tcPr>
          <w:p>
            <w:pPr>
              <w:spacing w:after="0"/>
              <w:rPr>
                <w:sz w:val="20"/>
                <w:szCs w:val="20"/>
                <w:color w:val="auto"/>
              </w:rPr>
            </w:pPr>
          </w:p>
        </w:tc>
        <w:tc>
          <w:tcPr>
            <w:tcW w:w="980" w:type="dxa"/>
            <w:vAlign w:val="bottom"/>
            <w:tcBorders>
              <w:bottom w:val="single" w:sz="8" w:color="0C3471"/>
            </w:tcBorders>
          </w:tcPr>
          <w:p>
            <w:pPr>
              <w:jc w:val="center"/>
              <w:ind w:right="181"/>
              <w:spacing w:after="0"/>
              <w:rPr>
                <w:sz w:val="20"/>
                <w:szCs w:val="20"/>
                <w:color w:val="auto"/>
              </w:rPr>
            </w:pPr>
            <w:r>
              <w:rPr>
                <w:rFonts w:ascii="Arial" w:cs="Arial" w:eastAsia="Arial" w:hAnsi="Arial"/>
                <w:sz w:val="14"/>
                <w:szCs w:val="14"/>
                <w:b w:val="1"/>
                <w:bCs w:val="1"/>
                <w:color w:val="auto"/>
              </w:rPr>
              <w:t>2025</w:t>
            </w:r>
          </w:p>
        </w:tc>
      </w:tr>
      <w:tr>
        <w:trPr>
          <w:trHeight w:val="227"/>
        </w:trPr>
        <w:tc>
          <w:tcPr>
            <w:tcW w:w="4420" w:type="dxa"/>
            <w:vAlign w:val="bottom"/>
          </w:tcPr>
          <w:p>
            <w:pPr>
              <w:ind w:left="20"/>
              <w:spacing w:after="0"/>
              <w:rPr>
                <w:sz w:val="20"/>
                <w:szCs w:val="20"/>
                <w:color w:val="auto"/>
              </w:rPr>
            </w:pPr>
            <w:r>
              <w:rPr>
                <w:rFonts w:ascii="Arial" w:cs="Arial" w:eastAsia="Arial" w:hAnsi="Arial"/>
                <w:sz w:val="16"/>
                <w:szCs w:val="16"/>
                <w:color w:val="auto"/>
              </w:rPr>
              <w:t>Adjusted operating income</w:t>
            </w:r>
          </w:p>
        </w:tc>
        <w:tc>
          <w:tcPr>
            <w:tcW w:w="4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61"/>
              <w:spacing w:after="0"/>
              <w:rPr>
                <w:sz w:val="20"/>
                <w:szCs w:val="20"/>
                <w:color w:val="auto"/>
              </w:rPr>
            </w:pPr>
            <w:r>
              <w:rPr>
                <w:rFonts w:ascii="Arial" w:cs="Arial" w:eastAsia="Arial" w:hAnsi="Arial"/>
                <w:sz w:val="16"/>
                <w:szCs w:val="16"/>
                <w:color w:val="auto"/>
              </w:rPr>
              <w:t>231.3</w:t>
            </w:r>
          </w:p>
        </w:tc>
        <w:tc>
          <w:tcPr>
            <w:tcW w:w="3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81"/>
              <w:spacing w:after="0"/>
              <w:rPr>
                <w:sz w:val="20"/>
                <w:szCs w:val="20"/>
                <w:color w:val="auto"/>
              </w:rPr>
            </w:pPr>
            <w:r>
              <w:rPr>
                <w:rFonts w:ascii="Arial" w:cs="Arial" w:eastAsia="Arial" w:hAnsi="Arial"/>
                <w:sz w:val="16"/>
                <w:szCs w:val="16"/>
                <w:color w:val="auto"/>
              </w:rPr>
              <w:t>242.5</w:t>
            </w:r>
          </w:p>
        </w:tc>
        <w:tc>
          <w:tcPr>
            <w:tcW w:w="3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61"/>
              <w:spacing w:after="0"/>
              <w:rPr>
                <w:sz w:val="20"/>
                <w:szCs w:val="20"/>
                <w:color w:val="auto"/>
              </w:rPr>
            </w:pPr>
            <w:r>
              <w:rPr>
                <w:rFonts w:ascii="Arial" w:cs="Arial" w:eastAsia="Arial" w:hAnsi="Arial"/>
                <w:sz w:val="16"/>
                <w:szCs w:val="16"/>
                <w:color w:val="auto"/>
              </w:rPr>
              <w:t>296.7</w:t>
            </w:r>
          </w:p>
        </w:tc>
        <w:tc>
          <w:tcPr>
            <w:tcW w:w="3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81"/>
              <w:spacing w:after="0"/>
              <w:rPr>
                <w:sz w:val="20"/>
                <w:szCs w:val="20"/>
                <w:color w:val="auto"/>
              </w:rPr>
            </w:pPr>
            <w:r>
              <w:rPr>
                <w:rFonts w:ascii="Arial" w:cs="Arial" w:eastAsia="Arial" w:hAnsi="Arial"/>
                <w:sz w:val="16"/>
                <w:szCs w:val="16"/>
                <w:color w:val="auto"/>
              </w:rPr>
              <w:t>262.6</w:t>
            </w:r>
          </w:p>
        </w:tc>
        <w:tc>
          <w:tcPr>
            <w:tcW w:w="3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21"/>
              <w:spacing w:after="0"/>
              <w:rPr>
                <w:sz w:val="20"/>
                <w:szCs w:val="20"/>
                <w:color w:val="auto"/>
              </w:rPr>
            </w:pPr>
            <w:r>
              <w:rPr>
                <w:rFonts w:ascii="Arial" w:cs="Arial" w:eastAsia="Arial" w:hAnsi="Arial"/>
                <w:sz w:val="16"/>
                <w:szCs w:val="16"/>
                <w:color w:val="auto"/>
              </w:rPr>
              <w:t>251.7</w:t>
            </w:r>
          </w:p>
        </w:tc>
      </w:tr>
      <w:tr>
        <w:trPr>
          <w:trHeight w:val="43"/>
        </w:trPr>
        <w:tc>
          <w:tcPr>
            <w:tcW w:w="4420" w:type="dxa"/>
            <w:vAlign w:val="bottom"/>
            <w:tcBorders>
              <w:bottom w:val="single" w:sz="8" w:color="A7A9AC"/>
            </w:tcBorders>
          </w:tcPr>
          <w:p>
            <w:pPr>
              <w:spacing w:after="0"/>
              <w:rPr>
                <w:sz w:val="3"/>
                <w:szCs w:val="3"/>
                <w:color w:val="auto"/>
              </w:rPr>
            </w:pPr>
          </w:p>
        </w:tc>
        <w:tc>
          <w:tcPr>
            <w:tcW w:w="400" w:type="dxa"/>
            <w:vAlign w:val="bottom"/>
            <w:tcBorders>
              <w:bottom w:val="single" w:sz="8" w:color="A7A9AC"/>
            </w:tcBorders>
          </w:tcPr>
          <w:p>
            <w:pPr>
              <w:spacing w:after="0"/>
              <w:rPr>
                <w:sz w:val="3"/>
                <w:szCs w:val="3"/>
                <w:color w:val="auto"/>
              </w:rPr>
            </w:pPr>
          </w:p>
        </w:tc>
        <w:tc>
          <w:tcPr>
            <w:tcW w:w="1060" w:type="dxa"/>
            <w:vAlign w:val="bottom"/>
            <w:tcBorders>
              <w:bottom w:val="single" w:sz="8" w:color="A7A9AC"/>
            </w:tcBorders>
          </w:tcPr>
          <w:p>
            <w:pPr>
              <w:spacing w:after="0"/>
              <w:rPr>
                <w:sz w:val="3"/>
                <w:szCs w:val="3"/>
                <w:color w:val="auto"/>
              </w:rPr>
            </w:pPr>
          </w:p>
        </w:tc>
        <w:tc>
          <w:tcPr>
            <w:tcW w:w="340" w:type="dxa"/>
            <w:vAlign w:val="bottom"/>
            <w:tcBorders>
              <w:bottom w:val="single" w:sz="8" w:color="A7A9AC"/>
            </w:tcBorders>
          </w:tcPr>
          <w:p>
            <w:pPr>
              <w:spacing w:after="0"/>
              <w:rPr>
                <w:sz w:val="3"/>
                <w:szCs w:val="3"/>
                <w:color w:val="auto"/>
              </w:rPr>
            </w:pPr>
          </w:p>
        </w:tc>
        <w:tc>
          <w:tcPr>
            <w:tcW w:w="1020" w:type="dxa"/>
            <w:vAlign w:val="bottom"/>
            <w:tcBorders>
              <w:bottom w:val="single" w:sz="8" w:color="A7A9AC"/>
            </w:tcBorders>
          </w:tcPr>
          <w:p>
            <w:pPr>
              <w:spacing w:after="0"/>
              <w:rPr>
                <w:sz w:val="3"/>
                <w:szCs w:val="3"/>
                <w:color w:val="auto"/>
              </w:rPr>
            </w:pPr>
          </w:p>
        </w:tc>
        <w:tc>
          <w:tcPr>
            <w:tcW w:w="320" w:type="dxa"/>
            <w:vAlign w:val="bottom"/>
            <w:tcBorders>
              <w:bottom w:val="single" w:sz="8" w:color="A7A9AC"/>
            </w:tcBorders>
          </w:tcPr>
          <w:p>
            <w:pPr>
              <w:spacing w:after="0"/>
              <w:rPr>
                <w:sz w:val="3"/>
                <w:szCs w:val="3"/>
                <w:color w:val="auto"/>
              </w:rPr>
            </w:pPr>
          </w:p>
        </w:tc>
        <w:tc>
          <w:tcPr>
            <w:tcW w:w="1020" w:type="dxa"/>
            <w:vAlign w:val="bottom"/>
            <w:tcBorders>
              <w:bottom w:val="single" w:sz="8" w:color="A7A9AC"/>
            </w:tcBorders>
          </w:tcPr>
          <w:p>
            <w:pPr>
              <w:spacing w:after="0"/>
              <w:rPr>
                <w:sz w:val="3"/>
                <w:szCs w:val="3"/>
                <w:color w:val="auto"/>
              </w:rPr>
            </w:pPr>
          </w:p>
        </w:tc>
        <w:tc>
          <w:tcPr>
            <w:tcW w:w="340" w:type="dxa"/>
            <w:vAlign w:val="bottom"/>
            <w:tcBorders>
              <w:bottom w:val="single" w:sz="8" w:color="A7A9AC"/>
            </w:tcBorders>
          </w:tcPr>
          <w:p>
            <w:pPr>
              <w:spacing w:after="0"/>
              <w:rPr>
                <w:sz w:val="3"/>
                <w:szCs w:val="3"/>
                <w:color w:val="auto"/>
              </w:rPr>
            </w:pPr>
          </w:p>
        </w:tc>
        <w:tc>
          <w:tcPr>
            <w:tcW w:w="1020" w:type="dxa"/>
            <w:vAlign w:val="bottom"/>
            <w:tcBorders>
              <w:bottom w:val="single" w:sz="8" w:color="A7A9AC"/>
            </w:tcBorders>
          </w:tcPr>
          <w:p>
            <w:pPr>
              <w:spacing w:after="0"/>
              <w:rPr>
                <w:sz w:val="3"/>
                <w:szCs w:val="3"/>
                <w:color w:val="auto"/>
              </w:rPr>
            </w:pPr>
          </w:p>
        </w:tc>
        <w:tc>
          <w:tcPr>
            <w:tcW w:w="320" w:type="dxa"/>
            <w:vAlign w:val="bottom"/>
            <w:tcBorders>
              <w:bottom w:val="single" w:sz="8" w:color="A7A9AC"/>
            </w:tcBorders>
          </w:tcPr>
          <w:p>
            <w:pPr>
              <w:spacing w:after="0"/>
              <w:rPr>
                <w:sz w:val="3"/>
                <w:szCs w:val="3"/>
                <w:color w:val="auto"/>
              </w:rPr>
            </w:pPr>
          </w:p>
        </w:tc>
        <w:tc>
          <w:tcPr>
            <w:tcW w:w="980" w:type="dxa"/>
            <w:vAlign w:val="bottom"/>
            <w:tcBorders>
              <w:bottom w:val="single" w:sz="8" w:color="A7A9AC"/>
            </w:tcBorders>
          </w:tcPr>
          <w:p>
            <w:pPr>
              <w:spacing w:after="0"/>
              <w:rPr>
                <w:sz w:val="3"/>
                <w:szCs w:val="3"/>
                <w:color w:val="auto"/>
              </w:rPr>
            </w:pPr>
          </w:p>
        </w:tc>
      </w:tr>
      <w:tr>
        <w:trPr>
          <w:trHeight w:val="221"/>
        </w:trPr>
        <w:tc>
          <w:tcPr>
            <w:tcW w:w="4420" w:type="dxa"/>
            <w:vAlign w:val="bottom"/>
          </w:tcPr>
          <w:p>
            <w:pPr>
              <w:ind w:left="20"/>
              <w:spacing w:after="0"/>
              <w:rPr>
                <w:sz w:val="20"/>
                <w:szCs w:val="20"/>
                <w:color w:val="auto"/>
              </w:rPr>
            </w:pPr>
            <w:r>
              <w:rPr>
                <w:rFonts w:ascii="Arial" w:cs="Arial" w:eastAsia="Arial" w:hAnsi="Arial"/>
                <w:sz w:val="16"/>
                <w:szCs w:val="16"/>
                <w:color w:val="auto"/>
              </w:rPr>
              <w:t>Adjusted effective tax rate</w:t>
            </w:r>
          </w:p>
        </w:tc>
        <w:tc>
          <w:tcPr>
            <w:tcW w:w="4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16.5%</w:t>
            </w:r>
          </w:p>
        </w:tc>
        <w:tc>
          <w:tcPr>
            <w:tcW w:w="340" w:type="dxa"/>
            <w:vAlign w:val="bottom"/>
          </w:tcPr>
          <w:p>
            <w:pPr>
              <w:spacing w:after="0"/>
              <w:rPr>
                <w:sz w:val="19"/>
                <w:szCs w:val="19"/>
                <w:color w:val="auto"/>
              </w:rPr>
            </w:pPr>
          </w:p>
        </w:tc>
        <w:tc>
          <w:tcPr>
            <w:tcW w:w="1020" w:type="dxa"/>
            <w:vAlign w:val="bottom"/>
          </w:tcPr>
          <w:p>
            <w:pPr>
              <w:ind w:left="500"/>
              <w:spacing w:after="0"/>
              <w:rPr>
                <w:sz w:val="20"/>
                <w:szCs w:val="20"/>
                <w:color w:val="auto"/>
              </w:rPr>
            </w:pPr>
            <w:r>
              <w:rPr>
                <w:rFonts w:ascii="Arial" w:cs="Arial" w:eastAsia="Arial" w:hAnsi="Arial"/>
                <w:sz w:val="16"/>
                <w:szCs w:val="16"/>
                <w:color w:val="auto"/>
              </w:rPr>
              <w:t>17.0%</w:t>
            </w:r>
          </w:p>
        </w:tc>
        <w:tc>
          <w:tcPr>
            <w:tcW w:w="320" w:type="dxa"/>
            <w:vAlign w:val="bottom"/>
          </w:tcPr>
          <w:p>
            <w:pPr>
              <w:spacing w:after="0"/>
              <w:rPr>
                <w:sz w:val="19"/>
                <w:szCs w:val="19"/>
                <w:color w:val="auto"/>
              </w:rPr>
            </w:pPr>
          </w:p>
        </w:tc>
        <w:tc>
          <w:tcPr>
            <w:tcW w:w="1020" w:type="dxa"/>
            <w:vAlign w:val="bottom"/>
          </w:tcPr>
          <w:p>
            <w:pPr>
              <w:ind w:left="500"/>
              <w:spacing w:after="0"/>
              <w:rPr>
                <w:sz w:val="20"/>
                <w:szCs w:val="20"/>
                <w:color w:val="auto"/>
              </w:rPr>
            </w:pPr>
            <w:r>
              <w:rPr>
                <w:rFonts w:ascii="Arial" w:cs="Arial" w:eastAsia="Arial" w:hAnsi="Arial"/>
                <w:sz w:val="16"/>
                <w:szCs w:val="16"/>
                <w:color w:val="auto"/>
              </w:rPr>
              <w:t>17.0%</w:t>
            </w:r>
          </w:p>
        </w:tc>
        <w:tc>
          <w:tcPr>
            <w:tcW w:w="340" w:type="dxa"/>
            <w:vAlign w:val="bottom"/>
          </w:tcPr>
          <w:p>
            <w:pPr>
              <w:spacing w:after="0"/>
              <w:rPr>
                <w:sz w:val="19"/>
                <w:szCs w:val="19"/>
                <w:color w:val="auto"/>
              </w:rPr>
            </w:pPr>
          </w:p>
        </w:tc>
        <w:tc>
          <w:tcPr>
            <w:tcW w:w="1020" w:type="dxa"/>
            <w:vAlign w:val="bottom"/>
          </w:tcPr>
          <w:p>
            <w:pPr>
              <w:ind w:left="500"/>
              <w:spacing w:after="0"/>
              <w:rPr>
                <w:sz w:val="20"/>
                <w:szCs w:val="20"/>
                <w:color w:val="auto"/>
              </w:rPr>
            </w:pPr>
            <w:r>
              <w:rPr>
                <w:rFonts w:ascii="Arial" w:cs="Arial" w:eastAsia="Arial" w:hAnsi="Arial"/>
                <w:sz w:val="16"/>
                <w:szCs w:val="16"/>
                <w:color w:val="auto"/>
              </w:rPr>
              <w:t>17.0%</w:t>
            </w:r>
          </w:p>
        </w:tc>
        <w:tc>
          <w:tcPr>
            <w:tcW w:w="320" w:type="dxa"/>
            <w:vAlign w:val="bottom"/>
          </w:tcPr>
          <w:p>
            <w:pPr>
              <w:spacing w:after="0"/>
              <w:rPr>
                <w:sz w:val="19"/>
                <w:szCs w:val="19"/>
                <w:color w:val="auto"/>
              </w:rPr>
            </w:pPr>
          </w:p>
        </w:tc>
        <w:tc>
          <w:tcPr>
            <w:tcW w:w="980" w:type="dxa"/>
            <w:vAlign w:val="bottom"/>
          </w:tcPr>
          <w:p>
            <w:pPr>
              <w:ind w:left="500"/>
              <w:spacing w:after="0"/>
              <w:rPr>
                <w:sz w:val="20"/>
                <w:szCs w:val="20"/>
                <w:color w:val="auto"/>
              </w:rPr>
            </w:pPr>
            <w:r>
              <w:rPr>
                <w:rFonts w:ascii="Arial" w:cs="Arial" w:eastAsia="Arial" w:hAnsi="Arial"/>
                <w:sz w:val="16"/>
                <w:szCs w:val="16"/>
                <w:color w:val="auto"/>
              </w:rPr>
              <w:t>16.5%</w:t>
            </w:r>
          </w:p>
        </w:tc>
      </w:tr>
      <w:tr>
        <w:trPr>
          <w:trHeight w:val="43"/>
        </w:trPr>
        <w:tc>
          <w:tcPr>
            <w:tcW w:w="4420" w:type="dxa"/>
            <w:vAlign w:val="bottom"/>
            <w:tcBorders>
              <w:bottom w:val="single" w:sz="8" w:color="A7A9AC"/>
            </w:tcBorders>
          </w:tcPr>
          <w:p>
            <w:pPr>
              <w:spacing w:after="0"/>
              <w:rPr>
                <w:sz w:val="3"/>
                <w:szCs w:val="3"/>
                <w:color w:val="auto"/>
              </w:rPr>
            </w:pPr>
          </w:p>
        </w:tc>
        <w:tc>
          <w:tcPr>
            <w:tcW w:w="400" w:type="dxa"/>
            <w:vAlign w:val="bottom"/>
            <w:tcBorders>
              <w:bottom w:val="single" w:sz="8" w:color="A7A9AC"/>
            </w:tcBorders>
          </w:tcPr>
          <w:p>
            <w:pPr>
              <w:spacing w:after="0"/>
              <w:rPr>
                <w:sz w:val="3"/>
                <w:szCs w:val="3"/>
                <w:color w:val="auto"/>
              </w:rPr>
            </w:pPr>
          </w:p>
        </w:tc>
        <w:tc>
          <w:tcPr>
            <w:tcW w:w="1060" w:type="dxa"/>
            <w:vAlign w:val="bottom"/>
            <w:tcBorders>
              <w:bottom w:val="single" w:sz="8" w:color="A7A9AC"/>
            </w:tcBorders>
          </w:tcPr>
          <w:p>
            <w:pPr>
              <w:spacing w:after="0"/>
              <w:rPr>
                <w:sz w:val="3"/>
                <w:szCs w:val="3"/>
                <w:color w:val="auto"/>
              </w:rPr>
            </w:pPr>
          </w:p>
        </w:tc>
        <w:tc>
          <w:tcPr>
            <w:tcW w:w="340" w:type="dxa"/>
            <w:vAlign w:val="bottom"/>
            <w:tcBorders>
              <w:bottom w:val="single" w:sz="8" w:color="A7A9AC"/>
            </w:tcBorders>
          </w:tcPr>
          <w:p>
            <w:pPr>
              <w:spacing w:after="0"/>
              <w:rPr>
                <w:sz w:val="3"/>
                <w:szCs w:val="3"/>
                <w:color w:val="auto"/>
              </w:rPr>
            </w:pPr>
          </w:p>
        </w:tc>
        <w:tc>
          <w:tcPr>
            <w:tcW w:w="1020" w:type="dxa"/>
            <w:vAlign w:val="bottom"/>
            <w:tcBorders>
              <w:bottom w:val="single" w:sz="8" w:color="A7A9AC"/>
            </w:tcBorders>
          </w:tcPr>
          <w:p>
            <w:pPr>
              <w:spacing w:after="0"/>
              <w:rPr>
                <w:sz w:val="3"/>
                <w:szCs w:val="3"/>
                <w:color w:val="auto"/>
              </w:rPr>
            </w:pPr>
          </w:p>
        </w:tc>
        <w:tc>
          <w:tcPr>
            <w:tcW w:w="320" w:type="dxa"/>
            <w:vAlign w:val="bottom"/>
            <w:tcBorders>
              <w:bottom w:val="single" w:sz="8" w:color="A7A9AC"/>
            </w:tcBorders>
          </w:tcPr>
          <w:p>
            <w:pPr>
              <w:spacing w:after="0"/>
              <w:rPr>
                <w:sz w:val="3"/>
                <w:szCs w:val="3"/>
                <w:color w:val="auto"/>
              </w:rPr>
            </w:pPr>
          </w:p>
        </w:tc>
        <w:tc>
          <w:tcPr>
            <w:tcW w:w="1020" w:type="dxa"/>
            <w:vAlign w:val="bottom"/>
            <w:tcBorders>
              <w:bottom w:val="single" w:sz="8" w:color="A7A9AC"/>
            </w:tcBorders>
          </w:tcPr>
          <w:p>
            <w:pPr>
              <w:spacing w:after="0"/>
              <w:rPr>
                <w:sz w:val="3"/>
                <w:szCs w:val="3"/>
                <w:color w:val="auto"/>
              </w:rPr>
            </w:pPr>
          </w:p>
        </w:tc>
        <w:tc>
          <w:tcPr>
            <w:tcW w:w="340" w:type="dxa"/>
            <w:vAlign w:val="bottom"/>
            <w:tcBorders>
              <w:bottom w:val="single" w:sz="8" w:color="A7A9AC"/>
            </w:tcBorders>
          </w:tcPr>
          <w:p>
            <w:pPr>
              <w:spacing w:after="0"/>
              <w:rPr>
                <w:sz w:val="3"/>
                <w:szCs w:val="3"/>
                <w:color w:val="auto"/>
              </w:rPr>
            </w:pPr>
          </w:p>
        </w:tc>
        <w:tc>
          <w:tcPr>
            <w:tcW w:w="1020" w:type="dxa"/>
            <w:vAlign w:val="bottom"/>
            <w:tcBorders>
              <w:bottom w:val="single" w:sz="8" w:color="A7A9AC"/>
            </w:tcBorders>
          </w:tcPr>
          <w:p>
            <w:pPr>
              <w:spacing w:after="0"/>
              <w:rPr>
                <w:sz w:val="3"/>
                <w:szCs w:val="3"/>
                <w:color w:val="auto"/>
              </w:rPr>
            </w:pPr>
          </w:p>
        </w:tc>
        <w:tc>
          <w:tcPr>
            <w:tcW w:w="320" w:type="dxa"/>
            <w:vAlign w:val="bottom"/>
            <w:tcBorders>
              <w:bottom w:val="single" w:sz="8" w:color="A7A9AC"/>
            </w:tcBorders>
          </w:tcPr>
          <w:p>
            <w:pPr>
              <w:spacing w:after="0"/>
              <w:rPr>
                <w:sz w:val="3"/>
                <w:szCs w:val="3"/>
                <w:color w:val="auto"/>
              </w:rPr>
            </w:pPr>
          </w:p>
        </w:tc>
        <w:tc>
          <w:tcPr>
            <w:tcW w:w="980" w:type="dxa"/>
            <w:vAlign w:val="bottom"/>
            <w:tcBorders>
              <w:bottom w:val="single" w:sz="8" w:color="A7A9AC"/>
            </w:tcBorders>
          </w:tcPr>
          <w:p>
            <w:pPr>
              <w:spacing w:after="0"/>
              <w:rPr>
                <w:sz w:val="3"/>
                <w:szCs w:val="3"/>
                <w:color w:val="auto"/>
              </w:rPr>
            </w:pPr>
          </w:p>
        </w:tc>
      </w:tr>
      <w:tr>
        <w:trPr>
          <w:trHeight w:val="221"/>
        </w:trPr>
        <w:tc>
          <w:tcPr>
            <w:tcW w:w="4420" w:type="dxa"/>
            <w:vAlign w:val="bottom"/>
          </w:tcPr>
          <w:p>
            <w:pPr>
              <w:ind w:left="20"/>
              <w:spacing w:after="0"/>
              <w:rPr>
                <w:sz w:val="20"/>
                <w:szCs w:val="20"/>
                <w:color w:val="auto"/>
              </w:rPr>
            </w:pPr>
            <w:r>
              <w:rPr>
                <w:rFonts w:ascii="Arial" w:cs="Arial" w:eastAsia="Arial" w:hAnsi="Arial"/>
                <w:sz w:val="16"/>
                <w:szCs w:val="16"/>
                <w:color w:val="auto"/>
              </w:rPr>
              <w:t>NOPAT</w:t>
            </w:r>
          </w:p>
        </w:tc>
        <w:tc>
          <w:tcPr>
            <w:tcW w:w="4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61"/>
              <w:spacing w:after="0"/>
              <w:rPr>
                <w:sz w:val="20"/>
                <w:szCs w:val="20"/>
                <w:color w:val="auto"/>
              </w:rPr>
            </w:pPr>
            <w:r>
              <w:rPr>
                <w:rFonts w:ascii="Arial" w:cs="Arial" w:eastAsia="Arial" w:hAnsi="Arial"/>
                <w:sz w:val="16"/>
                <w:szCs w:val="16"/>
                <w:color w:val="auto"/>
              </w:rPr>
              <w:t>193.1</w:t>
            </w:r>
          </w:p>
        </w:tc>
        <w:tc>
          <w:tcPr>
            <w:tcW w:w="3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81"/>
              <w:spacing w:after="0"/>
              <w:rPr>
                <w:sz w:val="20"/>
                <w:szCs w:val="20"/>
                <w:color w:val="auto"/>
              </w:rPr>
            </w:pPr>
            <w:r>
              <w:rPr>
                <w:rFonts w:ascii="Arial" w:cs="Arial" w:eastAsia="Arial" w:hAnsi="Arial"/>
                <w:sz w:val="16"/>
                <w:szCs w:val="16"/>
                <w:color w:val="auto"/>
              </w:rPr>
              <w:t>201.3</w:t>
            </w:r>
          </w:p>
        </w:tc>
        <w:tc>
          <w:tcPr>
            <w:tcW w:w="3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61"/>
              <w:spacing w:after="0"/>
              <w:rPr>
                <w:sz w:val="20"/>
                <w:szCs w:val="20"/>
                <w:color w:val="auto"/>
              </w:rPr>
            </w:pPr>
            <w:r>
              <w:rPr>
                <w:rFonts w:ascii="Arial" w:cs="Arial" w:eastAsia="Arial" w:hAnsi="Arial"/>
                <w:sz w:val="16"/>
                <w:szCs w:val="16"/>
                <w:color w:val="auto"/>
              </w:rPr>
              <w:t>246.3</w:t>
            </w:r>
          </w:p>
        </w:tc>
        <w:tc>
          <w:tcPr>
            <w:tcW w:w="3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81"/>
              <w:spacing w:after="0"/>
              <w:rPr>
                <w:sz w:val="20"/>
                <w:szCs w:val="20"/>
                <w:color w:val="auto"/>
              </w:rPr>
            </w:pPr>
            <w:r>
              <w:rPr>
                <w:rFonts w:ascii="Arial" w:cs="Arial" w:eastAsia="Arial" w:hAnsi="Arial"/>
                <w:sz w:val="16"/>
                <w:szCs w:val="16"/>
                <w:color w:val="auto"/>
              </w:rPr>
              <w:t>218.0</w:t>
            </w:r>
          </w:p>
        </w:tc>
        <w:tc>
          <w:tcPr>
            <w:tcW w:w="3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21"/>
              <w:spacing w:after="0"/>
              <w:rPr>
                <w:sz w:val="20"/>
                <w:szCs w:val="20"/>
                <w:color w:val="auto"/>
              </w:rPr>
            </w:pPr>
            <w:r>
              <w:rPr>
                <w:rFonts w:ascii="Arial" w:cs="Arial" w:eastAsia="Arial" w:hAnsi="Arial"/>
                <w:sz w:val="16"/>
                <w:szCs w:val="16"/>
                <w:color w:val="auto"/>
              </w:rPr>
              <w:t>210.2</w:t>
            </w:r>
          </w:p>
        </w:tc>
      </w:tr>
      <w:tr>
        <w:trPr>
          <w:trHeight w:val="43"/>
        </w:trPr>
        <w:tc>
          <w:tcPr>
            <w:tcW w:w="4420" w:type="dxa"/>
            <w:vAlign w:val="bottom"/>
            <w:tcBorders>
              <w:bottom w:val="single" w:sz="8" w:color="A7A9AC"/>
            </w:tcBorders>
          </w:tcPr>
          <w:p>
            <w:pPr>
              <w:spacing w:after="0"/>
              <w:rPr>
                <w:sz w:val="3"/>
                <w:szCs w:val="3"/>
                <w:color w:val="auto"/>
              </w:rPr>
            </w:pPr>
          </w:p>
        </w:tc>
        <w:tc>
          <w:tcPr>
            <w:tcW w:w="400" w:type="dxa"/>
            <w:vAlign w:val="bottom"/>
            <w:tcBorders>
              <w:bottom w:val="single" w:sz="8" w:color="A7A9AC"/>
            </w:tcBorders>
          </w:tcPr>
          <w:p>
            <w:pPr>
              <w:spacing w:after="0"/>
              <w:rPr>
                <w:sz w:val="3"/>
                <w:szCs w:val="3"/>
                <w:color w:val="auto"/>
              </w:rPr>
            </w:pPr>
          </w:p>
        </w:tc>
        <w:tc>
          <w:tcPr>
            <w:tcW w:w="1060" w:type="dxa"/>
            <w:vAlign w:val="bottom"/>
            <w:tcBorders>
              <w:bottom w:val="single" w:sz="8" w:color="A7A9AC"/>
            </w:tcBorders>
          </w:tcPr>
          <w:p>
            <w:pPr>
              <w:spacing w:after="0"/>
              <w:rPr>
                <w:sz w:val="3"/>
                <w:szCs w:val="3"/>
                <w:color w:val="auto"/>
              </w:rPr>
            </w:pPr>
          </w:p>
        </w:tc>
        <w:tc>
          <w:tcPr>
            <w:tcW w:w="340" w:type="dxa"/>
            <w:vAlign w:val="bottom"/>
            <w:tcBorders>
              <w:bottom w:val="single" w:sz="8" w:color="A7A9AC"/>
            </w:tcBorders>
          </w:tcPr>
          <w:p>
            <w:pPr>
              <w:spacing w:after="0"/>
              <w:rPr>
                <w:sz w:val="3"/>
                <w:szCs w:val="3"/>
                <w:color w:val="auto"/>
              </w:rPr>
            </w:pPr>
          </w:p>
        </w:tc>
        <w:tc>
          <w:tcPr>
            <w:tcW w:w="1020" w:type="dxa"/>
            <w:vAlign w:val="bottom"/>
            <w:tcBorders>
              <w:bottom w:val="single" w:sz="8" w:color="A7A9AC"/>
            </w:tcBorders>
          </w:tcPr>
          <w:p>
            <w:pPr>
              <w:spacing w:after="0"/>
              <w:rPr>
                <w:sz w:val="3"/>
                <w:szCs w:val="3"/>
                <w:color w:val="auto"/>
              </w:rPr>
            </w:pPr>
          </w:p>
        </w:tc>
        <w:tc>
          <w:tcPr>
            <w:tcW w:w="320" w:type="dxa"/>
            <w:vAlign w:val="bottom"/>
            <w:tcBorders>
              <w:bottom w:val="single" w:sz="8" w:color="A7A9AC"/>
            </w:tcBorders>
          </w:tcPr>
          <w:p>
            <w:pPr>
              <w:spacing w:after="0"/>
              <w:rPr>
                <w:sz w:val="3"/>
                <w:szCs w:val="3"/>
                <w:color w:val="auto"/>
              </w:rPr>
            </w:pPr>
          </w:p>
        </w:tc>
        <w:tc>
          <w:tcPr>
            <w:tcW w:w="1020" w:type="dxa"/>
            <w:vAlign w:val="bottom"/>
            <w:tcBorders>
              <w:bottom w:val="single" w:sz="8" w:color="A7A9AC"/>
            </w:tcBorders>
          </w:tcPr>
          <w:p>
            <w:pPr>
              <w:spacing w:after="0"/>
              <w:rPr>
                <w:sz w:val="3"/>
                <w:szCs w:val="3"/>
                <w:color w:val="auto"/>
              </w:rPr>
            </w:pPr>
          </w:p>
        </w:tc>
        <w:tc>
          <w:tcPr>
            <w:tcW w:w="340" w:type="dxa"/>
            <w:vAlign w:val="bottom"/>
            <w:tcBorders>
              <w:bottom w:val="single" w:sz="8" w:color="A7A9AC"/>
            </w:tcBorders>
          </w:tcPr>
          <w:p>
            <w:pPr>
              <w:spacing w:after="0"/>
              <w:rPr>
                <w:sz w:val="3"/>
                <w:szCs w:val="3"/>
                <w:color w:val="auto"/>
              </w:rPr>
            </w:pPr>
          </w:p>
        </w:tc>
        <w:tc>
          <w:tcPr>
            <w:tcW w:w="1020" w:type="dxa"/>
            <w:vAlign w:val="bottom"/>
            <w:tcBorders>
              <w:bottom w:val="single" w:sz="8" w:color="A7A9AC"/>
            </w:tcBorders>
          </w:tcPr>
          <w:p>
            <w:pPr>
              <w:spacing w:after="0"/>
              <w:rPr>
                <w:sz w:val="3"/>
                <w:szCs w:val="3"/>
                <w:color w:val="auto"/>
              </w:rPr>
            </w:pPr>
          </w:p>
        </w:tc>
        <w:tc>
          <w:tcPr>
            <w:tcW w:w="320" w:type="dxa"/>
            <w:vAlign w:val="bottom"/>
            <w:tcBorders>
              <w:bottom w:val="single" w:sz="8" w:color="A7A9AC"/>
            </w:tcBorders>
          </w:tcPr>
          <w:p>
            <w:pPr>
              <w:spacing w:after="0"/>
              <w:rPr>
                <w:sz w:val="3"/>
                <w:szCs w:val="3"/>
                <w:color w:val="auto"/>
              </w:rPr>
            </w:pPr>
          </w:p>
        </w:tc>
        <w:tc>
          <w:tcPr>
            <w:tcW w:w="980" w:type="dxa"/>
            <w:vAlign w:val="bottom"/>
            <w:tcBorders>
              <w:bottom w:val="single" w:sz="8" w:color="A7A9AC"/>
            </w:tcBorders>
          </w:tcPr>
          <w:p>
            <w:pPr>
              <w:spacing w:after="0"/>
              <w:rPr>
                <w:sz w:val="3"/>
                <w:szCs w:val="3"/>
                <w:color w:val="auto"/>
              </w:rPr>
            </w:pPr>
          </w:p>
        </w:tc>
      </w:tr>
      <w:tr>
        <w:trPr>
          <w:trHeight w:val="221"/>
        </w:trPr>
        <w:tc>
          <w:tcPr>
            <w:tcW w:w="4420" w:type="dxa"/>
            <w:vAlign w:val="bottom"/>
          </w:tcPr>
          <w:p>
            <w:pPr>
              <w:ind w:left="20"/>
              <w:spacing w:after="0"/>
              <w:rPr>
                <w:sz w:val="20"/>
                <w:szCs w:val="20"/>
                <w:color w:val="auto"/>
              </w:rPr>
            </w:pPr>
            <w:r>
              <w:rPr>
                <w:rFonts w:ascii="Arial" w:cs="Arial" w:eastAsia="Arial" w:hAnsi="Arial"/>
                <w:sz w:val="16"/>
                <w:szCs w:val="16"/>
                <w:color w:val="auto"/>
              </w:rPr>
              <w:t>Depreciation</w:t>
            </w:r>
          </w:p>
        </w:tc>
        <w:tc>
          <w:tcPr>
            <w:tcW w:w="400" w:type="dxa"/>
            <w:vAlign w:val="bottom"/>
          </w:tcPr>
          <w:p>
            <w:pPr>
              <w:spacing w:after="0"/>
              <w:rPr>
                <w:sz w:val="19"/>
                <w:szCs w:val="19"/>
                <w:color w:val="auto"/>
              </w:rPr>
            </w:pPr>
          </w:p>
        </w:tc>
        <w:tc>
          <w:tcPr>
            <w:tcW w:w="1060" w:type="dxa"/>
            <w:vAlign w:val="bottom"/>
          </w:tcPr>
          <w:p>
            <w:pPr>
              <w:jc w:val="right"/>
              <w:ind w:right="161"/>
              <w:spacing w:after="0"/>
              <w:rPr>
                <w:sz w:val="20"/>
                <w:szCs w:val="20"/>
                <w:color w:val="auto"/>
              </w:rPr>
            </w:pPr>
            <w:r>
              <w:rPr>
                <w:rFonts w:ascii="Arial" w:cs="Arial" w:eastAsia="Arial" w:hAnsi="Arial"/>
                <w:sz w:val="16"/>
                <w:szCs w:val="16"/>
                <w:color w:val="auto"/>
              </w:rPr>
              <w:t>15.0</w:t>
            </w:r>
          </w:p>
        </w:tc>
        <w:tc>
          <w:tcPr>
            <w:tcW w:w="340" w:type="dxa"/>
            <w:vAlign w:val="bottom"/>
          </w:tcPr>
          <w:p>
            <w:pPr>
              <w:spacing w:after="0"/>
              <w:rPr>
                <w:sz w:val="19"/>
                <w:szCs w:val="19"/>
                <w:color w:val="auto"/>
              </w:rPr>
            </w:pPr>
          </w:p>
        </w:tc>
        <w:tc>
          <w:tcPr>
            <w:tcW w:w="1020" w:type="dxa"/>
            <w:vAlign w:val="bottom"/>
          </w:tcPr>
          <w:p>
            <w:pPr>
              <w:jc w:val="right"/>
              <w:ind w:right="181"/>
              <w:spacing w:after="0"/>
              <w:rPr>
                <w:sz w:val="20"/>
                <w:szCs w:val="20"/>
                <w:color w:val="auto"/>
              </w:rPr>
            </w:pPr>
            <w:r>
              <w:rPr>
                <w:rFonts w:ascii="Arial" w:cs="Arial" w:eastAsia="Arial" w:hAnsi="Arial"/>
                <w:sz w:val="16"/>
                <w:szCs w:val="16"/>
                <w:color w:val="auto"/>
              </w:rPr>
              <w:t>14.8</w:t>
            </w:r>
          </w:p>
        </w:tc>
        <w:tc>
          <w:tcPr>
            <w:tcW w:w="320" w:type="dxa"/>
            <w:vAlign w:val="bottom"/>
          </w:tcPr>
          <w:p>
            <w:pPr>
              <w:spacing w:after="0"/>
              <w:rPr>
                <w:sz w:val="19"/>
                <w:szCs w:val="19"/>
                <w:color w:val="auto"/>
              </w:rPr>
            </w:pPr>
          </w:p>
        </w:tc>
        <w:tc>
          <w:tcPr>
            <w:tcW w:w="1020" w:type="dxa"/>
            <w:vAlign w:val="bottom"/>
          </w:tcPr>
          <w:p>
            <w:pPr>
              <w:jc w:val="right"/>
              <w:ind w:right="161"/>
              <w:spacing w:after="0"/>
              <w:rPr>
                <w:sz w:val="20"/>
                <w:szCs w:val="20"/>
                <w:color w:val="auto"/>
              </w:rPr>
            </w:pPr>
            <w:r>
              <w:rPr>
                <w:rFonts w:ascii="Arial" w:cs="Arial" w:eastAsia="Arial" w:hAnsi="Arial"/>
                <w:sz w:val="16"/>
                <w:szCs w:val="16"/>
                <w:color w:val="auto"/>
              </w:rPr>
              <w:t>14.6</w:t>
            </w:r>
          </w:p>
        </w:tc>
        <w:tc>
          <w:tcPr>
            <w:tcW w:w="340" w:type="dxa"/>
            <w:vAlign w:val="bottom"/>
          </w:tcPr>
          <w:p>
            <w:pPr>
              <w:spacing w:after="0"/>
              <w:rPr>
                <w:sz w:val="19"/>
                <w:szCs w:val="19"/>
                <w:color w:val="auto"/>
              </w:rPr>
            </w:pPr>
          </w:p>
        </w:tc>
        <w:tc>
          <w:tcPr>
            <w:tcW w:w="1020" w:type="dxa"/>
            <w:vAlign w:val="bottom"/>
          </w:tcPr>
          <w:p>
            <w:pPr>
              <w:jc w:val="right"/>
              <w:ind w:right="181"/>
              <w:spacing w:after="0"/>
              <w:rPr>
                <w:sz w:val="20"/>
                <w:szCs w:val="20"/>
                <w:color w:val="auto"/>
              </w:rPr>
            </w:pPr>
            <w:r>
              <w:rPr>
                <w:rFonts w:ascii="Arial" w:cs="Arial" w:eastAsia="Arial" w:hAnsi="Arial"/>
                <w:sz w:val="16"/>
                <w:szCs w:val="16"/>
                <w:color w:val="auto"/>
              </w:rPr>
              <w:t>15.3</w:t>
            </w:r>
          </w:p>
        </w:tc>
        <w:tc>
          <w:tcPr>
            <w:tcW w:w="320" w:type="dxa"/>
            <w:vAlign w:val="bottom"/>
          </w:tcPr>
          <w:p>
            <w:pPr>
              <w:spacing w:after="0"/>
              <w:rPr>
                <w:sz w:val="19"/>
                <w:szCs w:val="19"/>
                <w:color w:val="auto"/>
              </w:rPr>
            </w:pPr>
          </w:p>
        </w:tc>
        <w:tc>
          <w:tcPr>
            <w:tcW w:w="980" w:type="dxa"/>
            <w:vAlign w:val="bottom"/>
          </w:tcPr>
          <w:p>
            <w:pPr>
              <w:jc w:val="right"/>
              <w:ind w:right="121"/>
              <w:spacing w:after="0"/>
              <w:rPr>
                <w:sz w:val="20"/>
                <w:szCs w:val="20"/>
                <w:color w:val="auto"/>
              </w:rPr>
            </w:pPr>
            <w:r>
              <w:rPr>
                <w:rFonts w:ascii="Arial" w:cs="Arial" w:eastAsia="Arial" w:hAnsi="Arial"/>
                <w:sz w:val="16"/>
                <w:szCs w:val="16"/>
                <w:color w:val="auto"/>
              </w:rPr>
              <w:t>14.9</w:t>
            </w:r>
          </w:p>
        </w:tc>
      </w:tr>
      <w:tr>
        <w:trPr>
          <w:trHeight w:val="43"/>
        </w:trPr>
        <w:tc>
          <w:tcPr>
            <w:tcW w:w="4420" w:type="dxa"/>
            <w:vAlign w:val="bottom"/>
            <w:tcBorders>
              <w:bottom w:val="single" w:sz="8" w:color="A7A9AC"/>
            </w:tcBorders>
          </w:tcPr>
          <w:p>
            <w:pPr>
              <w:spacing w:after="0"/>
              <w:rPr>
                <w:sz w:val="3"/>
                <w:szCs w:val="3"/>
                <w:color w:val="auto"/>
              </w:rPr>
            </w:pPr>
          </w:p>
        </w:tc>
        <w:tc>
          <w:tcPr>
            <w:tcW w:w="400" w:type="dxa"/>
            <w:vAlign w:val="bottom"/>
            <w:tcBorders>
              <w:bottom w:val="single" w:sz="8" w:color="A7A9AC"/>
            </w:tcBorders>
          </w:tcPr>
          <w:p>
            <w:pPr>
              <w:spacing w:after="0"/>
              <w:rPr>
                <w:sz w:val="3"/>
                <w:szCs w:val="3"/>
                <w:color w:val="auto"/>
              </w:rPr>
            </w:pPr>
          </w:p>
        </w:tc>
        <w:tc>
          <w:tcPr>
            <w:tcW w:w="1060" w:type="dxa"/>
            <w:vAlign w:val="bottom"/>
            <w:tcBorders>
              <w:bottom w:val="single" w:sz="8" w:color="A7A9AC"/>
            </w:tcBorders>
          </w:tcPr>
          <w:p>
            <w:pPr>
              <w:spacing w:after="0"/>
              <w:rPr>
                <w:sz w:val="3"/>
                <w:szCs w:val="3"/>
                <w:color w:val="auto"/>
              </w:rPr>
            </w:pPr>
          </w:p>
        </w:tc>
        <w:tc>
          <w:tcPr>
            <w:tcW w:w="340" w:type="dxa"/>
            <w:vAlign w:val="bottom"/>
            <w:tcBorders>
              <w:bottom w:val="single" w:sz="8" w:color="A7A9AC"/>
            </w:tcBorders>
          </w:tcPr>
          <w:p>
            <w:pPr>
              <w:spacing w:after="0"/>
              <w:rPr>
                <w:sz w:val="3"/>
                <w:szCs w:val="3"/>
                <w:color w:val="auto"/>
              </w:rPr>
            </w:pPr>
          </w:p>
        </w:tc>
        <w:tc>
          <w:tcPr>
            <w:tcW w:w="1020" w:type="dxa"/>
            <w:vAlign w:val="bottom"/>
            <w:tcBorders>
              <w:bottom w:val="single" w:sz="8" w:color="A7A9AC"/>
            </w:tcBorders>
          </w:tcPr>
          <w:p>
            <w:pPr>
              <w:spacing w:after="0"/>
              <w:rPr>
                <w:sz w:val="3"/>
                <w:szCs w:val="3"/>
                <w:color w:val="auto"/>
              </w:rPr>
            </w:pPr>
          </w:p>
        </w:tc>
        <w:tc>
          <w:tcPr>
            <w:tcW w:w="320" w:type="dxa"/>
            <w:vAlign w:val="bottom"/>
            <w:tcBorders>
              <w:bottom w:val="single" w:sz="8" w:color="A7A9AC"/>
            </w:tcBorders>
          </w:tcPr>
          <w:p>
            <w:pPr>
              <w:spacing w:after="0"/>
              <w:rPr>
                <w:sz w:val="3"/>
                <w:szCs w:val="3"/>
                <w:color w:val="auto"/>
              </w:rPr>
            </w:pPr>
          </w:p>
        </w:tc>
        <w:tc>
          <w:tcPr>
            <w:tcW w:w="1020" w:type="dxa"/>
            <w:vAlign w:val="bottom"/>
            <w:tcBorders>
              <w:bottom w:val="single" w:sz="8" w:color="A7A9AC"/>
            </w:tcBorders>
          </w:tcPr>
          <w:p>
            <w:pPr>
              <w:spacing w:after="0"/>
              <w:rPr>
                <w:sz w:val="3"/>
                <w:szCs w:val="3"/>
                <w:color w:val="auto"/>
              </w:rPr>
            </w:pPr>
          </w:p>
        </w:tc>
        <w:tc>
          <w:tcPr>
            <w:tcW w:w="340" w:type="dxa"/>
            <w:vAlign w:val="bottom"/>
            <w:tcBorders>
              <w:bottom w:val="single" w:sz="8" w:color="A7A9AC"/>
            </w:tcBorders>
          </w:tcPr>
          <w:p>
            <w:pPr>
              <w:spacing w:after="0"/>
              <w:rPr>
                <w:sz w:val="3"/>
                <w:szCs w:val="3"/>
                <w:color w:val="auto"/>
              </w:rPr>
            </w:pPr>
          </w:p>
        </w:tc>
        <w:tc>
          <w:tcPr>
            <w:tcW w:w="1020" w:type="dxa"/>
            <w:vAlign w:val="bottom"/>
            <w:tcBorders>
              <w:bottom w:val="single" w:sz="8" w:color="A7A9AC"/>
            </w:tcBorders>
          </w:tcPr>
          <w:p>
            <w:pPr>
              <w:spacing w:after="0"/>
              <w:rPr>
                <w:sz w:val="3"/>
                <w:szCs w:val="3"/>
                <w:color w:val="auto"/>
              </w:rPr>
            </w:pPr>
          </w:p>
        </w:tc>
        <w:tc>
          <w:tcPr>
            <w:tcW w:w="320" w:type="dxa"/>
            <w:vAlign w:val="bottom"/>
            <w:tcBorders>
              <w:bottom w:val="single" w:sz="8" w:color="A7A9AC"/>
            </w:tcBorders>
          </w:tcPr>
          <w:p>
            <w:pPr>
              <w:spacing w:after="0"/>
              <w:rPr>
                <w:sz w:val="3"/>
                <w:szCs w:val="3"/>
                <w:color w:val="auto"/>
              </w:rPr>
            </w:pPr>
          </w:p>
        </w:tc>
        <w:tc>
          <w:tcPr>
            <w:tcW w:w="980" w:type="dxa"/>
            <w:vAlign w:val="bottom"/>
            <w:tcBorders>
              <w:bottom w:val="single" w:sz="8" w:color="A7A9AC"/>
            </w:tcBorders>
          </w:tcPr>
          <w:p>
            <w:pPr>
              <w:spacing w:after="0"/>
              <w:rPr>
                <w:sz w:val="3"/>
                <w:szCs w:val="3"/>
                <w:color w:val="auto"/>
              </w:rPr>
            </w:pPr>
          </w:p>
        </w:tc>
      </w:tr>
      <w:tr>
        <w:trPr>
          <w:trHeight w:val="221"/>
        </w:trPr>
        <w:tc>
          <w:tcPr>
            <w:tcW w:w="4420" w:type="dxa"/>
            <w:vAlign w:val="bottom"/>
          </w:tcPr>
          <w:p>
            <w:pPr>
              <w:ind w:left="20"/>
              <w:spacing w:after="0"/>
              <w:rPr>
                <w:sz w:val="20"/>
                <w:szCs w:val="20"/>
                <w:color w:val="auto"/>
              </w:rPr>
            </w:pPr>
            <w:r>
              <w:rPr>
                <w:rFonts w:ascii="Arial" w:cs="Arial" w:eastAsia="Arial" w:hAnsi="Arial"/>
                <w:sz w:val="16"/>
                <w:szCs w:val="16"/>
                <w:color w:val="auto"/>
              </w:rPr>
              <w:t>Capital expenditures ("Cap Ex")</w:t>
            </w:r>
          </w:p>
        </w:tc>
        <w:tc>
          <w:tcPr>
            <w:tcW w:w="400" w:type="dxa"/>
            <w:vAlign w:val="bottom"/>
          </w:tcPr>
          <w:p>
            <w:pPr>
              <w:spacing w:after="0"/>
              <w:rPr>
                <w:sz w:val="19"/>
                <w:szCs w:val="19"/>
                <w:color w:val="auto"/>
              </w:rPr>
            </w:pPr>
          </w:p>
        </w:tc>
        <w:tc>
          <w:tcPr>
            <w:tcW w:w="1060" w:type="dxa"/>
            <w:vAlign w:val="bottom"/>
          </w:tcPr>
          <w:p>
            <w:pPr>
              <w:jc w:val="right"/>
              <w:ind w:right="121"/>
              <w:spacing w:after="0"/>
              <w:rPr>
                <w:sz w:val="20"/>
                <w:szCs w:val="20"/>
                <w:color w:val="auto"/>
              </w:rPr>
            </w:pPr>
            <w:r>
              <w:rPr>
                <w:rFonts w:ascii="Arial" w:cs="Arial" w:eastAsia="Arial" w:hAnsi="Arial"/>
                <w:sz w:val="16"/>
                <w:szCs w:val="16"/>
                <w:color w:val="auto"/>
              </w:rPr>
              <w:t>(22.7)</w:t>
            </w:r>
          </w:p>
        </w:tc>
        <w:tc>
          <w:tcPr>
            <w:tcW w:w="340" w:type="dxa"/>
            <w:vAlign w:val="bottom"/>
          </w:tcPr>
          <w:p>
            <w:pPr>
              <w:spacing w:after="0"/>
              <w:rPr>
                <w:sz w:val="19"/>
                <w:szCs w:val="19"/>
                <w:color w:val="auto"/>
              </w:rPr>
            </w:pPr>
          </w:p>
        </w:tc>
        <w:tc>
          <w:tcPr>
            <w:tcW w:w="1020" w:type="dxa"/>
            <w:vAlign w:val="bottom"/>
          </w:tcPr>
          <w:p>
            <w:pPr>
              <w:jc w:val="right"/>
              <w:ind w:right="141"/>
              <w:spacing w:after="0"/>
              <w:rPr>
                <w:sz w:val="20"/>
                <w:szCs w:val="20"/>
                <w:color w:val="auto"/>
              </w:rPr>
            </w:pPr>
            <w:r>
              <w:rPr>
                <w:rFonts w:ascii="Arial" w:cs="Arial" w:eastAsia="Arial" w:hAnsi="Arial"/>
                <w:sz w:val="16"/>
                <w:szCs w:val="16"/>
                <w:color w:val="auto"/>
              </w:rPr>
              <w:t>(16.8)</w:t>
            </w:r>
          </w:p>
        </w:tc>
        <w:tc>
          <w:tcPr>
            <w:tcW w:w="320" w:type="dxa"/>
            <w:vAlign w:val="bottom"/>
          </w:tcPr>
          <w:p>
            <w:pPr>
              <w:spacing w:after="0"/>
              <w:rPr>
                <w:sz w:val="19"/>
                <w:szCs w:val="19"/>
                <w:color w:val="auto"/>
              </w:rPr>
            </w:pPr>
          </w:p>
        </w:tc>
        <w:tc>
          <w:tcPr>
            <w:tcW w:w="1020" w:type="dxa"/>
            <w:vAlign w:val="bottom"/>
          </w:tcPr>
          <w:p>
            <w:pPr>
              <w:jc w:val="right"/>
              <w:ind w:right="121"/>
              <w:spacing w:after="0"/>
              <w:rPr>
                <w:sz w:val="20"/>
                <w:szCs w:val="20"/>
                <w:color w:val="auto"/>
              </w:rPr>
            </w:pPr>
            <w:r>
              <w:rPr>
                <w:rFonts w:ascii="Arial" w:cs="Arial" w:eastAsia="Arial" w:hAnsi="Arial"/>
                <w:sz w:val="16"/>
                <w:szCs w:val="16"/>
                <w:color w:val="auto"/>
              </w:rPr>
              <w:t>(10.9)</w:t>
            </w:r>
          </w:p>
        </w:tc>
        <w:tc>
          <w:tcPr>
            <w:tcW w:w="340" w:type="dxa"/>
            <w:vAlign w:val="bottom"/>
          </w:tcPr>
          <w:p>
            <w:pPr>
              <w:spacing w:after="0"/>
              <w:rPr>
                <w:sz w:val="19"/>
                <w:szCs w:val="19"/>
                <w:color w:val="auto"/>
              </w:rPr>
            </w:pPr>
          </w:p>
        </w:tc>
        <w:tc>
          <w:tcPr>
            <w:tcW w:w="1020" w:type="dxa"/>
            <w:vAlign w:val="bottom"/>
          </w:tcPr>
          <w:p>
            <w:pPr>
              <w:jc w:val="right"/>
              <w:ind w:right="141"/>
              <w:spacing w:after="0"/>
              <w:rPr>
                <w:sz w:val="20"/>
                <w:szCs w:val="20"/>
                <w:color w:val="auto"/>
              </w:rPr>
            </w:pPr>
            <w:r>
              <w:rPr>
                <w:rFonts w:ascii="Arial" w:cs="Arial" w:eastAsia="Arial" w:hAnsi="Arial"/>
                <w:sz w:val="16"/>
                <w:szCs w:val="16"/>
                <w:color w:val="auto"/>
              </w:rPr>
              <w:t>(17.4)</w:t>
            </w:r>
          </w:p>
        </w:tc>
        <w:tc>
          <w:tcPr>
            <w:tcW w:w="320" w:type="dxa"/>
            <w:vAlign w:val="bottom"/>
          </w:tcPr>
          <w:p>
            <w:pPr>
              <w:spacing w:after="0"/>
              <w:rPr>
                <w:sz w:val="19"/>
                <w:szCs w:val="19"/>
                <w:color w:val="auto"/>
              </w:rPr>
            </w:pPr>
          </w:p>
        </w:tc>
        <w:tc>
          <w:tcPr>
            <w:tcW w:w="980" w:type="dxa"/>
            <w:vAlign w:val="bottom"/>
          </w:tcPr>
          <w:p>
            <w:pPr>
              <w:jc w:val="right"/>
              <w:ind w:right="81"/>
              <w:spacing w:after="0"/>
              <w:rPr>
                <w:sz w:val="20"/>
                <w:szCs w:val="20"/>
                <w:color w:val="auto"/>
              </w:rPr>
            </w:pPr>
            <w:r>
              <w:rPr>
                <w:rFonts w:ascii="Arial" w:cs="Arial" w:eastAsia="Arial" w:hAnsi="Arial"/>
                <w:sz w:val="16"/>
                <w:szCs w:val="16"/>
                <w:color w:val="auto"/>
              </w:rPr>
              <w:t>(23.7)</w:t>
            </w:r>
          </w:p>
        </w:tc>
      </w:tr>
      <w:tr>
        <w:trPr>
          <w:trHeight w:val="43"/>
        </w:trPr>
        <w:tc>
          <w:tcPr>
            <w:tcW w:w="4420" w:type="dxa"/>
            <w:vAlign w:val="bottom"/>
            <w:tcBorders>
              <w:bottom w:val="single" w:sz="8" w:color="0C3471"/>
            </w:tcBorders>
          </w:tcPr>
          <w:p>
            <w:pPr>
              <w:spacing w:after="0"/>
              <w:rPr>
                <w:sz w:val="3"/>
                <w:szCs w:val="3"/>
                <w:color w:val="auto"/>
              </w:rPr>
            </w:pPr>
          </w:p>
        </w:tc>
        <w:tc>
          <w:tcPr>
            <w:tcW w:w="400" w:type="dxa"/>
            <w:vAlign w:val="bottom"/>
            <w:tcBorders>
              <w:bottom w:val="single" w:sz="8" w:color="0C3471"/>
            </w:tcBorders>
          </w:tcPr>
          <w:p>
            <w:pPr>
              <w:spacing w:after="0"/>
              <w:rPr>
                <w:sz w:val="3"/>
                <w:szCs w:val="3"/>
                <w:color w:val="auto"/>
              </w:rPr>
            </w:pPr>
          </w:p>
        </w:tc>
        <w:tc>
          <w:tcPr>
            <w:tcW w:w="1060" w:type="dxa"/>
            <w:vAlign w:val="bottom"/>
            <w:tcBorders>
              <w:bottom w:val="single" w:sz="8" w:color="0C3471"/>
            </w:tcBorders>
          </w:tcPr>
          <w:p>
            <w:pPr>
              <w:spacing w:after="0"/>
              <w:rPr>
                <w:sz w:val="3"/>
                <w:szCs w:val="3"/>
                <w:color w:val="auto"/>
              </w:rPr>
            </w:pPr>
          </w:p>
        </w:tc>
        <w:tc>
          <w:tcPr>
            <w:tcW w:w="340" w:type="dxa"/>
            <w:vAlign w:val="bottom"/>
            <w:tcBorders>
              <w:bottom w:val="single" w:sz="8" w:color="0C3471"/>
            </w:tcBorders>
          </w:tcPr>
          <w:p>
            <w:pPr>
              <w:spacing w:after="0"/>
              <w:rPr>
                <w:sz w:val="3"/>
                <w:szCs w:val="3"/>
                <w:color w:val="auto"/>
              </w:rPr>
            </w:pPr>
          </w:p>
        </w:tc>
        <w:tc>
          <w:tcPr>
            <w:tcW w:w="1020" w:type="dxa"/>
            <w:vAlign w:val="bottom"/>
            <w:tcBorders>
              <w:bottom w:val="single" w:sz="8" w:color="0C3471"/>
            </w:tcBorders>
          </w:tcPr>
          <w:p>
            <w:pPr>
              <w:spacing w:after="0"/>
              <w:rPr>
                <w:sz w:val="3"/>
                <w:szCs w:val="3"/>
                <w:color w:val="auto"/>
              </w:rPr>
            </w:pPr>
          </w:p>
        </w:tc>
        <w:tc>
          <w:tcPr>
            <w:tcW w:w="320" w:type="dxa"/>
            <w:vAlign w:val="bottom"/>
            <w:tcBorders>
              <w:bottom w:val="single" w:sz="8" w:color="0C3471"/>
            </w:tcBorders>
          </w:tcPr>
          <w:p>
            <w:pPr>
              <w:spacing w:after="0"/>
              <w:rPr>
                <w:sz w:val="3"/>
                <w:szCs w:val="3"/>
                <w:color w:val="auto"/>
              </w:rPr>
            </w:pPr>
          </w:p>
        </w:tc>
        <w:tc>
          <w:tcPr>
            <w:tcW w:w="1020" w:type="dxa"/>
            <w:vAlign w:val="bottom"/>
            <w:tcBorders>
              <w:bottom w:val="single" w:sz="8" w:color="0C3471"/>
            </w:tcBorders>
          </w:tcPr>
          <w:p>
            <w:pPr>
              <w:spacing w:after="0"/>
              <w:rPr>
                <w:sz w:val="3"/>
                <w:szCs w:val="3"/>
                <w:color w:val="auto"/>
              </w:rPr>
            </w:pPr>
          </w:p>
        </w:tc>
        <w:tc>
          <w:tcPr>
            <w:tcW w:w="340" w:type="dxa"/>
            <w:vAlign w:val="bottom"/>
            <w:tcBorders>
              <w:bottom w:val="single" w:sz="8" w:color="0C3471"/>
            </w:tcBorders>
          </w:tcPr>
          <w:p>
            <w:pPr>
              <w:spacing w:after="0"/>
              <w:rPr>
                <w:sz w:val="3"/>
                <w:szCs w:val="3"/>
                <w:color w:val="auto"/>
              </w:rPr>
            </w:pPr>
          </w:p>
        </w:tc>
        <w:tc>
          <w:tcPr>
            <w:tcW w:w="1020" w:type="dxa"/>
            <w:vAlign w:val="bottom"/>
            <w:tcBorders>
              <w:bottom w:val="single" w:sz="8" w:color="0C3471"/>
            </w:tcBorders>
          </w:tcPr>
          <w:p>
            <w:pPr>
              <w:spacing w:after="0"/>
              <w:rPr>
                <w:sz w:val="3"/>
                <w:szCs w:val="3"/>
                <w:color w:val="auto"/>
              </w:rPr>
            </w:pPr>
          </w:p>
        </w:tc>
        <w:tc>
          <w:tcPr>
            <w:tcW w:w="320" w:type="dxa"/>
            <w:vAlign w:val="bottom"/>
            <w:tcBorders>
              <w:bottom w:val="single" w:sz="8" w:color="0C3471"/>
            </w:tcBorders>
          </w:tcPr>
          <w:p>
            <w:pPr>
              <w:spacing w:after="0"/>
              <w:rPr>
                <w:sz w:val="3"/>
                <w:szCs w:val="3"/>
                <w:color w:val="auto"/>
              </w:rPr>
            </w:pPr>
          </w:p>
        </w:tc>
        <w:tc>
          <w:tcPr>
            <w:tcW w:w="980" w:type="dxa"/>
            <w:vAlign w:val="bottom"/>
            <w:tcBorders>
              <w:bottom w:val="single" w:sz="8" w:color="0C3471"/>
            </w:tcBorders>
          </w:tcPr>
          <w:p>
            <w:pPr>
              <w:spacing w:after="0"/>
              <w:rPr>
                <w:sz w:val="3"/>
                <w:szCs w:val="3"/>
                <w:color w:val="auto"/>
              </w:rPr>
            </w:pPr>
          </w:p>
        </w:tc>
      </w:tr>
      <w:tr>
        <w:trPr>
          <w:trHeight w:val="221"/>
        </w:trPr>
        <w:tc>
          <w:tcPr>
            <w:tcW w:w="4420" w:type="dxa"/>
            <w:vAlign w:val="bottom"/>
          </w:tcPr>
          <w:p>
            <w:pPr>
              <w:ind w:left="20"/>
              <w:spacing w:after="0"/>
              <w:rPr>
                <w:sz w:val="20"/>
                <w:szCs w:val="20"/>
                <w:color w:val="auto"/>
              </w:rPr>
            </w:pPr>
            <w:r>
              <w:rPr>
                <w:rFonts w:ascii="Arial" w:cs="Arial" w:eastAsia="Arial" w:hAnsi="Arial"/>
                <w:sz w:val="16"/>
                <w:szCs w:val="16"/>
                <w:color w:val="auto"/>
              </w:rPr>
              <w:t>Total NOPAT, Depreciation, and Cap Ex</w:t>
            </w:r>
          </w:p>
        </w:tc>
        <w:tc>
          <w:tcPr>
            <w:tcW w:w="4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61"/>
              <w:spacing w:after="0"/>
              <w:rPr>
                <w:sz w:val="20"/>
                <w:szCs w:val="20"/>
                <w:color w:val="auto"/>
              </w:rPr>
            </w:pPr>
            <w:r>
              <w:rPr>
                <w:rFonts w:ascii="Arial" w:cs="Arial" w:eastAsia="Arial" w:hAnsi="Arial"/>
                <w:sz w:val="16"/>
                <w:szCs w:val="16"/>
                <w:color w:val="auto"/>
              </w:rPr>
              <w:t>185.4</w:t>
            </w:r>
          </w:p>
        </w:tc>
        <w:tc>
          <w:tcPr>
            <w:tcW w:w="3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81"/>
              <w:spacing w:after="0"/>
              <w:rPr>
                <w:sz w:val="20"/>
                <w:szCs w:val="20"/>
                <w:color w:val="auto"/>
              </w:rPr>
            </w:pPr>
            <w:r>
              <w:rPr>
                <w:rFonts w:ascii="Arial" w:cs="Arial" w:eastAsia="Arial" w:hAnsi="Arial"/>
                <w:sz w:val="16"/>
                <w:szCs w:val="16"/>
                <w:color w:val="auto"/>
              </w:rPr>
              <w:t>199.3</w:t>
            </w:r>
          </w:p>
        </w:tc>
        <w:tc>
          <w:tcPr>
            <w:tcW w:w="3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61"/>
              <w:spacing w:after="0"/>
              <w:rPr>
                <w:sz w:val="20"/>
                <w:szCs w:val="20"/>
                <w:color w:val="auto"/>
              </w:rPr>
            </w:pPr>
            <w:r>
              <w:rPr>
                <w:rFonts w:ascii="Arial" w:cs="Arial" w:eastAsia="Arial" w:hAnsi="Arial"/>
                <w:sz w:val="16"/>
                <w:szCs w:val="16"/>
                <w:color w:val="auto"/>
              </w:rPr>
              <w:t>250.0</w:t>
            </w:r>
          </w:p>
        </w:tc>
        <w:tc>
          <w:tcPr>
            <w:tcW w:w="3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81"/>
              <w:spacing w:after="0"/>
              <w:rPr>
                <w:sz w:val="20"/>
                <w:szCs w:val="20"/>
                <w:color w:val="auto"/>
              </w:rPr>
            </w:pPr>
            <w:r>
              <w:rPr>
                <w:rFonts w:ascii="Arial" w:cs="Arial" w:eastAsia="Arial" w:hAnsi="Arial"/>
                <w:sz w:val="16"/>
                <w:szCs w:val="16"/>
                <w:color w:val="auto"/>
              </w:rPr>
              <w:t>215.9</w:t>
            </w:r>
          </w:p>
        </w:tc>
        <w:tc>
          <w:tcPr>
            <w:tcW w:w="3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21"/>
              <w:spacing w:after="0"/>
              <w:rPr>
                <w:sz w:val="20"/>
                <w:szCs w:val="20"/>
                <w:color w:val="auto"/>
              </w:rPr>
            </w:pPr>
            <w:r>
              <w:rPr>
                <w:rFonts w:ascii="Arial" w:cs="Arial" w:eastAsia="Arial" w:hAnsi="Arial"/>
                <w:sz w:val="16"/>
                <w:szCs w:val="16"/>
                <w:color w:val="auto"/>
              </w:rPr>
              <w:t>201.4</w:t>
            </w:r>
          </w:p>
        </w:tc>
      </w:tr>
      <w:tr>
        <w:trPr>
          <w:trHeight w:val="43"/>
        </w:trPr>
        <w:tc>
          <w:tcPr>
            <w:tcW w:w="4420" w:type="dxa"/>
            <w:vAlign w:val="bottom"/>
            <w:tcBorders>
              <w:bottom w:val="single" w:sz="8" w:color="0C3471"/>
            </w:tcBorders>
          </w:tcPr>
          <w:p>
            <w:pPr>
              <w:spacing w:after="0"/>
              <w:rPr>
                <w:sz w:val="3"/>
                <w:szCs w:val="3"/>
                <w:color w:val="auto"/>
              </w:rPr>
            </w:pPr>
          </w:p>
        </w:tc>
        <w:tc>
          <w:tcPr>
            <w:tcW w:w="400" w:type="dxa"/>
            <w:vAlign w:val="bottom"/>
            <w:tcBorders>
              <w:bottom w:val="single" w:sz="8" w:color="0C3471"/>
            </w:tcBorders>
          </w:tcPr>
          <w:p>
            <w:pPr>
              <w:spacing w:after="0"/>
              <w:rPr>
                <w:sz w:val="3"/>
                <w:szCs w:val="3"/>
                <w:color w:val="auto"/>
              </w:rPr>
            </w:pPr>
          </w:p>
        </w:tc>
        <w:tc>
          <w:tcPr>
            <w:tcW w:w="1060" w:type="dxa"/>
            <w:vAlign w:val="bottom"/>
            <w:tcBorders>
              <w:bottom w:val="single" w:sz="8" w:color="0C3471"/>
            </w:tcBorders>
          </w:tcPr>
          <w:p>
            <w:pPr>
              <w:spacing w:after="0"/>
              <w:rPr>
                <w:sz w:val="3"/>
                <w:szCs w:val="3"/>
                <w:color w:val="auto"/>
              </w:rPr>
            </w:pPr>
          </w:p>
        </w:tc>
        <w:tc>
          <w:tcPr>
            <w:tcW w:w="340" w:type="dxa"/>
            <w:vAlign w:val="bottom"/>
            <w:tcBorders>
              <w:bottom w:val="single" w:sz="8" w:color="0C3471"/>
            </w:tcBorders>
          </w:tcPr>
          <w:p>
            <w:pPr>
              <w:spacing w:after="0"/>
              <w:rPr>
                <w:sz w:val="3"/>
                <w:szCs w:val="3"/>
                <w:color w:val="auto"/>
              </w:rPr>
            </w:pPr>
          </w:p>
        </w:tc>
        <w:tc>
          <w:tcPr>
            <w:tcW w:w="1020" w:type="dxa"/>
            <w:vAlign w:val="bottom"/>
            <w:tcBorders>
              <w:bottom w:val="single" w:sz="8" w:color="0C3471"/>
            </w:tcBorders>
          </w:tcPr>
          <w:p>
            <w:pPr>
              <w:spacing w:after="0"/>
              <w:rPr>
                <w:sz w:val="3"/>
                <w:szCs w:val="3"/>
                <w:color w:val="auto"/>
              </w:rPr>
            </w:pPr>
          </w:p>
        </w:tc>
        <w:tc>
          <w:tcPr>
            <w:tcW w:w="320" w:type="dxa"/>
            <w:vAlign w:val="bottom"/>
            <w:tcBorders>
              <w:bottom w:val="single" w:sz="8" w:color="0C3471"/>
            </w:tcBorders>
          </w:tcPr>
          <w:p>
            <w:pPr>
              <w:spacing w:after="0"/>
              <w:rPr>
                <w:sz w:val="3"/>
                <w:szCs w:val="3"/>
                <w:color w:val="auto"/>
              </w:rPr>
            </w:pPr>
          </w:p>
        </w:tc>
        <w:tc>
          <w:tcPr>
            <w:tcW w:w="1020" w:type="dxa"/>
            <w:vAlign w:val="bottom"/>
            <w:tcBorders>
              <w:bottom w:val="single" w:sz="8" w:color="0C3471"/>
            </w:tcBorders>
          </w:tcPr>
          <w:p>
            <w:pPr>
              <w:spacing w:after="0"/>
              <w:rPr>
                <w:sz w:val="3"/>
                <w:szCs w:val="3"/>
                <w:color w:val="auto"/>
              </w:rPr>
            </w:pPr>
          </w:p>
        </w:tc>
        <w:tc>
          <w:tcPr>
            <w:tcW w:w="340" w:type="dxa"/>
            <w:vAlign w:val="bottom"/>
            <w:tcBorders>
              <w:bottom w:val="single" w:sz="8" w:color="0C3471"/>
            </w:tcBorders>
          </w:tcPr>
          <w:p>
            <w:pPr>
              <w:spacing w:after="0"/>
              <w:rPr>
                <w:sz w:val="3"/>
                <w:szCs w:val="3"/>
                <w:color w:val="auto"/>
              </w:rPr>
            </w:pPr>
          </w:p>
        </w:tc>
        <w:tc>
          <w:tcPr>
            <w:tcW w:w="1020" w:type="dxa"/>
            <w:vAlign w:val="bottom"/>
            <w:tcBorders>
              <w:bottom w:val="single" w:sz="8" w:color="0C3471"/>
            </w:tcBorders>
          </w:tcPr>
          <w:p>
            <w:pPr>
              <w:spacing w:after="0"/>
              <w:rPr>
                <w:sz w:val="3"/>
                <w:szCs w:val="3"/>
                <w:color w:val="auto"/>
              </w:rPr>
            </w:pPr>
          </w:p>
        </w:tc>
        <w:tc>
          <w:tcPr>
            <w:tcW w:w="320" w:type="dxa"/>
            <w:vAlign w:val="bottom"/>
            <w:tcBorders>
              <w:bottom w:val="single" w:sz="8" w:color="0C3471"/>
            </w:tcBorders>
          </w:tcPr>
          <w:p>
            <w:pPr>
              <w:spacing w:after="0"/>
              <w:rPr>
                <w:sz w:val="3"/>
                <w:szCs w:val="3"/>
                <w:color w:val="auto"/>
              </w:rPr>
            </w:pPr>
          </w:p>
        </w:tc>
        <w:tc>
          <w:tcPr>
            <w:tcW w:w="980" w:type="dxa"/>
            <w:vAlign w:val="bottom"/>
            <w:tcBorders>
              <w:bottom w:val="single" w:sz="8" w:color="0C3471"/>
            </w:tcBorders>
          </w:tcPr>
          <w:p>
            <w:pPr>
              <w:spacing w:after="0"/>
              <w:rPr>
                <w:sz w:val="3"/>
                <w:szCs w:val="3"/>
                <w:color w:val="auto"/>
              </w:rPr>
            </w:pPr>
          </w:p>
        </w:tc>
      </w:tr>
      <w:tr>
        <w:trPr>
          <w:trHeight w:val="221"/>
        </w:trPr>
        <w:tc>
          <w:tcPr>
            <w:tcW w:w="4420" w:type="dxa"/>
            <w:vAlign w:val="bottom"/>
          </w:tcPr>
          <w:p>
            <w:pPr>
              <w:ind w:left="20"/>
              <w:spacing w:after="0"/>
              <w:rPr>
                <w:sz w:val="20"/>
                <w:szCs w:val="20"/>
                <w:color w:val="auto"/>
              </w:rPr>
            </w:pPr>
            <w:r>
              <w:rPr>
                <w:rFonts w:ascii="Arial" w:cs="Arial" w:eastAsia="Arial" w:hAnsi="Arial"/>
                <w:sz w:val="16"/>
                <w:szCs w:val="16"/>
                <w:color w:val="auto"/>
              </w:rPr>
              <w:t>Trailing four quarter NOPAT, Depreciation, and Cap Ex</w:t>
            </w:r>
          </w:p>
        </w:tc>
        <w:tc>
          <w:tcPr>
            <w:tcW w:w="4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61"/>
              <w:spacing w:after="0"/>
              <w:rPr>
                <w:sz w:val="20"/>
                <w:szCs w:val="20"/>
                <w:color w:val="auto"/>
              </w:rPr>
            </w:pPr>
            <w:r>
              <w:rPr>
                <w:rFonts w:ascii="Arial" w:cs="Arial" w:eastAsia="Arial" w:hAnsi="Arial"/>
                <w:sz w:val="16"/>
                <w:szCs w:val="16"/>
                <w:color w:val="auto"/>
              </w:rPr>
              <w:t>786.7</w:t>
            </w:r>
          </w:p>
        </w:tc>
        <w:tc>
          <w:tcPr>
            <w:tcW w:w="3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81"/>
              <w:spacing w:after="0"/>
              <w:rPr>
                <w:sz w:val="20"/>
                <w:szCs w:val="20"/>
                <w:color w:val="auto"/>
              </w:rPr>
            </w:pPr>
            <w:r>
              <w:rPr>
                <w:rFonts w:ascii="Arial" w:cs="Arial" w:eastAsia="Arial" w:hAnsi="Arial"/>
                <w:sz w:val="16"/>
                <w:szCs w:val="16"/>
                <w:color w:val="auto"/>
              </w:rPr>
              <w:t>809.0</w:t>
            </w:r>
          </w:p>
        </w:tc>
        <w:tc>
          <w:tcPr>
            <w:tcW w:w="3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61"/>
              <w:spacing w:after="0"/>
              <w:rPr>
                <w:sz w:val="20"/>
                <w:szCs w:val="20"/>
                <w:color w:val="auto"/>
              </w:rPr>
            </w:pPr>
            <w:r>
              <w:rPr>
                <w:rFonts w:ascii="Arial" w:cs="Arial" w:eastAsia="Arial" w:hAnsi="Arial"/>
                <w:sz w:val="16"/>
                <w:szCs w:val="16"/>
                <w:color w:val="auto"/>
              </w:rPr>
              <w:t>833.9</w:t>
            </w:r>
          </w:p>
        </w:tc>
        <w:tc>
          <w:tcPr>
            <w:tcW w:w="3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81"/>
              <w:spacing w:after="0"/>
              <w:rPr>
                <w:sz w:val="20"/>
                <w:szCs w:val="20"/>
                <w:color w:val="auto"/>
              </w:rPr>
            </w:pPr>
            <w:r>
              <w:rPr>
                <w:rFonts w:ascii="Arial" w:cs="Arial" w:eastAsia="Arial" w:hAnsi="Arial"/>
                <w:sz w:val="16"/>
                <w:szCs w:val="16"/>
                <w:color w:val="auto"/>
              </w:rPr>
              <w:t>850.6</w:t>
            </w:r>
          </w:p>
        </w:tc>
        <w:tc>
          <w:tcPr>
            <w:tcW w:w="3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21"/>
              <w:spacing w:after="0"/>
              <w:rPr>
                <w:sz w:val="20"/>
                <w:szCs w:val="20"/>
                <w:color w:val="auto"/>
              </w:rPr>
            </w:pPr>
            <w:r>
              <w:rPr>
                <w:rFonts w:ascii="Arial" w:cs="Arial" w:eastAsia="Arial" w:hAnsi="Arial"/>
                <w:sz w:val="16"/>
                <w:szCs w:val="16"/>
                <w:color w:val="auto"/>
              </w:rPr>
              <w:t>866.6</w:t>
            </w:r>
          </w:p>
        </w:tc>
      </w:tr>
      <w:tr>
        <w:trPr>
          <w:trHeight w:val="43"/>
        </w:trPr>
        <w:tc>
          <w:tcPr>
            <w:tcW w:w="4420" w:type="dxa"/>
            <w:vAlign w:val="bottom"/>
            <w:tcBorders>
              <w:bottom w:val="single" w:sz="8" w:color="A7A9AC"/>
            </w:tcBorders>
          </w:tcPr>
          <w:p>
            <w:pPr>
              <w:spacing w:after="0"/>
              <w:rPr>
                <w:sz w:val="3"/>
                <w:szCs w:val="3"/>
                <w:color w:val="auto"/>
              </w:rPr>
            </w:pPr>
          </w:p>
        </w:tc>
        <w:tc>
          <w:tcPr>
            <w:tcW w:w="400" w:type="dxa"/>
            <w:vAlign w:val="bottom"/>
            <w:tcBorders>
              <w:bottom w:val="single" w:sz="8" w:color="A7A9AC"/>
            </w:tcBorders>
          </w:tcPr>
          <w:p>
            <w:pPr>
              <w:spacing w:after="0"/>
              <w:rPr>
                <w:sz w:val="3"/>
                <w:szCs w:val="3"/>
                <w:color w:val="auto"/>
              </w:rPr>
            </w:pPr>
          </w:p>
        </w:tc>
        <w:tc>
          <w:tcPr>
            <w:tcW w:w="1060" w:type="dxa"/>
            <w:vAlign w:val="bottom"/>
            <w:tcBorders>
              <w:bottom w:val="single" w:sz="8" w:color="A7A9AC"/>
            </w:tcBorders>
          </w:tcPr>
          <w:p>
            <w:pPr>
              <w:spacing w:after="0"/>
              <w:rPr>
                <w:sz w:val="3"/>
                <w:szCs w:val="3"/>
                <w:color w:val="auto"/>
              </w:rPr>
            </w:pPr>
          </w:p>
        </w:tc>
        <w:tc>
          <w:tcPr>
            <w:tcW w:w="340" w:type="dxa"/>
            <w:vAlign w:val="bottom"/>
            <w:tcBorders>
              <w:bottom w:val="single" w:sz="8" w:color="A7A9AC"/>
            </w:tcBorders>
          </w:tcPr>
          <w:p>
            <w:pPr>
              <w:spacing w:after="0"/>
              <w:rPr>
                <w:sz w:val="3"/>
                <w:szCs w:val="3"/>
                <w:color w:val="auto"/>
              </w:rPr>
            </w:pPr>
          </w:p>
        </w:tc>
        <w:tc>
          <w:tcPr>
            <w:tcW w:w="1020" w:type="dxa"/>
            <w:vAlign w:val="bottom"/>
            <w:tcBorders>
              <w:bottom w:val="single" w:sz="8" w:color="A7A9AC"/>
            </w:tcBorders>
          </w:tcPr>
          <w:p>
            <w:pPr>
              <w:spacing w:after="0"/>
              <w:rPr>
                <w:sz w:val="3"/>
                <w:szCs w:val="3"/>
                <w:color w:val="auto"/>
              </w:rPr>
            </w:pPr>
          </w:p>
        </w:tc>
        <w:tc>
          <w:tcPr>
            <w:tcW w:w="320" w:type="dxa"/>
            <w:vAlign w:val="bottom"/>
            <w:tcBorders>
              <w:bottom w:val="single" w:sz="8" w:color="A7A9AC"/>
            </w:tcBorders>
          </w:tcPr>
          <w:p>
            <w:pPr>
              <w:spacing w:after="0"/>
              <w:rPr>
                <w:sz w:val="3"/>
                <w:szCs w:val="3"/>
                <w:color w:val="auto"/>
              </w:rPr>
            </w:pPr>
          </w:p>
        </w:tc>
        <w:tc>
          <w:tcPr>
            <w:tcW w:w="1020" w:type="dxa"/>
            <w:vAlign w:val="bottom"/>
            <w:tcBorders>
              <w:bottom w:val="single" w:sz="8" w:color="A7A9AC"/>
            </w:tcBorders>
          </w:tcPr>
          <w:p>
            <w:pPr>
              <w:spacing w:after="0"/>
              <w:rPr>
                <w:sz w:val="3"/>
                <w:szCs w:val="3"/>
                <w:color w:val="auto"/>
              </w:rPr>
            </w:pPr>
          </w:p>
        </w:tc>
        <w:tc>
          <w:tcPr>
            <w:tcW w:w="340" w:type="dxa"/>
            <w:vAlign w:val="bottom"/>
            <w:tcBorders>
              <w:bottom w:val="single" w:sz="8" w:color="A7A9AC"/>
            </w:tcBorders>
          </w:tcPr>
          <w:p>
            <w:pPr>
              <w:spacing w:after="0"/>
              <w:rPr>
                <w:sz w:val="3"/>
                <w:szCs w:val="3"/>
                <w:color w:val="auto"/>
              </w:rPr>
            </w:pPr>
          </w:p>
        </w:tc>
        <w:tc>
          <w:tcPr>
            <w:tcW w:w="1020" w:type="dxa"/>
            <w:vAlign w:val="bottom"/>
            <w:tcBorders>
              <w:bottom w:val="single" w:sz="8" w:color="A7A9AC"/>
            </w:tcBorders>
          </w:tcPr>
          <w:p>
            <w:pPr>
              <w:spacing w:after="0"/>
              <w:rPr>
                <w:sz w:val="3"/>
                <w:szCs w:val="3"/>
                <w:color w:val="auto"/>
              </w:rPr>
            </w:pPr>
          </w:p>
        </w:tc>
        <w:tc>
          <w:tcPr>
            <w:tcW w:w="320" w:type="dxa"/>
            <w:vAlign w:val="bottom"/>
            <w:tcBorders>
              <w:bottom w:val="single" w:sz="8" w:color="A7A9AC"/>
            </w:tcBorders>
          </w:tcPr>
          <w:p>
            <w:pPr>
              <w:spacing w:after="0"/>
              <w:rPr>
                <w:sz w:val="3"/>
                <w:szCs w:val="3"/>
                <w:color w:val="auto"/>
              </w:rPr>
            </w:pPr>
          </w:p>
        </w:tc>
        <w:tc>
          <w:tcPr>
            <w:tcW w:w="980" w:type="dxa"/>
            <w:vAlign w:val="bottom"/>
            <w:tcBorders>
              <w:bottom w:val="single" w:sz="8" w:color="A7A9AC"/>
            </w:tcBorders>
          </w:tcPr>
          <w:p>
            <w:pPr>
              <w:spacing w:after="0"/>
              <w:rPr>
                <w:sz w:val="3"/>
                <w:szCs w:val="3"/>
                <w:color w:val="auto"/>
              </w:rPr>
            </w:pPr>
          </w:p>
        </w:tc>
      </w:tr>
      <w:tr>
        <w:trPr>
          <w:trHeight w:val="221"/>
        </w:trPr>
        <w:tc>
          <w:tcPr>
            <w:tcW w:w="4420" w:type="dxa"/>
            <w:vAlign w:val="bottom"/>
          </w:tcPr>
          <w:p>
            <w:pPr>
              <w:ind w:left="20"/>
              <w:spacing w:after="0"/>
              <w:rPr>
                <w:sz w:val="20"/>
                <w:szCs w:val="20"/>
                <w:color w:val="auto"/>
              </w:rPr>
            </w:pPr>
            <w:r>
              <w:rPr>
                <w:rFonts w:ascii="Arial" w:cs="Arial" w:eastAsia="Arial" w:hAnsi="Arial"/>
                <w:sz w:val="16"/>
                <w:szCs w:val="16"/>
                <w:color w:val="auto"/>
              </w:rPr>
              <w:t>Ending Invested Capital</w:t>
            </w:r>
          </w:p>
        </w:tc>
        <w:tc>
          <w:tcPr>
            <w:tcW w:w="400" w:type="dxa"/>
            <w:vAlign w:val="bottom"/>
          </w:tcPr>
          <w:p>
            <w:pPr>
              <w:spacing w:after="0"/>
              <w:rPr>
                <w:sz w:val="19"/>
                <w:szCs w:val="19"/>
                <w:color w:val="auto"/>
              </w:rPr>
            </w:pPr>
          </w:p>
        </w:tc>
        <w:tc>
          <w:tcPr>
            <w:tcW w:w="1060" w:type="dxa"/>
            <w:vAlign w:val="bottom"/>
          </w:tcPr>
          <w:p>
            <w:pPr>
              <w:jc w:val="right"/>
              <w:ind w:right="161"/>
              <w:spacing w:after="0"/>
              <w:rPr>
                <w:sz w:val="20"/>
                <w:szCs w:val="20"/>
                <w:color w:val="auto"/>
              </w:rPr>
            </w:pPr>
            <w:r>
              <w:rPr>
                <w:rFonts w:ascii="Arial" w:cs="Arial" w:eastAsia="Arial" w:hAnsi="Arial"/>
                <w:sz w:val="16"/>
                <w:szCs w:val="16"/>
                <w:color w:val="auto"/>
              </w:rPr>
              <w:t>5,092.2</w:t>
            </w:r>
          </w:p>
        </w:tc>
        <w:tc>
          <w:tcPr>
            <w:tcW w:w="340" w:type="dxa"/>
            <w:vAlign w:val="bottom"/>
          </w:tcPr>
          <w:p>
            <w:pPr>
              <w:spacing w:after="0"/>
              <w:rPr>
                <w:sz w:val="19"/>
                <w:szCs w:val="19"/>
                <w:color w:val="auto"/>
              </w:rPr>
            </w:pPr>
          </w:p>
        </w:tc>
        <w:tc>
          <w:tcPr>
            <w:tcW w:w="1020" w:type="dxa"/>
            <w:vAlign w:val="bottom"/>
          </w:tcPr>
          <w:p>
            <w:pPr>
              <w:jc w:val="right"/>
              <w:ind w:right="181"/>
              <w:spacing w:after="0"/>
              <w:rPr>
                <w:sz w:val="20"/>
                <w:szCs w:val="20"/>
                <w:color w:val="auto"/>
              </w:rPr>
            </w:pPr>
            <w:r>
              <w:rPr>
                <w:rFonts w:ascii="Arial" w:cs="Arial" w:eastAsia="Arial" w:hAnsi="Arial"/>
                <w:sz w:val="16"/>
                <w:szCs w:val="16"/>
                <w:color w:val="auto"/>
              </w:rPr>
              <w:t>5,328.7</w:t>
            </w:r>
          </w:p>
        </w:tc>
        <w:tc>
          <w:tcPr>
            <w:tcW w:w="320" w:type="dxa"/>
            <w:vAlign w:val="bottom"/>
          </w:tcPr>
          <w:p>
            <w:pPr>
              <w:spacing w:after="0"/>
              <w:rPr>
                <w:sz w:val="19"/>
                <w:szCs w:val="19"/>
                <w:color w:val="auto"/>
              </w:rPr>
            </w:pPr>
          </w:p>
        </w:tc>
        <w:tc>
          <w:tcPr>
            <w:tcW w:w="1020" w:type="dxa"/>
            <w:vAlign w:val="bottom"/>
          </w:tcPr>
          <w:p>
            <w:pPr>
              <w:jc w:val="right"/>
              <w:ind w:right="161"/>
              <w:spacing w:after="0"/>
              <w:rPr>
                <w:sz w:val="20"/>
                <w:szCs w:val="20"/>
                <w:color w:val="auto"/>
              </w:rPr>
            </w:pPr>
            <w:r>
              <w:rPr>
                <w:rFonts w:ascii="Arial" w:cs="Arial" w:eastAsia="Arial" w:hAnsi="Arial"/>
                <w:sz w:val="16"/>
                <w:szCs w:val="16"/>
                <w:color w:val="auto"/>
              </w:rPr>
              <w:t>4,927.4</w:t>
            </w:r>
          </w:p>
        </w:tc>
        <w:tc>
          <w:tcPr>
            <w:tcW w:w="340" w:type="dxa"/>
            <w:vAlign w:val="bottom"/>
          </w:tcPr>
          <w:p>
            <w:pPr>
              <w:spacing w:after="0"/>
              <w:rPr>
                <w:sz w:val="19"/>
                <w:szCs w:val="19"/>
                <w:color w:val="auto"/>
              </w:rPr>
            </w:pPr>
          </w:p>
        </w:tc>
        <w:tc>
          <w:tcPr>
            <w:tcW w:w="1020" w:type="dxa"/>
            <w:vAlign w:val="bottom"/>
          </w:tcPr>
          <w:p>
            <w:pPr>
              <w:jc w:val="right"/>
              <w:ind w:right="181"/>
              <w:spacing w:after="0"/>
              <w:rPr>
                <w:sz w:val="20"/>
                <w:szCs w:val="20"/>
                <w:color w:val="auto"/>
              </w:rPr>
            </w:pPr>
            <w:r>
              <w:rPr>
                <w:rFonts w:ascii="Arial" w:cs="Arial" w:eastAsia="Arial" w:hAnsi="Arial"/>
                <w:sz w:val="16"/>
                <w:szCs w:val="16"/>
                <w:color w:val="auto"/>
              </w:rPr>
              <w:t>5,234.1</w:t>
            </w:r>
          </w:p>
        </w:tc>
        <w:tc>
          <w:tcPr>
            <w:tcW w:w="320" w:type="dxa"/>
            <w:vAlign w:val="bottom"/>
          </w:tcPr>
          <w:p>
            <w:pPr>
              <w:spacing w:after="0"/>
              <w:rPr>
                <w:sz w:val="19"/>
                <w:szCs w:val="19"/>
                <w:color w:val="auto"/>
              </w:rPr>
            </w:pPr>
          </w:p>
        </w:tc>
        <w:tc>
          <w:tcPr>
            <w:tcW w:w="980" w:type="dxa"/>
            <w:vAlign w:val="bottom"/>
          </w:tcPr>
          <w:p>
            <w:pPr>
              <w:jc w:val="right"/>
              <w:ind w:right="121"/>
              <w:spacing w:after="0"/>
              <w:rPr>
                <w:sz w:val="20"/>
                <w:szCs w:val="20"/>
                <w:color w:val="auto"/>
              </w:rPr>
            </w:pPr>
            <w:r>
              <w:rPr>
                <w:rFonts w:ascii="Arial" w:cs="Arial" w:eastAsia="Arial" w:hAnsi="Arial"/>
                <w:sz w:val="16"/>
                <w:szCs w:val="16"/>
                <w:color w:val="auto"/>
              </w:rPr>
              <w:t>5,406.2</w:t>
            </w:r>
          </w:p>
        </w:tc>
      </w:tr>
      <w:tr>
        <w:trPr>
          <w:trHeight w:val="43"/>
        </w:trPr>
        <w:tc>
          <w:tcPr>
            <w:tcW w:w="4420" w:type="dxa"/>
            <w:vAlign w:val="bottom"/>
            <w:tcBorders>
              <w:bottom w:val="single" w:sz="8" w:color="A7A9AC"/>
            </w:tcBorders>
          </w:tcPr>
          <w:p>
            <w:pPr>
              <w:spacing w:after="0"/>
              <w:rPr>
                <w:sz w:val="3"/>
                <w:szCs w:val="3"/>
                <w:color w:val="auto"/>
              </w:rPr>
            </w:pPr>
          </w:p>
        </w:tc>
        <w:tc>
          <w:tcPr>
            <w:tcW w:w="400" w:type="dxa"/>
            <w:vAlign w:val="bottom"/>
            <w:tcBorders>
              <w:bottom w:val="single" w:sz="8" w:color="A7A9AC"/>
            </w:tcBorders>
          </w:tcPr>
          <w:p>
            <w:pPr>
              <w:spacing w:after="0"/>
              <w:rPr>
                <w:sz w:val="3"/>
                <w:szCs w:val="3"/>
                <w:color w:val="auto"/>
              </w:rPr>
            </w:pPr>
          </w:p>
        </w:tc>
        <w:tc>
          <w:tcPr>
            <w:tcW w:w="1060" w:type="dxa"/>
            <w:vAlign w:val="bottom"/>
            <w:tcBorders>
              <w:bottom w:val="single" w:sz="8" w:color="A7A9AC"/>
            </w:tcBorders>
          </w:tcPr>
          <w:p>
            <w:pPr>
              <w:spacing w:after="0"/>
              <w:rPr>
                <w:sz w:val="3"/>
                <w:szCs w:val="3"/>
                <w:color w:val="auto"/>
              </w:rPr>
            </w:pPr>
          </w:p>
        </w:tc>
        <w:tc>
          <w:tcPr>
            <w:tcW w:w="340" w:type="dxa"/>
            <w:vAlign w:val="bottom"/>
            <w:tcBorders>
              <w:bottom w:val="single" w:sz="8" w:color="A7A9AC"/>
            </w:tcBorders>
          </w:tcPr>
          <w:p>
            <w:pPr>
              <w:spacing w:after="0"/>
              <w:rPr>
                <w:sz w:val="3"/>
                <w:szCs w:val="3"/>
                <w:color w:val="auto"/>
              </w:rPr>
            </w:pPr>
          </w:p>
        </w:tc>
        <w:tc>
          <w:tcPr>
            <w:tcW w:w="1020" w:type="dxa"/>
            <w:vAlign w:val="bottom"/>
            <w:tcBorders>
              <w:bottom w:val="single" w:sz="8" w:color="A7A9AC"/>
            </w:tcBorders>
          </w:tcPr>
          <w:p>
            <w:pPr>
              <w:spacing w:after="0"/>
              <w:rPr>
                <w:sz w:val="3"/>
                <w:szCs w:val="3"/>
                <w:color w:val="auto"/>
              </w:rPr>
            </w:pPr>
          </w:p>
        </w:tc>
        <w:tc>
          <w:tcPr>
            <w:tcW w:w="320" w:type="dxa"/>
            <w:vAlign w:val="bottom"/>
            <w:tcBorders>
              <w:bottom w:val="single" w:sz="8" w:color="A7A9AC"/>
            </w:tcBorders>
          </w:tcPr>
          <w:p>
            <w:pPr>
              <w:spacing w:after="0"/>
              <w:rPr>
                <w:sz w:val="3"/>
                <w:szCs w:val="3"/>
                <w:color w:val="auto"/>
              </w:rPr>
            </w:pPr>
          </w:p>
        </w:tc>
        <w:tc>
          <w:tcPr>
            <w:tcW w:w="1020" w:type="dxa"/>
            <w:vAlign w:val="bottom"/>
            <w:tcBorders>
              <w:bottom w:val="single" w:sz="8" w:color="A7A9AC"/>
            </w:tcBorders>
          </w:tcPr>
          <w:p>
            <w:pPr>
              <w:spacing w:after="0"/>
              <w:rPr>
                <w:sz w:val="3"/>
                <w:szCs w:val="3"/>
                <w:color w:val="auto"/>
              </w:rPr>
            </w:pPr>
          </w:p>
        </w:tc>
        <w:tc>
          <w:tcPr>
            <w:tcW w:w="340" w:type="dxa"/>
            <w:vAlign w:val="bottom"/>
            <w:tcBorders>
              <w:bottom w:val="single" w:sz="8" w:color="A7A9AC"/>
            </w:tcBorders>
          </w:tcPr>
          <w:p>
            <w:pPr>
              <w:spacing w:after="0"/>
              <w:rPr>
                <w:sz w:val="3"/>
                <w:szCs w:val="3"/>
                <w:color w:val="auto"/>
              </w:rPr>
            </w:pPr>
          </w:p>
        </w:tc>
        <w:tc>
          <w:tcPr>
            <w:tcW w:w="1020" w:type="dxa"/>
            <w:vAlign w:val="bottom"/>
            <w:tcBorders>
              <w:bottom w:val="single" w:sz="8" w:color="A7A9AC"/>
            </w:tcBorders>
          </w:tcPr>
          <w:p>
            <w:pPr>
              <w:spacing w:after="0"/>
              <w:rPr>
                <w:sz w:val="3"/>
                <w:szCs w:val="3"/>
                <w:color w:val="auto"/>
              </w:rPr>
            </w:pPr>
          </w:p>
        </w:tc>
        <w:tc>
          <w:tcPr>
            <w:tcW w:w="320" w:type="dxa"/>
            <w:vAlign w:val="bottom"/>
            <w:tcBorders>
              <w:bottom w:val="single" w:sz="8" w:color="A7A9AC"/>
            </w:tcBorders>
          </w:tcPr>
          <w:p>
            <w:pPr>
              <w:spacing w:after="0"/>
              <w:rPr>
                <w:sz w:val="3"/>
                <w:szCs w:val="3"/>
                <w:color w:val="auto"/>
              </w:rPr>
            </w:pPr>
          </w:p>
        </w:tc>
        <w:tc>
          <w:tcPr>
            <w:tcW w:w="980" w:type="dxa"/>
            <w:vAlign w:val="bottom"/>
            <w:tcBorders>
              <w:bottom w:val="single" w:sz="8" w:color="A7A9AC"/>
            </w:tcBorders>
          </w:tcPr>
          <w:p>
            <w:pPr>
              <w:spacing w:after="0"/>
              <w:rPr>
                <w:sz w:val="3"/>
                <w:szCs w:val="3"/>
                <w:color w:val="auto"/>
              </w:rPr>
            </w:pPr>
          </w:p>
        </w:tc>
      </w:tr>
      <w:tr>
        <w:trPr>
          <w:trHeight w:val="221"/>
        </w:trPr>
        <w:tc>
          <w:tcPr>
            <w:tcW w:w="4420" w:type="dxa"/>
            <w:vAlign w:val="bottom"/>
          </w:tcPr>
          <w:p>
            <w:pPr>
              <w:ind w:left="20"/>
              <w:spacing w:after="0"/>
              <w:rPr>
                <w:sz w:val="20"/>
                <w:szCs w:val="20"/>
                <w:color w:val="auto"/>
              </w:rPr>
            </w:pPr>
            <w:r>
              <w:rPr>
                <w:rFonts w:ascii="Arial" w:cs="Arial" w:eastAsia="Arial" w:hAnsi="Arial"/>
                <w:sz w:val="16"/>
                <w:szCs w:val="16"/>
                <w:color w:val="auto"/>
              </w:rPr>
              <w:t>Trailing five quarter average invested capital</w:t>
            </w:r>
          </w:p>
        </w:tc>
        <w:tc>
          <w:tcPr>
            <w:tcW w:w="400" w:type="dxa"/>
            <w:vAlign w:val="bottom"/>
          </w:tcPr>
          <w:p>
            <w:pPr>
              <w:spacing w:after="0"/>
              <w:rPr>
                <w:sz w:val="19"/>
                <w:szCs w:val="19"/>
                <w:color w:val="auto"/>
              </w:rPr>
            </w:pPr>
          </w:p>
        </w:tc>
        <w:tc>
          <w:tcPr>
            <w:tcW w:w="1060" w:type="dxa"/>
            <w:vAlign w:val="bottom"/>
          </w:tcPr>
          <w:p>
            <w:pPr>
              <w:jc w:val="right"/>
              <w:ind w:right="161"/>
              <w:spacing w:after="0"/>
              <w:rPr>
                <w:sz w:val="20"/>
                <w:szCs w:val="20"/>
                <w:color w:val="auto"/>
              </w:rPr>
            </w:pPr>
            <w:r>
              <w:rPr>
                <w:rFonts w:ascii="Arial" w:cs="Arial" w:eastAsia="Arial" w:hAnsi="Arial"/>
                <w:sz w:val="16"/>
                <w:szCs w:val="16"/>
                <w:color w:val="auto"/>
              </w:rPr>
              <w:t>5,062.7</w:t>
            </w:r>
          </w:p>
        </w:tc>
        <w:tc>
          <w:tcPr>
            <w:tcW w:w="340" w:type="dxa"/>
            <w:vAlign w:val="bottom"/>
          </w:tcPr>
          <w:p>
            <w:pPr>
              <w:spacing w:after="0"/>
              <w:rPr>
                <w:sz w:val="19"/>
                <w:szCs w:val="19"/>
                <w:color w:val="auto"/>
              </w:rPr>
            </w:pPr>
          </w:p>
        </w:tc>
        <w:tc>
          <w:tcPr>
            <w:tcW w:w="1020" w:type="dxa"/>
            <w:vAlign w:val="bottom"/>
          </w:tcPr>
          <w:p>
            <w:pPr>
              <w:jc w:val="right"/>
              <w:ind w:right="181"/>
              <w:spacing w:after="0"/>
              <w:rPr>
                <w:sz w:val="20"/>
                <w:szCs w:val="20"/>
                <w:color w:val="auto"/>
              </w:rPr>
            </w:pPr>
            <w:r>
              <w:rPr>
                <w:rFonts w:ascii="Arial" w:cs="Arial" w:eastAsia="Arial" w:hAnsi="Arial"/>
                <w:sz w:val="16"/>
                <w:szCs w:val="16"/>
                <w:color w:val="auto"/>
              </w:rPr>
              <w:t>5,121.4</w:t>
            </w:r>
          </w:p>
        </w:tc>
        <w:tc>
          <w:tcPr>
            <w:tcW w:w="320" w:type="dxa"/>
            <w:vAlign w:val="bottom"/>
          </w:tcPr>
          <w:p>
            <w:pPr>
              <w:spacing w:after="0"/>
              <w:rPr>
                <w:sz w:val="19"/>
                <w:szCs w:val="19"/>
                <w:color w:val="auto"/>
              </w:rPr>
            </w:pPr>
          </w:p>
        </w:tc>
        <w:tc>
          <w:tcPr>
            <w:tcW w:w="1020" w:type="dxa"/>
            <w:vAlign w:val="bottom"/>
          </w:tcPr>
          <w:p>
            <w:pPr>
              <w:jc w:val="right"/>
              <w:ind w:right="161"/>
              <w:spacing w:after="0"/>
              <w:rPr>
                <w:sz w:val="20"/>
                <w:szCs w:val="20"/>
                <w:color w:val="auto"/>
              </w:rPr>
            </w:pPr>
            <w:r>
              <w:rPr>
                <w:rFonts w:ascii="Arial" w:cs="Arial" w:eastAsia="Arial" w:hAnsi="Arial"/>
                <w:sz w:val="16"/>
                <w:szCs w:val="16"/>
                <w:color w:val="auto"/>
              </w:rPr>
              <w:t>5,046.4</w:t>
            </w:r>
          </w:p>
        </w:tc>
        <w:tc>
          <w:tcPr>
            <w:tcW w:w="340" w:type="dxa"/>
            <w:vAlign w:val="bottom"/>
          </w:tcPr>
          <w:p>
            <w:pPr>
              <w:spacing w:after="0"/>
              <w:rPr>
                <w:sz w:val="19"/>
                <w:szCs w:val="19"/>
                <w:color w:val="auto"/>
              </w:rPr>
            </w:pPr>
          </w:p>
        </w:tc>
        <w:tc>
          <w:tcPr>
            <w:tcW w:w="1020" w:type="dxa"/>
            <w:vAlign w:val="bottom"/>
          </w:tcPr>
          <w:p>
            <w:pPr>
              <w:jc w:val="right"/>
              <w:ind w:right="181"/>
              <w:spacing w:after="0"/>
              <w:rPr>
                <w:sz w:val="20"/>
                <w:szCs w:val="20"/>
                <w:color w:val="auto"/>
              </w:rPr>
            </w:pPr>
            <w:r>
              <w:rPr>
                <w:rFonts w:ascii="Arial" w:cs="Arial" w:eastAsia="Arial" w:hAnsi="Arial"/>
                <w:sz w:val="16"/>
                <w:szCs w:val="16"/>
                <w:color w:val="auto"/>
              </w:rPr>
              <w:t>5,098.3</w:t>
            </w:r>
          </w:p>
        </w:tc>
        <w:tc>
          <w:tcPr>
            <w:tcW w:w="320" w:type="dxa"/>
            <w:vAlign w:val="bottom"/>
          </w:tcPr>
          <w:p>
            <w:pPr>
              <w:spacing w:after="0"/>
              <w:rPr>
                <w:sz w:val="19"/>
                <w:szCs w:val="19"/>
                <w:color w:val="auto"/>
              </w:rPr>
            </w:pPr>
          </w:p>
        </w:tc>
        <w:tc>
          <w:tcPr>
            <w:tcW w:w="980" w:type="dxa"/>
            <w:vAlign w:val="bottom"/>
          </w:tcPr>
          <w:p>
            <w:pPr>
              <w:jc w:val="right"/>
              <w:ind w:right="121"/>
              <w:spacing w:after="0"/>
              <w:rPr>
                <w:sz w:val="20"/>
                <w:szCs w:val="20"/>
                <w:color w:val="auto"/>
              </w:rPr>
            </w:pPr>
            <w:r>
              <w:rPr>
                <w:rFonts w:ascii="Arial" w:cs="Arial" w:eastAsia="Arial" w:hAnsi="Arial"/>
                <w:sz w:val="16"/>
                <w:szCs w:val="16"/>
                <w:color w:val="auto"/>
              </w:rPr>
              <w:t>5,197.7</w:t>
            </w:r>
          </w:p>
        </w:tc>
      </w:tr>
      <w:tr>
        <w:trPr>
          <w:trHeight w:val="42"/>
        </w:trPr>
        <w:tc>
          <w:tcPr>
            <w:tcW w:w="4420" w:type="dxa"/>
            <w:vAlign w:val="bottom"/>
            <w:tcBorders>
              <w:bottom w:val="single" w:sz="8" w:color="0C3471"/>
            </w:tcBorders>
          </w:tcPr>
          <w:p>
            <w:pPr>
              <w:spacing w:after="0"/>
              <w:rPr>
                <w:sz w:val="3"/>
                <w:szCs w:val="3"/>
                <w:color w:val="auto"/>
              </w:rPr>
            </w:pPr>
          </w:p>
        </w:tc>
        <w:tc>
          <w:tcPr>
            <w:tcW w:w="400" w:type="dxa"/>
            <w:vAlign w:val="bottom"/>
            <w:tcBorders>
              <w:bottom w:val="single" w:sz="8" w:color="0C3471"/>
            </w:tcBorders>
          </w:tcPr>
          <w:p>
            <w:pPr>
              <w:spacing w:after="0"/>
              <w:rPr>
                <w:sz w:val="3"/>
                <w:szCs w:val="3"/>
                <w:color w:val="auto"/>
              </w:rPr>
            </w:pPr>
          </w:p>
        </w:tc>
        <w:tc>
          <w:tcPr>
            <w:tcW w:w="1060" w:type="dxa"/>
            <w:vAlign w:val="bottom"/>
            <w:tcBorders>
              <w:bottom w:val="single" w:sz="8" w:color="0C3471"/>
            </w:tcBorders>
          </w:tcPr>
          <w:p>
            <w:pPr>
              <w:spacing w:after="0"/>
              <w:rPr>
                <w:sz w:val="3"/>
                <w:szCs w:val="3"/>
                <w:color w:val="auto"/>
              </w:rPr>
            </w:pPr>
          </w:p>
        </w:tc>
        <w:tc>
          <w:tcPr>
            <w:tcW w:w="340" w:type="dxa"/>
            <w:vAlign w:val="bottom"/>
            <w:tcBorders>
              <w:bottom w:val="single" w:sz="8" w:color="0C3471"/>
            </w:tcBorders>
          </w:tcPr>
          <w:p>
            <w:pPr>
              <w:spacing w:after="0"/>
              <w:rPr>
                <w:sz w:val="3"/>
                <w:szCs w:val="3"/>
                <w:color w:val="auto"/>
              </w:rPr>
            </w:pPr>
          </w:p>
        </w:tc>
        <w:tc>
          <w:tcPr>
            <w:tcW w:w="1020" w:type="dxa"/>
            <w:vAlign w:val="bottom"/>
            <w:tcBorders>
              <w:bottom w:val="single" w:sz="8" w:color="0C3471"/>
            </w:tcBorders>
          </w:tcPr>
          <w:p>
            <w:pPr>
              <w:spacing w:after="0"/>
              <w:rPr>
                <w:sz w:val="3"/>
                <w:szCs w:val="3"/>
                <w:color w:val="auto"/>
              </w:rPr>
            </w:pPr>
          </w:p>
        </w:tc>
        <w:tc>
          <w:tcPr>
            <w:tcW w:w="320" w:type="dxa"/>
            <w:vAlign w:val="bottom"/>
            <w:tcBorders>
              <w:bottom w:val="single" w:sz="8" w:color="0C3471"/>
            </w:tcBorders>
          </w:tcPr>
          <w:p>
            <w:pPr>
              <w:spacing w:after="0"/>
              <w:rPr>
                <w:sz w:val="3"/>
                <w:szCs w:val="3"/>
                <w:color w:val="auto"/>
              </w:rPr>
            </w:pPr>
          </w:p>
        </w:tc>
        <w:tc>
          <w:tcPr>
            <w:tcW w:w="1020" w:type="dxa"/>
            <w:vAlign w:val="bottom"/>
            <w:tcBorders>
              <w:bottom w:val="single" w:sz="8" w:color="0C3471"/>
            </w:tcBorders>
          </w:tcPr>
          <w:p>
            <w:pPr>
              <w:spacing w:after="0"/>
              <w:rPr>
                <w:sz w:val="3"/>
                <w:szCs w:val="3"/>
                <w:color w:val="auto"/>
              </w:rPr>
            </w:pPr>
          </w:p>
        </w:tc>
        <w:tc>
          <w:tcPr>
            <w:tcW w:w="340" w:type="dxa"/>
            <w:vAlign w:val="bottom"/>
            <w:tcBorders>
              <w:bottom w:val="single" w:sz="8" w:color="0C3471"/>
            </w:tcBorders>
          </w:tcPr>
          <w:p>
            <w:pPr>
              <w:spacing w:after="0"/>
              <w:rPr>
                <w:sz w:val="3"/>
                <w:szCs w:val="3"/>
                <w:color w:val="auto"/>
              </w:rPr>
            </w:pPr>
          </w:p>
        </w:tc>
        <w:tc>
          <w:tcPr>
            <w:tcW w:w="1020" w:type="dxa"/>
            <w:vAlign w:val="bottom"/>
            <w:tcBorders>
              <w:bottom w:val="single" w:sz="8" w:color="0C3471"/>
            </w:tcBorders>
          </w:tcPr>
          <w:p>
            <w:pPr>
              <w:spacing w:after="0"/>
              <w:rPr>
                <w:sz w:val="3"/>
                <w:szCs w:val="3"/>
                <w:color w:val="auto"/>
              </w:rPr>
            </w:pPr>
          </w:p>
        </w:tc>
        <w:tc>
          <w:tcPr>
            <w:tcW w:w="320" w:type="dxa"/>
            <w:vAlign w:val="bottom"/>
            <w:tcBorders>
              <w:bottom w:val="single" w:sz="8" w:color="0C3471"/>
            </w:tcBorders>
          </w:tcPr>
          <w:p>
            <w:pPr>
              <w:spacing w:after="0"/>
              <w:rPr>
                <w:sz w:val="3"/>
                <w:szCs w:val="3"/>
                <w:color w:val="auto"/>
              </w:rPr>
            </w:pPr>
          </w:p>
        </w:tc>
        <w:tc>
          <w:tcPr>
            <w:tcW w:w="980" w:type="dxa"/>
            <w:vAlign w:val="bottom"/>
            <w:tcBorders>
              <w:bottom w:val="single" w:sz="8" w:color="0C3471"/>
            </w:tcBorders>
          </w:tcPr>
          <w:p>
            <w:pPr>
              <w:spacing w:after="0"/>
              <w:rPr>
                <w:sz w:val="3"/>
                <w:szCs w:val="3"/>
                <w:color w:val="auto"/>
              </w:rPr>
            </w:pPr>
          </w:p>
        </w:tc>
      </w:tr>
      <w:tr>
        <w:trPr>
          <w:trHeight w:val="221"/>
        </w:trPr>
        <w:tc>
          <w:tcPr>
            <w:tcW w:w="4420" w:type="dxa"/>
            <w:vAlign w:val="bottom"/>
          </w:tcPr>
          <w:p>
            <w:pPr>
              <w:ind w:left="20"/>
              <w:spacing w:after="0"/>
              <w:rPr>
                <w:sz w:val="20"/>
                <w:szCs w:val="20"/>
                <w:color w:val="auto"/>
              </w:rPr>
            </w:pPr>
            <w:r>
              <w:rPr>
                <w:rFonts w:ascii="Arial" w:cs="Arial" w:eastAsia="Arial" w:hAnsi="Arial"/>
                <w:sz w:val="16"/>
                <w:szCs w:val="16"/>
                <w:color w:val="auto"/>
              </w:rPr>
              <w:t>After-tax Return on Invested Capital</w:t>
            </w:r>
          </w:p>
        </w:tc>
        <w:tc>
          <w:tcPr>
            <w:tcW w:w="4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15.5%</w:t>
            </w:r>
          </w:p>
        </w:tc>
        <w:tc>
          <w:tcPr>
            <w:tcW w:w="340" w:type="dxa"/>
            <w:vAlign w:val="bottom"/>
          </w:tcPr>
          <w:p>
            <w:pPr>
              <w:spacing w:after="0"/>
              <w:rPr>
                <w:sz w:val="19"/>
                <w:szCs w:val="19"/>
                <w:color w:val="auto"/>
              </w:rPr>
            </w:pPr>
          </w:p>
        </w:tc>
        <w:tc>
          <w:tcPr>
            <w:tcW w:w="1020" w:type="dxa"/>
            <w:vAlign w:val="bottom"/>
          </w:tcPr>
          <w:p>
            <w:pPr>
              <w:ind w:left="500"/>
              <w:spacing w:after="0"/>
              <w:rPr>
                <w:sz w:val="20"/>
                <w:szCs w:val="20"/>
                <w:color w:val="auto"/>
              </w:rPr>
            </w:pPr>
            <w:r>
              <w:rPr>
                <w:rFonts w:ascii="Arial" w:cs="Arial" w:eastAsia="Arial" w:hAnsi="Arial"/>
                <w:sz w:val="16"/>
                <w:szCs w:val="16"/>
                <w:color w:val="auto"/>
              </w:rPr>
              <w:t>15.8%</w:t>
            </w:r>
          </w:p>
        </w:tc>
        <w:tc>
          <w:tcPr>
            <w:tcW w:w="320" w:type="dxa"/>
            <w:vAlign w:val="bottom"/>
          </w:tcPr>
          <w:p>
            <w:pPr>
              <w:spacing w:after="0"/>
              <w:rPr>
                <w:sz w:val="19"/>
                <w:szCs w:val="19"/>
                <w:color w:val="auto"/>
              </w:rPr>
            </w:pPr>
          </w:p>
        </w:tc>
        <w:tc>
          <w:tcPr>
            <w:tcW w:w="1020" w:type="dxa"/>
            <w:vAlign w:val="bottom"/>
          </w:tcPr>
          <w:p>
            <w:pPr>
              <w:ind w:left="500"/>
              <w:spacing w:after="0"/>
              <w:rPr>
                <w:sz w:val="20"/>
                <w:szCs w:val="20"/>
                <w:color w:val="auto"/>
              </w:rPr>
            </w:pPr>
            <w:r>
              <w:rPr>
                <w:rFonts w:ascii="Arial" w:cs="Arial" w:eastAsia="Arial" w:hAnsi="Arial"/>
                <w:sz w:val="16"/>
                <w:szCs w:val="16"/>
                <w:color w:val="auto"/>
              </w:rPr>
              <w:t>16.5%</w:t>
            </w:r>
          </w:p>
        </w:tc>
        <w:tc>
          <w:tcPr>
            <w:tcW w:w="340" w:type="dxa"/>
            <w:vAlign w:val="bottom"/>
          </w:tcPr>
          <w:p>
            <w:pPr>
              <w:spacing w:after="0"/>
              <w:rPr>
                <w:sz w:val="19"/>
                <w:szCs w:val="19"/>
                <w:color w:val="auto"/>
              </w:rPr>
            </w:pPr>
          </w:p>
        </w:tc>
        <w:tc>
          <w:tcPr>
            <w:tcW w:w="1020" w:type="dxa"/>
            <w:vAlign w:val="bottom"/>
          </w:tcPr>
          <w:p>
            <w:pPr>
              <w:ind w:left="500"/>
              <w:spacing w:after="0"/>
              <w:rPr>
                <w:sz w:val="20"/>
                <w:szCs w:val="20"/>
                <w:color w:val="auto"/>
              </w:rPr>
            </w:pPr>
            <w:r>
              <w:rPr>
                <w:rFonts w:ascii="Arial" w:cs="Arial" w:eastAsia="Arial" w:hAnsi="Arial"/>
                <w:sz w:val="16"/>
                <w:szCs w:val="16"/>
                <w:color w:val="auto"/>
              </w:rPr>
              <w:t>16.7%</w:t>
            </w:r>
          </w:p>
        </w:tc>
        <w:tc>
          <w:tcPr>
            <w:tcW w:w="320" w:type="dxa"/>
            <w:vAlign w:val="bottom"/>
          </w:tcPr>
          <w:p>
            <w:pPr>
              <w:spacing w:after="0"/>
              <w:rPr>
                <w:sz w:val="19"/>
                <w:szCs w:val="19"/>
                <w:color w:val="auto"/>
              </w:rPr>
            </w:pPr>
          </w:p>
        </w:tc>
        <w:tc>
          <w:tcPr>
            <w:tcW w:w="980" w:type="dxa"/>
            <w:vAlign w:val="bottom"/>
          </w:tcPr>
          <w:p>
            <w:pPr>
              <w:ind w:left="500"/>
              <w:spacing w:after="0"/>
              <w:rPr>
                <w:sz w:val="20"/>
                <w:szCs w:val="20"/>
                <w:color w:val="auto"/>
              </w:rPr>
            </w:pPr>
            <w:r>
              <w:rPr>
                <w:rFonts w:ascii="Arial" w:cs="Arial" w:eastAsia="Arial" w:hAnsi="Arial"/>
                <w:sz w:val="16"/>
                <w:szCs w:val="16"/>
                <w:color w:val="auto"/>
              </w:rPr>
              <w:t>16.7%</w:t>
            </w:r>
          </w:p>
        </w:tc>
      </w:tr>
      <w:tr>
        <w:trPr>
          <w:trHeight w:val="43"/>
        </w:trPr>
        <w:tc>
          <w:tcPr>
            <w:tcW w:w="4420" w:type="dxa"/>
            <w:vAlign w:val="bottom"/>
            <w:tcBorders>
              <w:bottom w:val="single" w:sz="8" w:color="0C3471"/>
            </w:tcBorders>
          </w:tcPr>
          <w:p>
            <w:pPr>
              <w:spacing w:after="0"/>
              <w:rPr>
                <w:sz w:val="3"/>
                <w:szCs w:val="3"/>
                <w:color w:val="auto"/>
              </w:rPr>
            </w:pPr>
          </w:p>
        </w:tc>
        <w:tc>
          <w:tcPr>
            <w:tcW w:w="400" w:type="dxa"/>
            <w:vAlign w:val="bottom"/>
            <w:tcBorders>
              <w:bottom w:val="single" w:sz="8" w:color="0C3471"/>
            </w:tcBorders>
          </w:tcPr>
          <w:p>
            <w:pPr>
              <w:spacing w:after="0"/>
              <w:rPr>
                <w:sz w:val="3"/>
                <w:szCs w:val="3"/>
                <w:color w:val="auto"/>
              </w:rPr>
            </w:pPr>
          </w:p>
        </w:tc>
        <w:tc>
          <w:tcPr>
            <w:tcW w:w="1060" w:type="dxa"/>
            <w:vAlign w:val="bottom"/>
            <w:tcBorders>
              <w:bottom w:val="single" w:sz="8" w:color="0C3471"/>
            </w:tcBorders>
          </w:tcPr>
          <w:p>
            <w:pPr>
              <w:spacing w:after="0"/>
              <w:rPr>
                <w:sz w:val="3"/>
                <w:szCs w:val="3"/>
                <w:color w:val="auto"/>
              </w:rPr>
            </w:pPr>
          </w:p>
        </w:tc>
        <w:tc>
          <w:tcPr>
            <w:tcW w:w="340" w:type="dxa"/>
            <w:vAlign w:val="bottom"/>
            <w:tcBorders>
              <w:bottom w:val="single" w:sz="8" w:color="0C3471"/>
            </w:tcBorders>
          </w:tcPr>
          <w:p>
            <w:pPr>
              <w:spacing w:after="0"/>
              <w:rPr>
                <w:sz w:val="3"/>
                <w:szCs w:val="3"/>
                <w:color w:val="auto"/>
              </w:rPr>
            </w:pPr>
          </w:p>
        </w:tc>
        <w:tc>
          <w:tcPr>
            <w:tcW w:w="1020" w:type="dxa"/>
            <w:vAlign w:val="bottom"/>
            <w:tcBorders>
              <w:bottom w:val="single" w:sz="8" w:color="0C3471"/>
            </w:tcBorders>
          </w:tcPr>
          <w:p>
            <w:pPr>
              <w:spacing w:after="0"/>
              <w:rPr>
                <w:sz w:val="3"/>
                <w:szCs w:val="3"/>
                <w:color w:val="auto"/>
              </w:rPr>
            </w:pPr>
          </w:p>
        </w:tc>
        <w:tc>
          <w:tcPr>
            <w:tcW w:w="320" w:type="dxa"/>
            <w:vAlign w:val="bottom"/>
            <w:tcBorders>
              <w:bottom w:val="single" w:sz="8" w:color="0C3471"/>
            </w:tcBorders>
          </w:tcPr>
          <w:p>
            <w:pPr>
              <w:spacing w:after="0"/>
              <w:rPr>
                <w:sz w:val="3"/>
                <w:szCs w:val="3"/>
                <w:color w:val="auto"/>
              </w:rPr>
            </w:pPr>
          </w:p>
        </w:tc>
        <w:tc>
          <w:tcPr>
            <w:tcW w:w="1020" w:type="dxa"/>
            <w:vAlign w:val="bottom"/>
            <w:tcBorders>
              <w:bottom w:val="single" w:sz="8" w:color="0C3471"/>
            </w:tcBorders>
          </w:tcPr>
          <w:p>
            <w:pPr>
              <w:spacing w:after="0"/>
              <w:rPr>
                <w:sz w:val="3"/>
                <w:szCs w:val="3"/>
                <w:color w:val="auto"/>
              </w:rPr>
            </w:pPr>
          </w:p>
        </w:tc>
        <w:tc>
          <w:tcPr>
            <w:tcW w:w="340" w:type="dxa"/>
            <w:vAlign w:val="bottom"/>
            <w:tcBorders>
              <w:bottom w:val="single" w:sz="8" w:color="0C3471"/>
            </w:tcBorders>
          </w:tcPr>
          <w:p>
            <w:pPr>
              <w:spacing w:after="0"/>
              <w:rPr>
                <w:sz w:val="3"/>
                <w:szCs w:val="3"/>
                <w:color w:val="auto"/>
              </w:rPr>
            </w:pPr>
          </w:p>
        </w:tc>
        <w:tc>
          <w:tcPr>
            <w:tcW w:w="1020" w:type="dxa"/>
            <w:vAlign w:val="bottom"/>
            <w:tcBorders>
              <w:bottom w:val="single" w:sz="8" w:color="0C3471"/>
            </w:tcBorders>
          </w:tcPr>
          <w:p>
            <w:pPr>
              <w:spacing w:after="0"/>
              <w:rPr>
                <w:sz w:val="3"/>
                <w:szCs w:val="3"/>
                <w:color w:val="auto"/>
              </w:rPr>
            </w:pPr>
          </w:p>
        </w:tc>
        <w:tc>
          <w:tcPr>
            <w:tcW w:w="320" w:type="dxa"/>
            <w:vAlign w:val="bottom"/>
            <w:tcBorders>
              <w:bottom w:val="single" w:sz="8" w:color="0C3471"/>
            </w:tcBorders>
          </w:tcPr>
          <w:p>
            <w:pPr>
              <w:spacing w:after="0"/>
              <w:rPr>
                <w:sz w:val="3"/>
                <w:szCs w:val="3"/>
                <w:color w:val="auto"/>
              </w:rPr>
            </w:pPr>
          </w:p>
        </w:tc>
        <w:tc>
          <w:tcPr>
            <w:tcW w:w="980" w:type="dxa"/>
            <w:vAlign w:val="bottom"/>
            <w:tcBorders>
              <w:bottom w:val="single" w:sz="8" w:color="0C3471"/>
            </w:tcBorders>
          </w:tcPr>
          <w:p>
            <w:pPr>
              <w:spacing w:after="0"/>
              <w:rPr>
                <w:sz w:val="3"/>
                <w:szCs w:val="3"/>
                <w:color w:val="auto"/>
              </w:rPr>
            </w:pPr>
          </w:p>
        </w:tc>
      </w:tr>
    </w:tbl>
    <w:p>
      <w:pPr>
        <w:spacing w:after="0" w:line="153" w:lineRule="exact"/>
        <w:rPr>
          <w:sz w:val="20"/>
          <w:szCs w:val="20"/>
          <w:color w:val="auto"/>
        </w:rPr>
      </w:pPr>
    </w:p>
    <w:p>
      <w:pPr>
        <w:spacing w:after="0"/>
        <w:rPr>
          <w:sz w:val="20"/>
          <w:szCs w:val="20"/>
          <w:color w:val="auto"/>
        </w:rPr>
      </w:pPr>
      <w:r>
        <w:rPr>
          <w:rFonts w:ascii="Arial" w:cs="Arial" w:eastAsia="Arial" w:hAnsi="Arial"/>
          <w:sz w:val="14"/>
          <w:szCs w:val="14"/>
          <w:color w:val="auto"/>
        </w:rPr>
        <w:t>NOPAT (net operating profit after tax) is defined as [(adjusted operating income) X (1 - adjusted effective tax rate)]</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color w:val="auto"/>
        </w:rPr>
        <w:t>Ending invested capital is defined as [total shareholders' equity + long-term debt + current maturities of long-term debt and short-term borrowings - cash and cash equivalents]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20"/>
        <w:spacing w:after="0"/>
        <w:tabs>
          <w:tab w:leader="none" w:pos="580" w:val="left"/>
        </w:tabs>
        <w:rPr>
          <w:sz w:val="20"/>
          <w:szCs w:val="20"/>
          <w:color w:val="auto"/>
        </w:rPr>
      </w:pPr>
      <w:r>
        <w:rPr>
          <w:rFonts w:ascii="Arial" w:cs="Arial" w:eastAsia="Arial" w:hAnsi="Arial"/>
          <w:sz w:val="16"/>
          <w:szCs w:val="16"/>
          <w:b w:val="1"/>
          <w:bCs w:val="1"/>
          <w:color w:val="auto"/>
        </w:rPr>
        <w:t>A-2</w:t>
      </w:r>
      <w:r>
        <w:rPr>
          <w:sz w:val="20"/>
          <w:szCs w:val="20"/>
          <w:color w:val="auto"/>
        </w:rPr>
        <w:tab/>
      </w:r>
      <w:r>
        <w:rPr>
          <w:rFonts w:ascii="Arial" w:cs="Arial" w:eastAsia="Arial" w:hAnsi="Arial"/>
          <w:sz w:val="16"/>
          <w:szCs w:val="16"/>
          <w:color w:val="auto"/>
        </w:rPr>
        <w:t xml:space="preserve">Pentair </w:t>
      </w:r>
      <w:r>
        <w:rPr>
          <w:rFonts w:ascii="Arial" w:cs="Arial" w:eastAsia="Arial" w:hAnsi="Arial"/>
          <w:sz w:val="16"/>
          <w:szCs w:val="16"/>
          <w:b w:val="1"/>
          <w:bCs w:val="1"/>
          <w:color w:val="0C3471"/>
        </w:rPr>
        <w:t>|</w:t>
      </w:r>
      <w:r>
        <w:rPr>
          <w:rFonts w:ascii="Arial" w:cs="Arial" w:eastAsia="Arial" w:hAnsi="Arial"/>
          <w:sz w:val="16"/>
          <w:szCs w:val="16"/>
          <w:color w:val="auto"/>
        </w:rPr>
        <w:t xml:space="preserve"> </w:t>
      </w:r>
      <w:r>
        <w:rPr>
          <w:rFonts w:ascii="Arial" w:cs="Arial" w:eastAsia="Arial" w:hAnsi="Arial"/>
          <w:sz w:val="16"/>
          <w:szCs w:val="16"/>
          <w:b w:val="1"/>
          <w:bCs w:val="1"/>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205105</wp:posOffset>
            </wp:positionV>
            <wp:extent cx="7157720" cy="4254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06" w:right="339" w:bottom="1440" w:gutter="0" w:footer="0" w:header="0"/>
        </w:sectPr>
      </w:pPr>
    </w:p>
    <w:bookmarkStart w:id="92" w:name="page93"/>
    <w:bookmarkEnd w:id="9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380365</wp:posOffset>
            </wp:positionV>
            <wp:extent cx="7157720" cy="900557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157720" cy="90055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3" w:name="page94"/>
    <w:bookmarkEnd w:id="9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380365</wp:posOffset>
            </wp:positionV>
            <wp:extent cx="7157720" cy="893699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157720" cy="89369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4" w:name="page95"/>
    <w:bookmarkEnd w:id="9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379730</wp:posOffset>
            </wp:positionH>
            <wp:positionV relativeFrom="page">
              <wp:posOffset>380365</wp:posOffset>
            </wp:positionV>
            <wp:extent cx="6789420" cy="877824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clrChange>
                        <a:clrFrom>
                          <a:srgbClr val="FFFFFF"/>
                        </a:clrFrom>
                        <a:clrTo>
                          <a:srgbClr val="FFFFFF">
                            <a:alpha val="0"/>
                          </a:srgbClr>
                        </a:clrTo>
                      </a:clrChange>
                      <a:extLst>
                        <a:ext uri="{28A0092B-C50C-407E-A947-70E740481C1C}"/>
                      </a:extLst>
                    </a:blip>
                    <a:srcRect/>
                    <a:stretch>
                      <a:fillRect/>
                    </a:stretch>
                  </pic:blipFill>
                  <pic:spPr bwMode="auto">
                    <a:xfrm>
                      <a:off x="0" y="0"/>
                      <a:ext cx="6789420" cy="877824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14330624"/>
    <w:multiLevelType w:val="hybridMultilevel"/>
    <w:lvl w:ilvl="0">
      <w:lvlJc w:val="left"/>
      <w:lvlText w:val="☐"/>
      <w:numFmt w:val="bullet"/>
      <w:start w:val="1"/>
    </w:lvl>
  </w:abstractNum>
  <w:abstractNum w:abstractNumId="1">
    <w:nsid w:val="7FFFCA11"/>
    <w:multiLevelType w:val="hybridMultilevel"/>
    <w:lvl w:ilvl="0">
      <w:lvlJc w:val="left"/>
      <w:lvlText w:val="☑"/>
      <w:numFmt w:val="bullet"/>
      <w:start w:val="1"/>
    </w:lvl>
  </w:abstractNum>
  <w:abstractNum w:abstractNumId="2">
    <w:nsid w:val="1A27709E"/>
    <w:multiLevelType w:val="hybridMultilevel"/>
    <w:lvl w:ilvl="0">
      <w:lvlJc w:val="left"/>
      <w:lvlText w:val="☐"/>
      <w:numFmt w:val="bullet"/>
      <w:start w:val="1"/>
    </w:lvl>
  </w:abstractNum>
  <w:abstractNum w:abstractNumId="3">
    <w:nsid w:val="71EA1109"/>
    <w:multiLevelType w:val="hybridMultilevel"/>
    <w:lvl w:ilvl="0">
      <w:lvlJc w:val="left"/>
      <w:lvlText w:val="☑"/>
      <w:numFmt w:val="bullet"/>
      <w:start w:val="1"/>
    </w:lvl>
  </w:abstractNum>
  <w:abstractNum w:abstractNumId="4">
    <w:nsid w:val="100F59DC"/>
    <w:multiLevelType w:val="hybridMultilevel"/>
    <w:lvl w:ilvl="0">
      <w:lvlJc w:val="left"/>
      <w:lvlText w:val="☐"/>
      <w:numFmt w:val="bullet"/>
      <w:start w:val="1"/>
    </w:lvl>
  </w:abstractNum>
  <w:abstractNum w:abstractNumId="5">
    <w:nsid w:val="7FB7E0AA"/>
    <w:multiLevelType w:val="hybridMultilevel"/>
    <w:lvl w:ilvl="0">
      <w:lvlJc w:val="left"/>
      <w:lvlText w:val="(%1)"/>
      <w:numFmt w:val="lowerRoman"/>
      <w:start w:val="5"/>
    </w:lvl>
  </w:abstractNum>
  <w:abstractNum w:abstractNumId="6">
    <w:nsid w:val="6EB5BD4"/>
    <w:multiLevelType w:val="hybridMultilevel"/>
    <w:lvl w:ilvl="0">
      <w:lvlJc w:val="left"/>
      <w:lvlText w:val="2"/>
      <w:numFmt w:val="bullet"/>
      <w:start w:val="1"/>
    </w:lvl>
  </w:abstractNum>
  <w:abstractNum w:abstractNumId="7">
    <w:nsid w:val="6F6DD9AC"/>
    <w:multiLevelType w:val="hybridMultilevel"/>
    <w:lvl w:ilvl="0">
      <w:lvlJc w:val="left"/>
      <w:lvlText w:val="4"/>
      <w:numFmt w:val="bullet"/>
      <w:start w:val="1"/>
    </w:lvl>
  </w:abstractNum>
  <w:abstractNum w:abstractNumId="8">
    <w:nsid w:val="94211F2"/>
    <w:multiLevelType w:val="hybridMultilevel"/>
    <w:lvl w:ilvl="0">
      <w:lvlJc w:val="left"/>
      <w:lvlText w:val="u"/>
      <w:numFmt w:val="bullet"/>
      <w:start w:val="1"/>
    </w:lvl>
  </w:abstractNum>
  <w:abstractNum w:abstractNumId="9">
    <w:nsid w:val="885E1B"/>
    <w:multiLevelType w:val="hybridMultilevel"/>
    <w:lvl w:ilvl="0">
      <w:lvlJc w:val="left"/>
      <w:lvlText w:val="*"/>
      <w:numFmt w:val="bullet"/>
      <w:start w:val="1"/>
    </w:lvl>
  </w:abstractNum>
  <w:abstractNum w:abstractNumId="10">
    <w:nsid w:val="76272110"/>
    <w:multiLevelType w:val="hybridMultilevel"/>
    <w:lvl w:ilvl="0">
      <w:lvlJc w:val="left"/>
      <w:lvlText w:val="(%1)"/>
      <w:numFmt w:val="decimal"/>
      <w:start w:val="1"/>
    </w:lvl>
  </w:abstractNum>
  <w:abstractNum w:abstractNumId="11">
    <w:nsid w:val="4C04A8AF"/>
    <w:multiLevelType w:val="hybridMultilevel"/>
    <w:lvl w:ilvl="0">
      <w:lvlJc w:val="left"/>
      <w:lvlText w:val="6"/>
      <w:numFmt w:val="bullet"/>
      <w:start w:val="1"/>
    </w:lvl>
  </w:abstractNum>
  <w:abstractNum w:abstractNumId="12">
    <w:nsid w:val="1716703B"/>
    <w:multiLevelType w:val="hybridMultilevel"/>
    <w:lvl w:ilvl="0">
      <w:lvlJc w:val="left"/>
      <w:lvlText w:val="u"/>
      <w:numFmt w:val="bullet"/>
      <w:start w:val="1"/>
    </w:lvl>
  </w:abstractNum>
  <w:abstractNum w:abstractNumId="13">
    <w:nsid w:val="14E17E33"/>
    <w:multiLevelType w:val="hybridMultilevel"/>
    <w:lvl w:ilvl="0">
      <w:lvlJc w:val="left"/>
      <w:lvlText w:val="u"/>
      <w:numFmt w:val="bullet"/>
      <w:start w:val="1"/>
    </w:lvl>
  </w:abstractNum>
  <w:abstractNum w:abstractNumId="14">
    <w:nsid w:val="3222E7CD"/>
    <w:multiLevelType w:val="hybridMultilevel"/>
    <w:lvl w:ilvl="0">
      <w:lvlJc w:val="left"/>
      <w:lvlText w:val="n"/>
      <w:numFmt w:val="bullet"/>
      <w:start w:val="1"/>
    </w:lvl>
  </w:abstractNum>
  <w:abstractNum w:abstractNumId="15">
    <w:nsid w:val="74DE0EE3"/>
    <w:multiLevelType w:val="hybridMultilevel"/>
    <w:lvl w:ilvl="0">
      <w:lvlJc w:val="left"/>
      <w:lvlText w:val="u"/>
      <w:numFmt w:val="bullet"/>
      <w:start w:val="1"/>
    </w:lvl>
  </w:abstractNum>
  <w:abstractNum w:abstractNumId="16">
    <w:nsid w:val="68EBC550"/>
    <w:multiLevelType w:val="hybridMultilevel"/>
    <w:lvl w:ilvl="0">
      <w:lvlJc w:val="left"/>
      <w:lvlText w:val="u"/>
      <w:numFmt w:val="bullet"/>
      <w:start w:val="1"/>
    </w:lvl>
  </w:abstractNum>
  <w:abstractNum w:abstractNumId="17">
    <w:nsid w:val="2DF6D648"/>
    <w:multiLevelType w:val="hybridMultilevel"/>
    <w:lvl w:ilvl="0">
      <w:lvlJc w:val="left"/>
      <w:lvlText w:val="8"/>
      <w:numFmt w:val="bullet"/>
      <w:start w:val="1"/>
    </w:lvl>
  </w:abstractNum>
  <w:abstractNum w:abstractNumId="18">
    <w:nsid w:val="46B7D447"/>
    <w:multiLevelType w:val="hybridMultilevel"/>
    <w:lvl w:ilvl="0">
      <w:lvlJc w:val="left"/>
      <w:lvlText w:val="u"/>
      <w:numFmt w:val="bullet"/>
      <w:start w:val="1"/>
    </w:lvl>
  </w:abstractNum>
  <w:abstractNum w:abstractNumId="19">
    <w:nsid w:val="4A2AC315"/>
    <w:multiLevelType w:val="hybridMultilevel"/>
    <w:lvl w:ilvl="0">
      <w:lvlJc w:val="left"/>
      <w:lvlText w:val="%1"/>
      <w:numFmt w:val="decimal"/>
      <w:start w:val="10"/>
    </w:lvl>
  </w:abstractNum>
  <w:abstractNum w:abstractNumId="20">
    <w:nsid w:val="39EE015C"/>
    <w:multiLevelType w:val="hybridMultilevel"/>
    <w:lvl w:ilvl="0">
      <w:lvlJc w:val="left"/>
      <w:lvlText w:val="u"/>
      <w:numFmt w:val="bullet"/>
      <w:start w:val="1"/>
    </w:lvl>
  </w:abstractNum>
  <w:abstractNum w:abstractNumId="21">
    <w:nsid w:val="57FC4FBB"/>
    <w:multiLevelType w:val="hybridMultilevel"/>
    <w:lvl w:ilvl="0">
      <w:lvlJc w:val="left"/>
      <w:lvlText w:val="*"/>
      <w:numFmt w:val="bullet"/>
      <w:start w:val="1"/>
    </w:lvl>
  </w:abstractNum>
  <w:abstractNum w:abstractNumId="22">
    <w:nsid w:val="CC1016F"/>
    <w:multiLevelType w:val="hybridMultilevel"/>
    <w:lvl w:ilvl="0">
      <w:lvlJc w:val="left"/>
      <w:lvlText w:val="u"/>
      <w:numFmt w:val="bullet"/>
      <w:start w:val="1"/>
    </w:lvl>
  </w:abstractNum>
  <w:abstractNum w:abstractNumId="23">
    <w:nsid w:val="43F18422"/>
    <w:multiLevelType w:val="hybridMultilevel"/>
    <w:lvl w:ilvl="0">
      <w:lvlJc w:val="left"/>
      <w:lvlText w:val="%1"/>
      <w:numFmt w:val="decimal"/>
      <w:start w:val="12"/>
    </w:lvl>
  </w:abstractNum>
  <w:abstractNum w:abstractNumId="24">
    <w:nsid w:val="60EF0119"/>
    <w:multiLevelType w:val="hybridMultilevel"/>
    <w:lvl w:ilvl="0">
      <w:lvlJc w:val="left"/>
      <w:lvlText w:val="u"/>
      <w:numFmt w:val="bullet"/>
      <w:start w:val="1"/>
    </w:lvl>
  </w:abstractNum>
  <w:abstractNum w:abstractNumId="25">
    <w:nsid w:val="26F324BA"/>
    <w:multiLevelType w:val="hybridMultilevel"/>
    <w:lvl w:ilvl="0">
      <w:lvlJc w:val="left"/>
      <w:lvlText w:val="u"/>
      <w:numFmt w:val="bullet"/>
      <w:start w:val="1"/>
    </w:lvl>
  </w:abstractNum>
  <w:abstractNum w:abstractNumId="26">
    <w:nsid w:val="7F01579B"/>
    <w:multiLevelType w:val="hybridMultilevel"/>
    <w:lvl w:ilvl="0">
      <w:lvlJc w:val="left"/>
      <w:lvlText w:val="*"/>
      <w:numFmt w:val="bullet"/>
      <w:start w:val="1"/>
    </w:lvl>
  </w:abstractNum>
  <w:abstractNum w:abstractNumId="27">
    <w:nsid w:val="49DA307D"/>
    <w:multiLevelType w:val="hybridMultilevel"/>
    <w:lvl w:ilvl="0">
      <w:lvlJc w:val="left"/>
      <w:lvlText w:val="u"/>
      <w:numFmt w:val="bullet"/>
      <w:start w:val="1"/>
    </w:lvl>
  </w:abstractNum>
  <w:abstractNum w:abstractNumId="28">
    <w:nsid w:val="7055A5F5"/>
    <w:multiLevelType w:val="hybridMultilevel"/>
    <w:lvl w:ilvl="0">
      <w:lvlJc w:val="left"/>
      <w:lvlText w:val="*"/>
      <w:numFmt w:val="bullet"/>
      <w:start w:val="1"/>
    </w:lvl>
  </w:abstractNum>
  <w:abstractNum w:abstractNumId="29">
    <w:nsid w:val="5FB8370B"/>
    <w:multiLevelType w:val="hybridMultilevel"/>
    <w:lvl w:ilvl="0">
      <w:lvlJc w:val="left"/>
      <w:lvlText w:val="u"/>
      <w:numFmt w:val="bullet"/>
      <w:start w:val="1"/>
    </w:lvl>
  </w:abstractNum>
  <w:abstractNum w:abstractNumId="30">
    <w:nsid w:val="50801EE1"/>
    <w:multiLevelType w:val="hybridMultilevel"/>
    <w:lvl w:ilvl="0">
      <w:lvlJc w:val="left"/>
      <w:lvlText w:val="%1"/>
      <w:numFmt w:val="decimal"/>
      <w:start w:val="14"/>
    </w:lvl>
  </w:abstractNum>
  <w:abstractNum w:abstractNumId="31">
    <w:nsid w:val="488AC1A"/>
    <w:multiLevelType w:val="hybridMultilevel"/>
    <w:lvl w:ilvl="0">
      <w:lvlJc w:val="left"/>
      <w:lvlText w:val="u"/>
      <w:numFmt w:val="bullet"/>
      <w:start w:val="1"/>
    </w:lvl>
  </w:abstractNum>
  <w:abstractNum w:abstractNumId="32">
    <w:nsid w:val="5FB8011C"/>
    <w:multiLevelType w:val="hybridMultilevel"/>
    <w:lvl w:ilvl="0">
      <w:lvlJc w:val="left"/>
      <w:lvlText w:val="u"/>
      <w:numFmt w:val="bullet"/>
      <w:start w:val="1"/>
    </w:lvl>
  </w:abstractNum>
  <w:abstractNum w:abstractNumId="33">
    <w:nsid w:val="6AA78F7F"/>
    <w:multiLevelType w:val="hybridMultilevel"/>
    <w:lvl w:ilvl="0">
      <w:lvlJc w:val="left"/>
      <w:lvlText w:val="u"/>
      <w:numFmt w:val="bullet"/>
      <w:start w:val="1"/>
    </w:lvl>
  </w:abstractNum>
  <w:abstractNum w:abstractNumId="34">
    <w:nsid w:val="7672BD23"/>
    <w:multiLevelType w:val="hybridMultilevel"/>
    <w:lvl w:ilvl="0">
      <w:lvlJc w:val="left"/>
      <w:lvlText w:val="%1"/>
      <w:numFmt w:val="decimal"/>
      <w:start w:val="16"/>
    </w:lvl>
  </w:abstractNum>
  <w:abstractNum w:abstractNumId="35">
    <w:nsid w:val="6FC75AF8"/>
    <w:multiLevelType w:val="hybridMultilevel"/>
    <w:lvl w:ilvl="0">
      <w:lvlJc w:val="left"/>
      <w:lvlText w:val="%1"/>
      <w:numFmt w:val="decimal"/>
      <w:start w:val="18"/>
    </w:lvl>
  </w:abstractNum>
  <w:abstractNum w:abstractNumId="36">
    <w:nsid w:val="6A5F7029"/>
    <w:multiLevelType w:val="hybridMultilevel"/>
    <w:lvl w:ilvl="0">
      <w:lvlJc w:val="left"/>
      <w:lvlText w:val="u"/>
      <w:numFmt w:val="bullet"/>
      <w:start w:val="1"/>
    </w:lvl>
  </w:abstractNum>
  <w:abstractNum w:abstractNumId="37">
    <w:nsid w:val="7D5E18F8"/>
    <w:multiLevelType w:val="hybridMultilevel"/>
    <w:lvl w:ilvl="0">
      <w:lvlJc w:val="left"/>
      <w:lvlText w:val="*"/>
      <w:numFmt w:val="bullet"/>
      <w:start w:val="1"/>
    </w:lvl>
  </w:abstractNum>
  <w:abstractNum w:abstractNumId="38">
    <w:nsid w:val="5F3534A4"/>
    <w:multiLevelType w:val="hybridMultilevel"/>
    <w:lvl w:ilvl="0">
      <w:lvlJc w:val="left"/>
      <w:lvlText w:val="u"/>
      <w:numFmt w:val="bullet"/>
      <w:start w:val="1"/>
    </w:lvl>
  </w:abstractNum>
  <w:abstractNum w:abstractNumId="39">
    <w:nsid w:val="73A1821B"/>
    <w:multiLevelType w:val="hybridMultilevel"/>
    <w:lvl w:ilvl="0">
      <w:lvlJc w:val="left"/>
      <w:lvlText w:val="u"/>
      <w:numFmt w:val="bullet"/>
      <w:start w:val="1"/>
    </w:lvl>
  </w:abstractNum>
  <w:abstractNum w:abstractNumId="40">
    <w:nsid w:val="7DE67713"/>
    <w:multiLevelType w:val="hybridMultilevel"/>
    <w:lvl w:ilvl="0">
      <w:lvlJc w:val="left"/>
      <w:lvlText w:val="%1"/>
      <w:numFmt w:val="decimal"/>
      <w:start w:val="20"/>
    </w:lvl>
  </w:abstractNum>
  <w:abstractNum w:abstractNumId="41">
    <w:nsid w:val="555C55B5"/>
    <w:multiLevelType w:val="hybridMultilevel"/>
    <w:lvl w:ilvl="0">
      <w:lvlJc w:val="left"/>
      <w:lvlText w:val="\emdash "/>
      <w:numFmt w:val="bullet"/>
      <w:start w:val="1"/>
    </w:lvl>
  </w:abstractNum>
  <w:abstractNum w:abstractNumId="42">
    <w:nsid w:val="3FA62ACA"/>
    <w:multiLevelType w:val="hybridMultilevel"/>
    <w:lvl w:ilvl="0">
      <w:lvlJc w:val="left"/>
      <w:lvlText w:val="u"/>
      <w:numFmt w:val="bullet"/>
      <w:start w:val="1"/>
    </w:lvl>
  </w:abstractNum>
  <w:abstractNum w:abstractNumId="43">
    <w:nsid w:val="14FCE74E"/>
    <w:multiLevelType w:val="hybridMultilevel"/>
    <w:lvl w:ilvl="0">
      <w:lvlJc w:val="left"/>
      <w:lvlText w:val="%1"/>
      <w:numFmt w:val="decimal"/>
      <w:start w:val="22"/>
    </w:lvl>
  </w:abstractNum>
  <w:abstractNum w:abstractNumId="44">
    <w:nsid w:val="6A3DD3E8"/>
    <w:multiLevelType w:val="hybridMultilevel"/>
    <w:lvl w:ilvl="0">
      <w:lvlJc w:val="left"/>
      <w:lvlText w:val="u"/>
      <w:numFmt w:val="bullet"/>
      <w:start w:val="1"/>
    </w:lvl>
  </w:abstractNum>
  <w:abstractNum w:abstractNumId="45">
    <w:nsid w:val="71C91298"/>
    <w:multiLevelType w:val="hybridMultilevel"/>
    <w:lvl w:ilvl="0">
      <w:lvlJc w:val="left"/>
      <w:lvlText w:val="u"/>
      <w:numFmt w:val="bullet"/>
      <w:start w:val="1"/>
    </w:lvl>
  </w:abstractNum>
  <w:abstractNum w:abstractNumId="46">
    <w:nsid w:val="9DAF632"/>
    <w:multiLevelType w:val="hybridMultilevel"/>
    <w:lvl w:ilvl="0">
      <w:lvlJc w:val="left"/>
      <w:lvlText w:val="u"/>
      <w:numFmt w:val="bullet"/>
      <w:start w:val="1"/>
    </w:lvl>
  </w:abstractNum>
  <w:abstractNum w:abstractNumId="47">
    <w:nsid w:val="53299938"/>
    <w:multiLevelType w:val="hybridMultilevel"/>
    <w:lvl w:ilvl="0">
      <w:lvlJc w:val="left"/>
      <w:lvlText w:val="u"/>
      <w:numFmt w:val="bullet"/>
      <w:start w:val="1"/>
    </w:lvl>
  </w:abstractNum>
  <w:abstractNum w:abstractNumId="48">
    <w:nsid w:val="1FBFE8E0"/>
    <w:multiLevelType w:val="hybridMultilevel"/>
    <w:lvl w:ilvl="0">
      <w:lvlJc w:val="left"/>
      <w:lvlText w:val="u"/>
      <w:numFmt w:val="bullet"/>
      <w:start w:val="1"/>
    </w:lvl>
  </w:abstractNum>
  <w:abstractNum w:abstractNumId="49">
    <w:nsid w:val="5092CA79"/>
    <w:multiLevelType w:val="hybridMultilevel"/>
    <w:lvl w:ilvl="0">
      <w:lvlJc w:val="left"/>
      <w:lvlText w:val="%1"/>
      <w:numFmt w:val="decimal"/>
      <w:start w:val="24"/>
    </w:lvl>
  </w:abstractNum>
  <w:abstractNum w:abstractNumId="50">
    <w:nsid w:val="1D545C4D"/>
    <w:multiLevelType w:val="hybridMultilevel"/>
    <w:lvl w:ilvl="0">
      <w:lvlJc w:val="left"/>
      <w:lvlText w:val="u"/>
      <w:numFmt w:val="bullet"/>
      <w:start w:val="1"/>
    </w:lvl>
  </w:abstractNum>
  <w:abstractNum w:abstractNumId="51">
    <w:nsid w:val="59ADEA3D"/>
    <w:multiLevelType w:val="hybridMultilevel"/>
    <w:lvl w:ilvl="0">
      <w:lvlJc w:val="left"/>
      <w:lvlText w:val="u"/>
      <w:numFmt w:val="bullet"/>
      <w:start w:val="1"/>
    </w:lvl>
  </w:abstractNum>
  <w:abstractNum w:abstractNumId="52">
    <w:nsid w:val="288F1A34"/>
    <w:multiLevelType w:val="hybridMultilevel"/>
    <w:lvl w:ilvl="0">
      <w:lvlJc w:val="left"/>
      <w:lvlText w:val="u"/>
      <w:numFmt w:val="bullet"/>
      <w:start w:val="1"/>
    </w:lvl>
  </w:abstractNum>
  <w:abstractNum w:abstractNumId="53">
    <w:nsid w:val="2A155DBC"/>
    <w:multiLevelType w:val="hybridMultilevel"/>
    <w:lvl w:ilvl="0">
      <w:lvlJc w:val="left"/>
      <w:lvlText w:val="%1"/>
      <w:numFmt w:val="decimal"/>
      <w:start w:val="26"/>
    </w:lvl>
  </w:abstractNum>
  <w:abstractNum w:abstractNumId="54">
    <w:nsid w:val="1D9F6E5F"/>
    <w:multiLevelType w:val="hybridMultilevel"/>
    <w:lvl w:ilvl="0">
      <w:lvlJc w:val="left"/>
      <w:lvlText w:val="(%1)"/>
      <w:numFmt w:val="decimal"/>
      <w:start w:val="1"/>
    </w:lvl>
  </w:abstractNum>
  <w:abstractNum w:abstractNumId="55">
    <w:nsid w:val="97E1B4E"/>
    <w:multiLevelType w:val="hybridMultilevel"/>
    <w:lvl w:ilvl="0">
      <w:lvlJc w:val="left"/>
      <w:lvlText w:val="%1"/>
      <w:numFmt w:val="decimal"/>
      <w:start w:val="28"/>
    </w:lvl>
  </w:abstractNum>
  <w:abstractNum w:abstractNumId="56">
    <w:nsid w:val="51088277"/>
    <w:multiLevelType w:val="hybridMultilevel"/>
    <w:lvl w:ilvl="0">
      <w:lvlJc w:val="left"/>
      <w:lvlText w:val="(%1)"/>
      <w:numFmt w:val="decimal"/>
      <w:start w:val="1"/>
    </w:lvl>
  </w:abstractNum>
  <w:abstractNum w:abstractNumId="57">
    <w:nsid w:val="1CA0C5FA"/>
    <w:multiLevelType w:val="hybridMultilevel"/>
    <w:lvl w:ilvl="0">
      <w:lvlJc w:val="left"/>
      <w:lvlText w:val="(%1)"/>
      <w:numFmt w:val="decimal"/>
      <w:start w:val="2"/>
    </w:lvl>
  </w:abstractNum>
  <w:abstractNum w:abstractNumId="58">
    <w:nsid w:val="53584BCB"/>
    <w:multiLevelType w:val="hybridMultilevel"/>
    <w:lvl w:ilvl="0">
      <w:lvlJc w:val="left"/>
      <w:lvlText w:val="(%1)"/>
      <w:numFmt w:val="decimal"/>
      <w:start w:val="3"/>
    </w:lvl>
  </w:abstractNum>
  <w:abstractNum w:abstractNumId="59">
    <w:nsid w:val="415E286C"/>
    <w:multiLevelType w:val="hybridMultilevel"/>
    <w:lvl w:ilvl="0">
      <w:lvlJc w:val="left"/>
      <w:lvlText w:val="%1"/>
      <w:numFmt w:val="decimal"/>
      <w:start w:val="30"/>
    </w:lvl>
  </w:abstractNum>
  <w:abstractNum w:abstractNumId="60">
    <w:nsid w:val="7C58FD05"/>
    <w:multiLevelType w:val="hybridMultilevel"/>
    <w:lvl w:ilvl="0">
      <w:lvlJc w:val="left"/>
      <w:lvlText w:val="%1"/>
      <w:numFmt w:val="decimal"/>
      <w:start w:val="32"/>
    </w:lvl>
  </w:abstractNum>
  <w:abstractNum w:abstractNumId="61">
    <w:nsid w:val="23D86AAC"/>
    <w:multiLevelType w:val="hybridMultilevel"/>
    <w:lvl w:ilvl="0">
      <w:lvlJc w:val="left"/>
      <w:lvlText w:val="*"/>
      <w:numFmt w:val="bullet"/>
      <w:start w:val="1"/>
    </w:lvl>
  </w:abstractNum>
  <w:abstractNum w:abstractNumId="62">
    <w:nsid w:val="45E6D486"/>
    <w:multiLevelType w:val="hybridMultilevel"/>
    <w:lvl w:ilvl="0">
      <w:lvlJc w:val="left"/>
      <w:lvlText w:val="1"/>
      <w:numFmt w:val="bullet"/>
      <w:start w:val="1"/>
    </w:lvl>
  </w:abstractNum>
  <w:abstractNum w:abstractNumId="63">
    <w:nsid w:val="5C10FE21"/>
    <w:multiLevelType w:val="hybridMultilevel"/>
    <w:lvl w:ilvl="0">
      <w:lvlJc w:val="left"/>
      <w:lvlText w:val="*"/>
      <w:numFmt w:val="bullet"/>
      <w:start w:val="1"/>
    </w:lvl>
  </w:abstractNum>
  <w:abstractNum w:abstractNumId="64">
    <w:nsid w:val="E7FFA2B"/>
    <w:multiLevelType w:val="hybridMultilevel"/>
    <w:lvl w:ilvl="0">
      <w:lvlJc w:val="left"/>
      <w:lvlText w:val="%1"/>
      <w:numFmt w:val="decimal"/>
      <w:start w:val="34"/>
    </w:lvl>
  </w:abstractNum>
  <w:abstractNum w:abstractNumId="65">
    <w:nsid w:val="3C5991AA"/>
    <w:multiLevelType w:val="hybridMultilevel"/>
    <w:lvl w:ilvl="0">
      <w:lvlJc w:val="left"/>
      <w:lvlText w:val="u"/>
      <w:numFmt w:val="bullet"/>
      <w:start w:val="1"/>
    </w:lvl>
  </w:abstractNum>
  <w:abstractNum w:abstractNumId="66">
    <w:nsid w:val="4BD8591A"/>
    <w:multiLevelType w:val="hybridMultilevel"/>
    <w:lvl w:ilvl="0">
      <w:lvlJc w:val="left"/>
      <w:lvlText w:val="n"/>
      <w:numFmt w:val="bullet"/>
      <w:start w:val="1"/>
    </w:lvl>
  </w:abstractNum>
  <w:abstractNum w:abstractNumId="67">
    <w:nsid w:val="78DF6A55"/>
    <w:multiLevelType w:val="hybridMultilevel"/>
    <w:lvl w:ilvl="0">
      <w:lvlJc w:val="left"/>
      <w:lvlText w:val="u"/>
      <w:numFmt w:val="bullet"/>
      <w:start w:val="1"/>
    </w:lvl>
  </w:abstractNum>
  <w:abstractNum w:abstractNumId="68">
    <w:nsid w:val="39B7AAA2"/>
    <w:multiLevelType w:val="hybridMultilevel"/>
    <w:lvl w:ilvl="0">
      <w:lvlJc w:val="left"/>
      <w:lvlText w:val="n"/>
      <w:numFmt w:val="bullet"/>
      <w:start w:val="1"/>
    </w:lvl>
  </w:abstractNum>
  <w:abstractNum w:abstractNumId="69">
    <w:nsid w:val="2B0D8DBE"/>
    <w:multiLevelType w:val="hybridMultilevel"/>
    <w:lvl w:ilvl="0">
      <w:lvlJc w:val="left"/>
      <w:lvlText w:val="u"/>
      <w:numFmt w:val="bullet"/>
      <w:start w:val="1"/>
    </w:lvl>
  </w:abstractNum>
  <w:abstractNum w:abstractNumId="70">
    <w:nsid w:val="6C80EC70"/>
    <w:multiLevelType w:val="hybridMultilevel"/>
    <w:lvl w:ilvl="0">
      <w:lvlJc w:val="left"/>
      <w:lvlText w:val="u"/>
      <w:numFmt w:val="bullet"/>
      <w:start w:val="1"/>
    </w:lvl>
  </w:abstractNum>
  <w:abstractNum w:abstractNumId="71">
    <w:nsid w:val="379E21B5"/>
    <w:multiLevelType w:val="hybridMultilevel"/>
    <w:lvl w:ilvl="0">
      <w:lvlJc w:val="left"/>
      <w:lvlText w:val="%1"/>
      <w:numFmt w:val="decimal"/>
      <w:start w:val="36"/>
    </w:lvl>
  </w:abstractNum>
  <w:abstractNum w:abstractNumId="72">
    <w:nsid w:val="69E373"/>
    <w:multiLevelType w:val="hybridMultilevel"/>
    <w:lvl w:ilvl="0">
      <w:lvlJc w:val="left"/>
      <w:lvlText w:val="u"/>
      <w:numFmt w:val="bullet"/>
      <w:start w:val="1"/>
    </w:lvl>
  </w:abstractNum>
  <w:abstractNum w:abstractNumId="73">
    <w:nsid w:val="2C27173B"/>
    <w:multiLevelType w:val="hybridMultilevel"/>
    <w:lvl w:ilvl="0">
      <w:lvlJc w:val="left"/>
      <w:lvlText w:val="u"/>
      <w:numFmt w:val="bullet"/>
      <w:start w:val="1"/>
    </w:lvl>
  </w:abstractNum>
  <w:abstractNum w:abstractNumId="74">
    <w:nsid w:val="4C9B0904"/>
    <w:multiLevelType w:val="hybridMultilevel"/>
    <w:lvl w:ilvl="0">
      <w:lvlJc w:val="left"/>
      <w:lvlText w:val="u"/>
      <w:numFmt w:val="bullet"/>
      <w:start w:val="1"/>
    </w:lvl>
  </w:abstractNum>
  <w:abstractNum w:abstractNumId="75">
    <w:nsid w:val="6AA7B75C"/>
    <w:multiLevelType w:val="hybridMultilevel"/>
    <w:lvl w:ilvl="0">
      <w:lvlJc w:val="left"/>
      <w:lvlText w:val="u"/>
      <w:numFmt w:val="bullet"/>
      <w:start w:val="1"/>
    </w:lvl>
  </w:abstractNum>
  <w:abstractNum w:abstractNumId="76">
    <w:nsid w:val="1DF029D3"/>
    <w:multiLevelType w:val="hybridMultilevel"/>
    <w:lvl w:ilvl="0">
      <w:lvlJc w:val="left"/>
      <w:lvlText w:val="u"/>
      <w:numFmt w:val="bullet"/>
      <w:start w:val="1"/>
    </w:lvl>
  </w:abstractNum>
  <w:abstractNum w:abstractNumId="77">
    <w:nsid w:val="5675FF36"/>
    <w:multiLevelType w:val="hybridMultilevel"/>
    <w:lvl w:ilvl="0">
      <w:lvlJc w:val="left"/>
      <w:lvlText w:val="u"/>
      <w:numFmt w:val="bullet"/>
      <w:start w:val="1"/>
    </w:lvl>
  </w:abstractNum>
  <w:abstractNum w:abstractNumId="78">
    <w:nsid w:val="3DD15094"/>
    <w:multiLevelType w:val="hybridMultilevel"/>
    <w:lvl w:ilvl="0">
      <w:lvlJc w:val="left"/>
      <w:lvlText w:val="u"/>
      <w:numFmt w:val="bullet"/>
      <w:start w:val="1"/>
    </w:lvl>
  </w:abstractNum>
  <w:abstractNum w:abstractNumId="79">
    <w:nsid w:val="3DB012B3"/>
    <w:multiLevelType w:val="hybridMultilevel"/>
    <w:lvl w:ilvl="0">
      <w:lvlJc w:val="left"/>
      <w:lvlText w:val="%1"/>
      <w:numFmt w:val="decimal"/>
      <w:start w:val="38"/>
    </w:lvl>
  </w:abstractNum>
  <w:abstractNum w:abstractNumId="80">
    <w:nsid w:val="2708C9AF"/>
    <w:multiLevelType w:val="hybridMultilevel"/>
    <w:lvl w:ilvl="0">
      <w:lvlJc w:val="left"/>
      <w:lvlText w:val="u"/>
      <w:numFmt w:val="bullet"/>
      <w:start w:val="1"/>
    </w:lvl>
  </w:abstractNum>
  <w:abstractNum w:abstractNumId="81">
    <w:nsid w:val="5B25ACE2"/>
    <w:multiLevelType w:val="hybridMultilevel"/>
    <w:lvl w:ilvl="0">
      <w:lvlJc w:val="left"/>
      <w:lvlText w:val="u"/>
      <w:numFmt w:val="bullet"/>
      <w:start w:val="1"/>
    </w:lvl>
  </w:abstractNum>
  <w:abstractNum w:abstractNumId="82">
    <w:nsid w:val="175DFCF0"/>
    <w:multiLevelType w:val="hybridMultilevel"/>
    <w:lvl w:ilvl="0">
      <w:lvlJc w:val="left"/>
      <w:lvlText w:val="%1"/>
      <w:numFmt w:val="decimal"/>
      <w:start w:val="40"/>
    </w:lvl>
  </w:abstractNum>
  <w:abstractNum w:abstractNumId="83">
    <w:nsid w:val="4F97E3E4"/>
    <w:multiLevelType w:val="hybridMultilevel"/>
    <w:lvl w:ilvl="0">
      <w:lvlJc w:val="left"/>
      <w:lvlText w:val="x"/>
      <w:numFmt w:val="bullet"/>
      <w:start w:val="1"/>
    </w:lvl>
  </w:abstractNum>
  <w:abstractNum w:abstractNumId="84">
    <w:nsid w:val="53B0A9E"/>
    <w:multiLevelType w:val="hybridMultilevel"/>
    <w:lvl w:ilvl="0">
      <w:lvlJc w:val="left"/>
      <w:lvlText w:val="x"/>
      <w:numFmt w:val="bullet"/>
      <w:start w:val="1"/>
    </w:lvl>
  </w:abstractNum>
  <w:abstractNum w:abstractNumId="85">
    <w:nsid w:val="34FD6B4F"/>
    <w:multiLevelType w:val="hybridMultilevel"/>
    <w:lvl w:ilvl="0">
      <w:lvlJc w:val="left"/>
      <w:lvlText w:val="x"/>
      <w:numFmt w:val="bullet"/>
      <w:start w:val="1"/>
    </w:lvl>
  </w:abstractNum>
  <w:abstractNum w:abstractNumId="86">
    <w:nsid w:val="5915FF32"/>
    <w:multiLevelType w:val="hybridMultilevel"/>
    <w:lvl w:ilvl="0">
      <w:lvlJc w:val="left"/>
      <w:lvlText w:val="%1"/>
      <w:numFmt w:val="decimal"/>
      <w:start w:val="42"/>
    </w:lvl>
  </w:abstractNum>
  <w:abstractNum w:abstractNumId="87">
    <w:nsid w:val="56438D15"/>
    <w:multiLevelType w:val="hybridMultilevel"/>
    <w:lvl w:ilvl="0">
      <w:lvlJc w:val="left"/>
      <w:lvlText w:val="*"/>
      <w:numFmt w:val="bullet"/>
      <w:start w:val="1"/>
    </w:lvl>
  </w:abstractNum>
  <w:abstractNum w:abstractNumId="88">
    <w:nsid w:val="519E3149"/>
    <w:multiLevelType w:val="hybridMultilevel"/>
    <w:lvl w:ilvl="0">
      <w:lvlJc w:val="left"/>
      <w:lvlText w:val="%1"/>
      <w:numFmt w:val="decimal"/>
      <w:start w:val="46"/>
    </w:lvl>
  </w:abstractNum>
  <w:abstractNum w:abstractNumId="89">
    <w:nsid w:val="2C6E4AFD"/>
    <w:multiLevelType w:val="hybridMultilevel"/>
    <w:lvl w:ilvl="0">
      <w:lvlJc w:val="left"/>
      <w:lvlText w:val="(%1)"/>
      <w:numFmt w:val="decimal"/>
      <w:start w:val="1"/>
    </w:lvl>
  </w:abstractNum>
  <w:abstractNum w:abstractNumId="90">
    <w:nsid w:val="17A1B582"/>
    <w:multiLevelType w:val="hybridMultilevel"/>
    <w:lvl w:ilvl="0">
      <w:lvlJc w:val="left"/>
      <w:lvlText w:val="%1"/>
      <w:numFmt w:val="decimal"/>
      <w:start w:val="48"/>
    </w:lvl>
  </w:abstractNum>
  <w:abstractNum w:abstractNumId="91">
    <w:nsid w:val="4DF72E4E"/>
    <w:multiLevelType w:val="hybridMultilevel"/>
    <w:lvl w:ilvl="0">
      <w:lvlJc w:val="left"/>
      <w:lvlText w:val="*"/>
      <w:numFmt w:val="bullet"/>
      <w:start w:val="1"/>
    </w:lvl>
  </w:abstractNum>
  <w:abstractNum w:abstractNumId="92">
    <w:nsid w:val="5046B5A9"/>
    <w:multiLevelType w:val="hybridMultilevel"/>
    <w:lvl w:ilvl="0">
      <w:lvlJc w:val="left"/>
      <w:lvlText w:val="**"/>
      <w:numFmt w:val="bullet"/>
      <w:start w:val="1"/>
    </w:lvl>
  </w:abstractNum>
  <w:abstractNum w:abstractNumId="93">
    <w:nsid w:val="5D888A08"/>
    <w:multiLevelType w:val="hybridMultilevel"/>
    <w:lvl w:ilvl="0">
      <w:lvlJc w:val="left"/>
      <w:lvlText w:val="%1"/>
      <w:numFmt w:val="decimal"/>
      <w:start w:val="50"/>
    </w:lvl>
  </w:abstractNum>
  <w:abstractNum w:abstractNumId="94">
    <w:nsid w:val="2A082C70"/>
    <w:multiLevelType w:val="hybridMultilevel"/>
    <w:lvl w:ilvl="0">
      <w:lvlJc w:val="left"/>
      <w:lvlText w:val="u"/>
      <w:numFmt w:val="bullet"/>
      <w:start w:val="1"/>
    </w:lvl>
  </w:abstractNum>
  <w:abstractNum w:abstractNumId="95">
    <w:nsid w:val="5EC6AFD4"/>
    <w:multiLevelType w:val="hybridMultilevel"/>
    <w:lvl w:ilvl="0">
      <w:lvlJc w:val="left"/>
      <w:lvlText w:val="%1"/>
      <w:numFmt w:val="decimal"/>
      <w:start w:val="52"/>
    </w:lvl>
  </w:abstractNum>
  <w:abstractNum w:abstractNumId="96">
    <w:nsid w:val="19E21BB2"/>
    <w:multiLevelType w:val="hybridMultilevel"/>
    <w:lvl w:ilvl="0">
      <w:lvlJc w:val="left"/>
      <w:lvlText w:val="(%1)"/>
      <w:numFmt w:val="decimal"/>
      <w:start w:val="1"/>
    </w:lvl>
  </w:abstractNum>
  <w:abstractNum w:abstractNumId="97">
    <w:nsid w:val="75E0858A"/>
    <w:multiLevelType w:val="hybridMultilevel"/>
    <w:lvl w:ilvl="0">
      <w:lvlJc w:val="left"/>
      <w:lvlText w:val="%1"/>
      <w:numFmt w:val="decimal"/>
      <w:start w:val="54"/>
    </w:lvl>
  </w:abstractNum>
  <w:abstractNum w:abstractNumId="98">
    <w:nsid w:val="57A61A29"/>
    <w:multiLevelType w:val="hybridMultilevel"/>
    <w:lvl w:ilvl="0">
      <w:lvlJc w:val="left"/>
      <w:lvlText w:val="u"/>
      <w:numFmt w:val="bullet"/>
      <w:start w:val="1"/>
    </w:lvl>
  </w:abstractNum>
  <w:abstractNum w:abstractNumId="99">
    <w:nsid w:val="5399C654"/>
    <w:multiLevelType w:val="hybridMultilevel"/>
    <w:lvl w:ilvl="0">
      <w:lvlJc w:val="left"/>
      <w:lvlText w:val="(%1)"/>
      <w:numFmt w:val="decimal"/>
      <w:start w:val="1"/>
    </w:lvl>
  </w:abstractNum>
  <w:abstractNum w:abstractNumId="100">
    <w:nsid w:val="20EE1348"/>
    <w:multiLevelType w:val="hybridMultilevel"/>
    <w:lvl w:ilvl="0">
      <w:lvlJc w:val="left"/>
      <w:lvlText w:val="%1"/>
      <w:numFmt w:val="decimal"/>
      <w:start w:val="56"/>
    </w:lvl>
  </w:abstractNum>
  <w:abstractNum w:abstractNumId="101">
    <w:nsid w:val="4427069A"/>
    <w:multiLevelType w:val="hybridMultilevel"/>
    <w:lvl w:ilvl="0">
      <w:lvlJc w:val="left"/>
      <w:lvlText w:val="(%1)"/>
      <w:numFmt w:val="decimal"/>
      <w:start w:val="5"/>
    </w:lvl>
  </w:abstractNum>
  <w:abstractNum w:abstractNumId="102">
    <w:nsid w:val="B37E80A"/>
    <w:multiLevelType w:val="hybridMultilevel"/>
    <w:lvl w:ilvl="0">
      <w:lvlJc w:val="left"/>
      <w:lvlText w:val="(%1)"/>
      <w:numFmt w:val="lowerLetter"/>
      <w:start w:val="1"/>
    </w:lvl>
  </w:abstractNum>
  <w:abstractNum w:abstractNumId="103">
    <w:nsid w:val="2157F6BC"/>
    <w:multiLevelType w:val="hybridMultilevel"/>
    <w:lvl w:ilvl="0">
      <w:lvlJc w:val="left"/>
      <w:lvlText w:val="(%1)"/>
      <w:numFmt w:val="decimal"/>
      <w:start w:val="1"/>
    </w:lvl>
  </w:abstractNum>
  <w:abstractNum w:abstractNumId="104">
    <w:nsid w:val="704E1DD5"/>
    <w:multiLevelType w:val="hybridMultilevel"/>
    <w:lvl w:ilvl="0">
      <w:lvlJc w:val="left"/>
      <w:lvlText w:val="%1"/>
      <w:numFmt w:val="decimal"/>
      <w:start w:val="58"/>
    </w:lvl>
  </w:abstractNum>
  <w:abstractNum w:abstractNumId="105">
    <w:nsid w:val="57D2F10E"/>
    <w:multiLevelType w:val="hybridMultilevel"/>
    <w:lvl w:ilvl="0">
      <w:lvlJc w:val="left"/>
      <w:lvlText w:val="(%1)"/>
      <w:numFmt w:val="decimal"/>
      <w:start w:val="1"/>
    </w:lvl>
  </w:abstractNum>
  <w:abstractNum w:abstractNumId="106">
    <w:nsid w:val="BFFAE18"/>
    <w:multiLevelType w:val="hybridMultilevel"/>
    <w:lvl w:ilvl="0">
      <w:lvlJc w:val="left"/>
      <w:lvlText w:val="(%1)"/>
      <w:numFmt w:val="decimal"/>
      <w:start w:val="2"/>
    </w:lvl>
  </w:abstractNum>
  <w:abstractNum w:abstractNumId="107">
    <w:nsid w:val="E3E47A8"/>
    <w:multiLevelType w:val="hybridMultilevel"/>
    <w:lvl w:ilvl="0">
      <w:lvlJc w:val="left"/>
      <w:lvlText w:val="(%1)"/>
      <w:numFmt w:val="decimal"/>
      <w:start w:val="3"/>
    </w:lvl>
  </w:abstractNum>
  <w:abstractNum w:abstractNumId="108">
    <w:nsid w:val="2E48F044"/>
    <w:multiLevelType w:val="hybridMultilevel"/>
    <w:lvl w:ilvl="0">
      <w:lvlJc w:val="left"/>
      <w:lvlText w:val="(%1)"/>
      <w:numFmt w:val="decimal"/>
      <w:start w:val="5"/>
    </w:lvl>
  </w:abstractNum>
  <w:abstractNum w:abstractNumId="109">
    <w:nsid w:val="49D0FEAC"/>
    <w:multiLevelType w:val="hybridMultilevel"/>
    <w:lvl w:ilvl="0">
      <w:lvlJc w:val="left"/>
      <w:lvlText w:val="%1"/>
      <w:numFmt w:val="decimal"/>
      <w:start w:val="60"/>
    </w:lvl>
  </w:abstractNum>
  <w:abstractNum w:abstractNumId="110">
    <w:nsid w:val="4BEE5A5B"/>
    <w:multiLevelType w:val="hybridMultilevel"/>
    <w:lvl w:ilvl="0">
      <w:lvlJc w:val="left"/>
      <w:lvlText w:val="(%1)"/>
      <w:numFmt w:val="decimal"/>
      <w:start w:val="1"/>
    </w:lvl>
  </w:abstractNum>
  <w:abstractNum w:abstractNumId="111">
    <w:nsid w:val="5551B9F3"/>
    <w:multiLevelType w:val="hybridMultilevel"/>
    <w:lvl w:ilvl="0">
      <w:lvlJc w:val="left"/>
      <w:lvlText w:val="(%1)"/>
      <w:numFmt w:val="decimal"/>
      <w:start w:val="1"/>
    </w:lvl>
  </w:abstractNum>
  <w:abstractNum w:abstractNumId="112">
    <w:nsid w:val="24F6AB8E"/>
    <w:multiLevelType w:val="hybridMultilevel"/>
    <w:lvl w:ilvl="0">
      <w:lvlJc w:val="left"/>
      <w:lvlText w:val="n"/>
      <w:numFmt w:val="bullet"/>
      <w:start w:val="1"/>
    </w:lvl>
  </w:abstractNum>
  <w:abstractNum w:abstractNumId="113">
    <w:nsid w:val="634C574C"/>
    <w:multiLevelType w:val="hybridMultilevel"/>
    <w:lvl w:ilvl="0">
      <w:lvlJc w:val="left"/>
      <w:lvlText w:val="u"/>
      <w:numFmt w:val="bullet"/>
      <w:start w:val="1"/>
    </w:lvl>
  </w:abstractNum>
  <w:abstractNum w:abstractNumId="114">
    <w:nsid w:val="24E99DD7"/>
    <w:multiLevelType w:val="hybridMultilevel"/>
    <w:lvl w:ilvl="0">
      <w:lvlJc w:val="left"/>
      <w:lvlText w:val="u"/>
      <w:numFmt w:val="bullet"/>
      <w:start w:val="1"/>
    </w:lvl>
  </w:abstractNum>
  <w:abstractNum w:abstractNumId="115">
    <w:nsid w:val="2A31B62D"/>
    <w:multiLevelType w:val="hybridMultilevel"/>
    <w:lvl w:ilvl="0">
      <w:lvlJc w:val="left"/>
      <w:lvlText w:val="%1"/>
      <w:numFmt w:val="decimal"/>
      <w:start w:val="62"/>
    </w:lvl>
  </w:abstractNum>
  <w:abstractNum w:abstractNumId="116">
    <w:nsid w:val="1849C29B"/>
    <w:multiLevelType w:val="hybridMultilevel"/>
    <w:lvl w:ilvl="0">
      <w:lvlJc w:val="left"/>
      <w:lvlText w:val="(%1)"/>
      <w:numFmt w:val="decimal"/>
      <w:start w:val="1"/>
    </w:lvl>
  </w:abstractNum>
  <w:abstractNum w:abstractNumId="117">
    <w:nsid w:val="7DFF9D09"/>
    <w:multiLevelType w:val="hybridMultilevel"/>
    <w:lvl w:ilvl="0">
      <w:lvlJc w:val="left"/>
      <w:lvlText w:val="u"/>
      <w:numFmt w:val="bullet"/>
      <w:start w:val="1"/>
    </w:lvl>
  </w:abstractNum>
  <w:abstractNum w:abstractNumId="118">
    <w:nsid w:val="754342"/>
    <w:multiLevelType w:val="hybridMultilevel"/>
    <w:lvl w:ilvl="0">
      <w:lvlJc w:val="left"/>
      <w:lvlText w:val="u"/>
      <w:numFmt w:val="bullet"/>
      <w:start w:val="1"/>
    </w:lvl>
  </w:abstractNum>
  <w:abstractNum w:abstractNumId="119">
    <w:nsid w:val="69E7F3E5"/>
    <w:multiLevelType w:val="hybridMultilevel"/>
    <w:lvl w:ilvl="0">
      <w:lvlJc w:val="left"/>
      <w:lvlText w:val="%1"/>
      <w:numFmt w:val="decimal"/>
      <w:start w:val="64"/>
    </w:lvl>
  </w:abstractNum>
  <w:abstractNum w:abstractNumId="120">
    <w:nsid w:val="2A6DE806"/>
    <w:multiLevelType w:val="hybridMultilevel"/>
    <w:lvl w:ilvl="0">
      <w:lvlJc w:val="left"/>
      <w:lvlText w:val="u"/>
      <w:numFmt w:val="bullet"/>
      <w:start w:val="1"/>
    </w:lvl>
  </w:abstractNum>
  <w:abstractNum w:abstractNumId="121">
    <w:nsid w:val="1816F8C4"/>
    <w:multiLevelType w:val="hybridMultilevel"/>
    <w:lvl w:ilvl="0">
      <w:lvlJc w:val="left"/>
      <w:lvlText w:val="u"/>
      <w:numFmt w:val="bullet"/>
      <w:start w:val="1"/>
    </w:lvl>
  </w:abstractNum>
  <w:abstractNum w:abstractNumId="122">
    <w:nsid w:val="37DF2233"/>
    <w:multiLevelType w:val="hybridMultilevel"/>
    <w:lvl w:ilvl="0">
      <w:lvlJc w:val="left"/>
      <w:lvlText w:val="u"/>
      <w:numFmt w:val="bullet"/>
      <w:start w:val="1"/>
    </w:lvl>
  </w:abstractNum>
  <w:abstractNum w:abstractNumId="123">
    <w:nsid w:val="7AB49DAF"/>
    <w:multiLevelType w:val="hybridMultilevel"/>
    <w:lvl w:ilvl="0">
      <w:lvlJc w:val="left"/>
      <w:lvlText w:val="u"/>
      <w:numFmt w:val="bullet"/>
      <w:start w:val="1"/>
    </w:lvl>
  </w:abstractNum>
  <w:abstractNum w:abstractNumId="124">
    <w:nsid w:val="759F82CD"/>
    <w:multiLevelType w:val="hybridMultilevel"/>
    <w:lvl w:ilvl="0">
      <w:lvlJc w:val="left"/>
      <w:lvlText w:val="u"/>
      <w:numFmt w:val="bullet"/>
      <w:start w:val="1"/>
    </w:lvl>
  </w:abstractNum>
  <w:abstractNum w:abstractNumId="125">
    <w:nsid w:val="61E74EA3"/>
    <w:multiLevelType w:val="hybridMultilevel"/>
    <w:lvl w:ilvl="0">
      <w:lvlJc w:val="left"/>
      <w:lvlText w:val="u"/>
      <w:numFmt w:val="bullet"/>
      <w:start w:val="1"/>
    </w:lvl>
  </w:abstractNum>
  <w:abstractNum w:abstractNumId="126">
    <w:nsid w:val="597B4D84"/>
    <w:multiLevelType w:val="hybridMultilevel"/>
    <w:lvl w:ilvl="0">
      <w:lvlJc w:val="left"/>
      <w:lvlText w:val="n"/>
      <w:numFmt w:val="bullet"/>
      <w:start w:val="1"/>
    </w:lvl>
  </w:abstractNum>
  <w:abstractNum w:abstractNumId="127">
    <w:nsid w:val="F819E7F"/>
    <w:multiLevelType w:val="hybridMultilevel"/>
    <w:lvl w:ilvl="0">
      <w:lvlJc w:val="left"/>
      <w:lvlText w:val="%1"/>
      <w:numFmt w:val="decimal"/>
      <w:start w:val="66"/>
    </w:lvl>
  </w:abstractNum>
  <w:abstractNum w:abstractNumId="128">
    <w:nsid w:val="57C7D42D"/>
    <w:multiLevelType w:val="hybridMultilevel"/>
    <w:lvl w:ilvl="0">
      <w:lvlJc w:val="left"/>
      <w:lvlText w:val="n"/>
      <w:numFmt w:val="bullet"/>
      <w:start w:val="1"/>
    </w:lvl>
  </w:abstractNum>
  <w:abstractNum w:abstractNumId="129">
    <w:nsid w:val="312167AD"/>
    <w:multiLevelType w:val="hybridMultilevel"/>
    <w:lvl w:ilvl="0">
      <w:lvlJc w:val="left"/>
      <w:lvlText w:val="u"/>
      <w:numFmt w:val="bullet"/>
      <w:start w:val="1"/>
    </w:lvl>
  </w:abstractNum>
  <w:abstractNum w:abstractNumId="130">
    <w:nsid w:val="631B64D4"/>
    <w:multiLevelType w:val="hybridMultilevel"/>
    <w:lvl w:ilvl="0">
      <w:lvlJc w:val="left"/>
      <w:lvlText w:val="n"/>
      <w:numFmt w:val="bullet"/>
      <w:start w:val="1"/>
    </w:lvl>
  </w:abstractNum>
  <w:abstractNum w:abstractNumId="131">
    <w:nsid w:val="78B5E776"/>
    <w:multiLevelType w:val="hybridMultilevel"/>
    <w:lvl w:ilvl="0">
      <w:lvlJc w:val="left"/>
      <w:lvlText w:val="u"/>
      <w:numFmt w:val="bullet"/>
      <w:start w:val="1"/>
    </w:lvl>
  </w:abstractNum>
  <w:abstractNum w:abstractNumId="132">
    <w:nsid w:val="75486E47"/>
    <w:multiLevelType w:val="hybridMultilevel"/>
    <w:lvl w:ilvl="0">
      <w:lvlJc w:val="left"/>
      <w:lvlText w:val="u"/>
      <w:numFmt w:val="bullet"/>
      <w:start w:val="1"/>
    </w:lvl>
  </w:abstractNum>
  <w:abstractNum w:abstractNumId="133">
    <w:nsid w:val="6E534CDE"/>
    <w:multiLevelType w:val="hybridMultilevel"/>
    <w:lvl w:ilvl="0">
      <w:lvlJc w:val="left"/>
      <w:lvlText w:val="(%1)"/>
      <w:numFmt w:val="decimal"/>
      <w:start w:val="1"/>
    </w:lvl>
  </w:abstractNum>
  <w:abstractNum w:abstractNumId="134">
    <w:nsid w:val="1A0DDE32"/>
    <w:multiLevelType w:val="hybridMultilevel"/>
    <w:lvl w:ilvl="0">
      <w:lvlJc w:val="left"/>
      <w:lvlText w:val="(%1)"/>
      <w:numFmt w:val="decimal"/>
      <w:start w:val="1"/>
    </w:lvl>
  </w:abstractNum>
  <w:abstractNum w:abstractNumId="135">
    <w:nsid w:val="65968C1C"/>
    <w:multiLevelType w:val="hybridMultilevel"/>
    <w:lvl w:ilvl="0">
      <w:lvlJc w:val="left"/>
      <w:lvlText w:val="%1"/>
      <w:numFmt w:val="decimal"/>
      <w:start w:val="68"/>
    </w:lvl>
  </w:abstractNum>
  <w:abstractNum w:abstractNumId="136">
    <w:nsid w:val="46263DEC"/>
    <w:multiLevelType w:val="hybridMultilevel"/>
    <w:lvl w:ilvl="0">
      <w:lvlJc w:val="left"/>
      <w:lvlText w:val="(%1)"/>
      <w:numFmt w:val="decimal"/>
      <w:start w:val="1"/>
    </w:lvl>
  </w:abstractNum>
  <w:abstractNum w:abstractNumId="137">
    <w:nsid w:val="260D8C4A"/>
    <w:multiLevelType w:val="hybridMultilevel"/>
    <w:lvl w:ilvl="0">
      <w:lvlJc w:val="left"/>
      <w:lvlText w:val="u"/>
      <w:numFmt w:val="bullet"/>
      <w:start w:val="1"/>
    </w:lvl>
  </w:abstractNum>
  <w:abstractNum w:abstractNumId="138">
    <w:nsid w:val="73D4D3C4"/>
    <w:multiLevelType w:val="hybridMultilevel"/>
    <w:lvl w:ilvl="0">
      <w:lvlJc w:val="left"/>
      <w:lvlText w:val="u"/>
      <w:numFmt w:val="bullet"/>
      <w:start w:val="1"/>
    </w:lvl>
  </w:abstractNum>
  <w:abstractNum w:abstractNumId="139">
    <w:nsid w:val="746F2E30"/>
    <w:multiLevelType w:val="hybridMultilevel"/>
    <w:lvl w:ilvl="0">
      <w:lvlJc w:val="left"/>
      <w:lvlText w:val="%1"/>
      <w:numFmt w:val="decimal"/>
      <w:start w:val="70"/>
    </w:lvl>
  </w:abstractNum>
  <w:abstractNum w:abstractNumId="140">
    <w:nsid w:val="6FDE8AF6"/>
    <w:multiLevelType w:val="hybridMultilevel"/>
    <w:lvl w:ilvl="0">
      <w:lvlJc w:val="left"/>
      <w:lvlText w:val="(%1)"/>
      <w:numFmt w:val="decimal"/>
      <w:start w:val="1"/>
    </w:lvl>
  </w:abstractNum>
  <w:abstractNum w:abstractNumId="141">
    <w:nsid w:val="3FC32E20"/>
    <w:multiLevelType w:val="hybridMultilevel"/>
    <w:lvl w:ilvl="0">
      <w:lvlJc w:val="left"/>
      <w:lvlText w:val="%1"/>
      <w:numFmt w:val="decimal"/>
      <w:start w:val="1"/>
    </w:lvl>
    <w:lvl w:ilvl="1">
      <w:lvlJc w:val="left"/>
      <w:lvlText w:val="(%2)"/>
      <w:numFmt w:val="lowerLetter"/>
      <w:start w:val="1"/>
    </w:lvl>
  </w:abstractNum>
  <w:abstractNum w:abstractNumId="142">
    <w:nsid w:val="49C0E823"/>
    <w:multiLevelType w:val="hybridMultilevel"/>
    <w:lvl w:ilvl="0">
      <w:lvlJc w:val="left"/>
      <w:lvlText w:val="(%1)"/>
      <w:numFmt w:val="decimal"/>
      <w:start w:val="4"/>
    </w:lvl>
    <w:lvl w:ilvl="1">
      <w:lvlJc w:val="left"/>
      <w:lvlText w:val="%2"/>
      <w:numFmt w:val="lowerLetter"/>
      <w:start w:val="1"/>
    </w:lvl>
  </w:abstractNum>
  <w:abstractNum w:abstractNumId="143">
    <w:nsid w:val="14D53685"/>
    <w:multiLevelType w:val="hybridMultilevel"/>
    <w:lvl w:ilvl="0">
      <w:lvlJc w:val="left"/>
      <w:lvlText w:val="%1"/>
      <w:numFmt w:val="decimal"/>
      <w:start w:val="72"/>
    </w:lvl>
  </w:abstractNum>
  <w:abstractNum w:abstractNumId="144">
    <w:nsid w:val="230F856C"/>
    <w:multiLevelType w:val="hybridMultilevel"/>
    <w:lvl w:ilvl="0">
      <w:lvlJc w:val="left"/>
      <w:lvlText w:val="%1"/>
      <w:numFmt w:val="decimal"/>
      <w:start w:val="74"/>
    </w:lvl>
  </w:abstractNum>
  <w:abstractNum w:abstractNumId="145">
    <w:nsid w:val="6EAA85FB"/>
    <w:multiLevelType w:val="hybridMultilevel"/>
    <w:lvl w:ilvl="0">
      <w:lvlJc w:val="left"/>
      <w:lvlText w:val="(%1)"/>
      <w:numFmt w:val="decimal"/>
      <w:start w:val="1"/>
    </w:lvl>
  </w:abstractNum>
  <w:abstractNum w:abstractNumId="146">
    <w:nsid w:val="3F06ECB2"/>
    <w:multiLevelType w:val="hybridMultilevel"/>
    <w:lvl w:ilvl="0">
      <w:lvlJc w:val="left"/>
      <w:lvlText w:val="%1"/>
      <w:numFmt w:val="decimal"/>
      <w:start w:val="76"/>
    </w:lvl>
  </w:abstractNum>
  <w:abstractNum w:abstractNumId="147">
    <w:nsid w:val="3B594807"/>
    <w:multiLevelType w:val="hybridMultilevel"/>
    <w:lvl w:ilvl="0">
      <w:lvlJc w:val="left"/>
      <w:lvlText w:val="u"/>
      <w:numFmt w:val="bullet"/>
      <w:start w:val="1"/>
    </w:lvl>
  </w:abstractNum>
  <w:abstractNum w:abstractNumId="148">
    <w:nsid w:val="6CAA2304"/>
    <w:multiLevelType w:val="hybridMultilevel"/>
    <w:lvl w:ilvl="0">
      <w:lvlJc w:val="left"/>
      <w:lvlText w:val="*"/>
      <w:numFmt w:val="bullet"/>
      <w:start w:val="1"/>
    </w:lvl>
  </w:abstractNum>
  <w:abstractNum w:abstractNumId="149">
    <w:nsid w:val="3F7C2FF4"/>
    <w:multiLevelType w:val="hybridMultilevel"/>
    <w:lvl w:ilvl="0">
      <w:lvlJc w:val="left"/>
      <w:lvlText w:val="%1"/>
      <w:numFmt w:val="decimal"/>
      <w:start w:val="78"/>
    </w:lvl>
  </w:abstractNum>
  <w:abstractNum w:abstractNumId="150">
    <w:nsid w:val="25413BEC"/>
    <w:multiLevelType w:val="hybridMultilevel"/>
    <w:lvl w:ilvl="0">
      <w:lvlJc w:val="left"/>
      <w:lvlText w:val="%1."/>
      <w:numFmt w:val="decimal"/>
      <w:start w:val="1"/>
    </w:lvl>
  </w:abstractNum>
  <w:abstractNum w:abstractNumId="151">
    <w:nsid w:val="17180B0B"/>
    <w:multiLevelType w:val="hybridMultilevel"/>
    <w:lvl w:ilvl="0">
      <w:lvlJc w:val="left"/>
      <w:lvlText w:val="%1"/>
      <w:numFmt w:val="decimal"/>
      <w:start w:val="80"/>
    </w:lvl>
  </w:abstractNum>
  <w:abstractNum w:abstractNumId="152">
    <w:nsid w:val="579328B9"/>
    <w:multiLevelType w:val="hybridMultilevel"/>
    <w:lvl w:ilvl="0">
      <w:lvlJc w:val="left"/>
      <w:lvlText w:val="(%1)"/>
      <w:numFmt w:val="decimal"/>
      <w:start w:val="1"/>
    </w:lvl>
  </w:abstractNum>
  <w:abstractNum w:abstractNumId="153">
    <w:nsid w:val="5D205E20"/>
    <w:multiLevelType w:val="hybridMultilevel"/>
    <w:lvl w:ilvl="0">
      <w:lvlJc w:val="left"/>
      <w:lvlText w:val="(%1)"/>
      <w:numFmt w:val="decimal"/>
      <w:start w:val="5"/>
    </w:lvl>
  </w:abstractNum>
  <w:abstractNum w:abstractNumId="154">
    <w:nsid w:val="11CCA8BA"/>
    <w:multiLevelType w:val="hybridMultilevel"/>
    <w:lvl w:ilvl="0">
      <w:lvlJc w:val="left"/>
      <w:lvlText w:val="%1"/>
      <w:numFmt w:val="decimal"/>
      <w:start w:val="82"/>
    </w:lvl>
  </w:abstractNum>
  <w:abstractNum w:abstractNumId="155">
    <w:nsid w:val="4D32AB86"/>
    <w:multiLevelType w:val="hybridMultilevel"/>
    <w:lvl w:ilvl="0">
      <w:lvlJc w:val="left"/>
      <w:lvlText w:val="u"/>
      <w:numFmt w:val="bullet"/>
      <w:start w:val="1"/>
    </w:lvl>
  </w:abstractNum>
  <w:abstractNum w:abstractNumId="156">
    <w:nsid w:val="3F07ACC3"/>
    <w:multiLevelType w:val="hybridMultilevel"/>
    <w:lvl w:ilvl="0">
      <w:lvlJc w:val="left"/>
      <w:lvlText w:val="u"/>
      <w:numFmt w:val="bullet"/>
      <w:start w:val="1"/>
    </w:lvl>
  </w:abstractNum>
  <w:abstractNum w:abstractNumId="157">
    <w:nsid w:val="6B47F63E"/>
    <w:multiLevelType w:val="hybridMultilevel"/>
    <w:lvl w:ilvl="0">
      <w:lvlJc w:val="left"/>
      <w:lvlText w:val="u"/>
      <w:numFmt w:val="bullet"/>
      <w:start w:val="1"/>
    </w:lvl>
  </w:abstractNum>
  <w:abstractNum w:abstractNumId="158">
    <w:nsid w:val="5CB44A05"/>
    <w:multiLevelType w:val="hybridMultilevel"/>
    <w:lvl w:ilvl="0">
      <w:lvlJc w:val="left"/>
      <w:lvlText w:val="u"/>
      <w:numFmt w:val="bullet"/>
      <w:start w:val="1"/>
    </w:lvl>
  </w:abstractNum>
  <w:abstractNum w:abstractNumId="159">
    <w:nsid w:val="16CF80F1"/>
    <w:multiLevelType w:val="hybridMultilevel"/>
    <w:lvl w:ilvl="0">
      <w:lvlJc w:val="left"/>
      <w:lvlText w:val="%1"/>
      <w:numFmt w:val="decimal"/>
      <w:start w:val="84"/>
    </w:lvl>
  </w:abstractNum>
  <w:abstractNum w:abstractNumId="160">
    <w:nsid w:val="1C695DEC"/>
    <w:multiLevelType w:val="hybridMultilevel"/>
    <w:lvl w:ilvl="0">
      <w:lvlJc w:val="left"/>
      <w:lvlText w:val="%1"/>
      <w:numFmt w:val="decimal"/>
      <w:start w:val="86"/>
    </w:lvl>
  </w:abstractNum>
  <w:abstractNum w:abstractNumId="161">
    <w:nsid w:val="3FCFAED9"/>
    <w:multiLevelType w:val="hybridMultilevel"/>
    <w:lvl w:ilvl="0">
      <w:lvlJc w:val="left"/>
      <w:lvlText w:val="%1"/>
      <w:numFmt w:val="decimal"/>
      <w:start w:val="88"/>
    </w:lvl>
  </w:abstractNum>
  <w:abstractNum w:abstractNumId="162">
    <w:nsid w:val="F85686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jpeg"/><Relationship Id="rId62" Type="http://schemas.openxmlformats.org/officeDocument/2006/relationships/image" Target="media/image55.jpeg"/><Relationship Id="rId63" Type="http://schemas.openxmlformats.org/officeDocument/2006/relationships/image" Target="media/image56.jpeg"/><Relationship Id="rId64" Type="http://schemas.openxmlformats.org/officeDocument/2006/relationships/image" Target="media/image57.jpeg"/><Relationship Id="rId65" Type="http://schemas.openxmlformats.org/officeDocument/2006/relationships/image" Target="media/image58.jpeg"/><Relationship Id="rId66" Type="http://schemas.openxmlformats.org/officeDocument/2006/relationships/image" Target="media/image59.jpeg"/><Relationship Id="rId67" Type="http://schemas.openxmlformats.org/officeDocument/2006/relationships/image" Target="media/image60.jpeg"/><Relationship Id="rId68" Type="http://schemas.openxmlformats.org/officeDocument/2006/relationships/image" Target="media/image61.jpeg"/><Relationship Id="rId69" Type="http://schemas.openxmlformats.org/officeDocument/2006/relationships/image" Target="media/image62.jpe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jpeg"/><Relationship Id="rId74" Type="http://schemas.openxmlformats.org/officeDocument/2006/relationships/image" Target="media/image67.jpeg"/><Relationship Id="rId75" Type="http://schemas.openxmlformats.org/officeDocument/2006/relationships/image" Target="media/image68.jpe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jpeg"/><Relationship Id="rId80" Type="http://schemas.openxmlformats.org/officeDocument/2006/relationships/image" Target="media/image73.jpeg"/><Relationship Id="rId81" Type="http://schemas.openxmlformats.org/officeDocument/2006/relationships/image" Target="media/image74.jpeg"/><Relationship Id="rId82" Type="http://schemas.openxmlformats.org/officeDocument/2006/relationships/image" Target="media/image75.jpe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jpeg"/><Relationship Id="rId87" Type="http://schemas.openxmlformats.org/officeDocument/2006/relationships/image" Target="media/image80.jpe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jpe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jpeg"/><Relationship Id="rId101" Type="http://schemas.openxmlformats.org/officeDocument/2006/relationships/image" Target="media/image94.png"/><Relationship Id="rId102" Type="http://schemas.openxmlformats.org/officeDocument/2006/relationships/image" Target="media/image95.jpeg"/><Relationship Id="rId103" Type="http://schemas.openxmlformats.org/officeDocument/2006/relationships/image" Target="media/image96.png"/><Relationship Id="rId104" Type="http://schemas.openxmlformats.org/officeDocument/2006/relationships/image" Target="media/image97.jpe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jpe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jpe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jpe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jpe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jpe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jpe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jpe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jpe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jpe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jpe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jpe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jpe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jpe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jpe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jpe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jpe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jpeg"/><Relationship Id="rId179" Type="http://schemas.openxmlformats.org/officeDocument/2006/relationships/image" Target="media/image172.png"/><Relationship Id="rId180" Type="http://schemas.openxmlformats.org/officeDocument/2006/relationships/image" Target="media/image173.jpeg"/><Relationship Id="rId181" Type="http://schemas.openxmlformats.org/officeDocument/2006/relationships/image" Target="media/image174.jpeg"/><Relationship Id="rId182" Type="http://schemas.openxmlformats.org/officeDocument/2006/relationships/image" Target="media/image175.jpe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jpe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jpe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jpe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jpe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jpe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jpe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jpeg"/><Relationship Id="rId213" Type="http://schemas.openxmlformats.org/officeDocument/2006/relationships/image" Target="media/image206.png"/><Relationship Id="rId214" Type="http://schemas.openxmlformats.org/officeDocument/2006/relationships/image" Target="media/image207.jpe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jpeg"/><Relationship Id="rId220" Type="http://schemas.openxmlformats.org/officeDocument/2006/relationships/image" Target="media/image213.png"/><Relationship Id="rId221" Type="http://schemas.openxmlformats.org/officeDocument/2006/relationships/image" Target="media/image214.jpeg"/><Relationship Id="rId222" Type="http://schemas.openxmlformats.org/officeDocument/2006/relationships/image" Target="media/image215.png"/><Relationship Id="rId223" Type="http://schemas.openxmlformats.org/officeDocument/2006/relationships/image" Target="media/image216.jpeg"/><Relationship Id="rId224" Type="http://schemas.openxmlformats.org/officeDocument/2006/relationships/image" Target="media/image217.png"/><Relationship Id="rId225" Type="http://schemas.openxmlformats.org/officeDocument/2006/relationships/image" Target="media/image218.jpeg"/><Relationship Id="rId226" Type="http://schemas.openxmlformats.org/officeDocument/2006/relationships/image" Target="media/image219.png"/><Relationship Id="rId227" Type="http://schemas.openxmlformats.org/officeDocument/2006/relationships/image" Target="media/image220.jpeg"/><Relationship Id="rId228" Type="http://schemas.openxmlformats.org/officeDocument/2006/relationships/image" Target="media/image221.png"/><Relationship Id="rId229" Type="http://schemas.openxmlformats.org/officeDocument/2006/relationships/image" Target="media/image222.jpe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jpe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jpe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jpe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jpe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jpe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jpe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jpeg"/><Relationship Id="rId262" Type="http://schemas.openxmlformats.org/officeDocument/2006/relationships/image" Target="media/image255.jpeg"/><Relationship Id="rId263" Type="http://schemas.openxmlformats.org/officeDocument/2006/relationships/image" Target="media/image256.jpeg"/><Relationship Id="rId264" Type="http://schemas.openxmlformats.org/officeDocument/2006/relationships/image" Target="media/image257.jpeg"/><Relationship Id="rId265" Type="http://schemas.openxmlformats.org/officeDocument/2006/relationships/image" Target="media/image258.jpe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jpeg"/><Relationship Id="rId270" Type="http://schemas.openxmlformats.org/officeDocument/2006/relationships/image" Target="media/image263.png"/><Relationship Id="rId271" Type="http://schemas.openxmlformats.org/officeDocument/2006/relationships/image" Target="media/image264.jpe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jpe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jpe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jpe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jpe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jpe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jpeg"/><Relationship Id="rId312" Type="http://schemas.openxmlformats.org/officeDocument/2006/relationships/image" Target="media/image305.jpe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jpeg"/><Relationship Id="rId316" Type="http://schemas.openxmlformats.org/officeDocument/2006/relationships/image" Target="media/image309.jpeg"/><Relationship Id="rId317" Type="http://schemas.openxmlformats.org/officeDocument/2006/relationships/image" Target="media/image310.jpeg"/><Relationship Id="rId318" Type="http://schemas.openxmlformats.org/officeDocument/2006/relationships/image" Target="media/image311.jpeg"/><Relationship Id="rId319" Type="http://schemas.openxmlformats.org/officeDocument/2006/relationships/image" Target="media/image312.jpeg"/><Relationship Id="rId320" Type="http://schemas.openxmlformats.org/officeDocument/2006/relationships/image" Target="media/image313.jpeg"/><Relationship Id="rId321" Type="http://schemas.openxmlformats.org/officeDocument/2006/relationships/image" Target="media/image314.jpe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jpe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jpe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jpe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jpe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jpeg"/><Relationship Id="rId339" Type="http://schemas.openxmlformats.org/officeDocument/2006/relationships/image" Target="media/image332.jpe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jpe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jpe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jpeg"/><Relationship Id="rId353" Type="http://schemas.openxmlformats.org/officeDocument/2006/relationships/image" Target="media/image346.png"/><Relationship Id="rId354" Type="http://schemas.openxmlformats.org/officeDocument/2006/relationships/image" Target="media/image347.jpe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jpeg"/><Relationship Id="rId358" Type="http://schemas.openxmlformats.org/officeDocument/2006/relationships/image" Target="media/image351.png"/><Relationship Id="rId359" Type="http://schemas.openxmlformats.org/officeDocument/2006/relationships/image" Target="media/image352.jpe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jpeg"/><Relationship Id="rId363" Type="http://schemas.openxmlformats.org/officeDocument/2006/relationships/image" Target="media/image356.png"/><Relationship Id="rId364" Type="http://schemas.openxmlformats.org/officeDocument/2006/relationships/image" Target="media/image357.jpe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jpe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jpe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jpe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jpe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jpe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jpe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jpe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jpe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jpeg"/><Relationship Id="rId394" Type="http://schemas.openxmlformats.org/officeDocument/2006/relationships/image" Target="media/image387.png"/><Relationship Id="rId395" Type="http://schemas.openxmlformats.org/officeDocument/2006/relationships/image" Target="media/image388.jpe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jpeg"/><Relationship Id="rId400" Type="http://schemas.openxmlformats.org/officeDocument/2006/relationships/image" Target="media/image393.png"/><Relationship Id="rId401" Type="http://schemas.openxmlformats.org/officeDocument/2006/relationships/image" Target="media/image394.jpe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jpeg"/><Relationship Id="rId405" Type="http://schemas.openxmlformats.org/officeDocument/2006/relationships/image" Target="media/image398.jpeg"/><Relationship Id="rId406" Type="http://schemas.openxmlformats.org/officeDocument/2006/relationships/image" Target="media/image399.jpeg"/><Relationship Id="rId407" Type="http://schemas.openxmlformats.org/officeDocument/2006/relationships/image" Target="media/image400.jpeg"/><Relationship Id="rId408" Type="http://schemas.openxmlformats.org/officeDocument/2006/relationships/image" Target="media/image401.jpe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jpeg"/><Relationship Id="rId412" Type="http://schemas.openxmlformats.org/officeDocument/2006/relationships/image" Target="media/image405.jpeg"/><Relationship Id="rId413" Type="http://schemas.openxmlformats.org/officeDocument/2006/relationships/image" Target="media/image406.jpeg"/><Relationship Id="rId414" Type="http://schemas.openxmlformats.org/officeDocument/2006/relationships/image" Target="media/image407.jpeg"/><Relationship Id="rId415" Type="http://schemas.openxmlformats.org/officeDocument/2006/relationships/image" Target="media/image408.jpeg"/><Relationship Id="rId416" Type="http://schemas.openxmlformats.org/officeDocument/2006/relationships/image" Target="media/image409.jpe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jpe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jpeg"/><Relationship Id="rId424" Type="http://schemas.openxmlformats.org/officeDocument/2006/relationships/image" Target="media/image417.png"/><Relationship Id="rId425" Type="http://schemas.openxmlformats.org/officeDocument/2006/relationships/image" Target="media/image418.jpe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jpe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jpeg"/><Relationship Id="rId442" Type="http://schemas.openxmlformats.org/officeDocument/2006/relationships/image" Target="media/image435.png"/><Relationship Id="rId443" Type="http://schemas.openxmlformats.org/officeDocument/2006/relationships/image" Target="media/image436.jpeg"/><Relationship Id="rId444" Type="http://schemas.openxmlformats.org/officeDocument/2006/relationships/image" Target="media/image437.png"/><Relationship Id="rId445" Type="http://schemas.openxmlformats.org/officeDocument/2006/relationships/image" Target="media/image438.jpeg"/><Relationship Id="rId446" Type="http://schemas.openxmlformats.org/officeDocument/2006/relationships/image" Target="media/image439.png"/><Relationship Id="rId447" Type="http://schemas.openxmlformats.org/officeDocument/2006/relationships/image" Target="media/image440.jpe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jpeg"/><Relationship Id="rId451" Type="http://schemas.openxmlformats.org/officeDocument/2006/relationships/image" Target="media/image444.png"/><Relationship Id="rId452" Type="http://schemas.openxmlformats.org/officeDocument/2006/relationships/image" Target="media/image445.jpe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jpeg"/><Relationship Id="rId456" Type="http://schemas.openxmlformats.org/officeDocument/2006/relationships/image" Target="media/image449.jpeg"/><Relationship Id="rId457" Type="http://schemas.openxmlformats.org/officeDocument/2006/relationships/image" Target="media/image450.jpeg"/><Relationship Id="rId458" Type="http://schemas.openxmlformats.org/officeDocument/2006/relationships/image" Target="media/image451.png"/><Relationship Id="rId459" Type="http://schemas.openxmlformats.org/officeDocument/2006/relationships/image" Target="media/image452.jpe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jpe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2026-03-20T15:55:49Z</dcterms:created>
  <dcterms:modified xsi:type="dcterms:W3CDTF">2026-03-20T15:55:49Z</dcterms:modified>
</cp:coreProperties>
</file>