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71120</wp:posOffset>
            </wp:positionV>
            <wp:extent cx="1962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44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140" w:type="dxa"/>
            <w:vAlign w:val="bottom"/>
          </w:tcPr>
          <w:p>
            <w:pPr>
              <w:jc w:val="center"/>
              <w:ind w:left="1084"/>
              <w:spacing w:after="0"/>
              <w:rPr>
                <w:sz w:val="20"/>
                <w:szCs w:val="20"/>
                <w:color w:val="auto"/>
              </w:rPr>
            </w:pPr>
            <w:r>
              <w:rPr>
                <w:rFonts w:ascii="Times New Roman" w:cs="Times New Roman" w:eastAsia="Times New Roman" w:hAnsi="Times New Roman"/>
                <w:sz w:val="18"/>
                <w:szCs w:val="18"/>
                <w:b w:val="1"/>
                <w:bCs w:val="1"/>
                <w:color w:val="auto"/>
                <w:w w:val="99"/>
              </w:rPr>
              <w:t>001-11625</w:t>
            </w:r>
          </w:p>
        </w:tc>
        <w:tc>
          <w:tcPr>
            <w:tcW w:w="3280" w:type="dxa"/>
            <w:vAlign w:val="bottom"/>
          </w:tcPr>
          <w:p>
            <w:pPr>
              <w:jc w:val="center"/>
              <w:ind w:left="2144"/>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149"/>
        </w:trPr>
        <w:tc>
          <w:tcPr>
            <w:tcW w:w="244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1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3280" w:type="dxa"/>
            <w:vAlign w:val="bottom"/>
          </w:tcPr>
          <w:p>
            <w:pPr>
              <w:jc w:val="center"/>
              <w:ind w:left="214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44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4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File No.)</w:t>
            </w:r>
          </w:p>
        </w:tc>
        <w:tc>
          <w:tcPr>
            <w:tcW w:w="3280" w:type="dxa"/>
            <w:vAlign w:val="bottom"/>
          </w:tcPr>
          <w:p>
            <w:pPr>
              <w:jc w:val="center"/>
              <w:ind w:left="212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41"/>
        </w:trPr>
        <w:tc>
          <w:tcPr>
            <w:tcW w:w="8860" w:type="dxa"/>
            <w:vAlign w:val="bottom"/>
            <w:gridSpan w:val="3"/>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Regal House, 70 London Road, Twickenham, London, TW13QS United Kingdom</w:t>
            </w:r>
          </w:p>
        </w:tc>
      </w:tr>
      <w:tr>
        <w:trPr>
          <w:trHeight w:val="188"/>
        </w:trPr>
        <w:tc>
          <w:tcPr>
            <w:tcW w:w="2440" w:type="dxa"/>
            <w:vAlign w:val="bottom"/>
          </w:tcPr>
          <w:p>
            <w:pPr>
              <w:spacing w:after="0"/>
              <w:rPr>
                <w:sz w:val="16"/>
                <w:szCs w:val="16"/>
                <w:color w:val="auto"/>
              </w:rPr>
            </w:pPr>
          </w:p>
        </w:tc>
        <w:tc>
          <w:tcPr>
            <w:tcW w:w="3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9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47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60" w:type="dxa"/>
            <w:vAlign w:val="bottom"/>
          </w:tcPr>
          <w:p>
            <w:pPr>
              <w:spacing w:after="0"/>
              <w:rPr>
                <w:sz w:val="19"/>
                <w:szCs w:val="19"/>
                <w:color w:val="auto"/>
              </w:rPr>
            </w:pPr>
          </w:p>
        </w:tc>
        <w:tc>
          <w:tcPr>
            <w:tcW w:w="4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42545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27, 2026, Pentair plc (the “Company”) issued a press release announcing its earnings for the third quarter of 2026 and a conference call in connection therewith. A copy of the release is attached hereto as Exhibit 99.1 and incorporated herein by reference.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refers to certain non-generally accepted accounting principles (“GAAP”) financial measures (core sales, adjusted operating income, adjusted return on sales, adjusted net income from continuing operations, adjusted diluted earnings per share from continuing operations and free cash flow) and a reconciliation of those non-GAAP financial measures to the corresponding financial measures contained in the Company’s financial statements prepared in accordance with GAAP.</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2026 adjusted operating income, adjusted return on sales, adjusted net income from continuing operations and adjusted diluted earnings per share from continuing operations (“EPS”) include equity income of unconsolidated subsidiaries and eliminate intangible amortization, costs of certain restructuring, transformation and other activities, deal-related costs and expenses, amortization of bridge financing fees and certain tax items. The 2025 adjusted operating income, adjusted return on sales, adjusted net income from continuing operations and adjusted diluted EPS include equity income of unconsolidated subsidiaries and eliminate intangible amortization, costs of certain restructuring, transformation and other activities, certain legal accrual adjustments and settlements, asset impairment and write-offs, loss on sale of business, deal-related costs and expenses, pension and other post-retirement mark-to-market loss and certain tax items.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term “core sales” to refer to GAAP net sales from continuing operations excluding (1) the impact of currency translation and (2) the impact of net sales from acquired businesses recorded prior to the first anniversary of the acquisition, excluding the excess over prior year net sales of the acquired business less the net sales attributable to discontinued or divested businesses/product lines not considered discontinued operations (“acquisition sales”). The portion of GAAP net sales attributable to currency translation is calculated as the difference between (a) the period-to-period change in net sales (excluding acquisition sales) and (b) the period-to-period change in net sales (excluding acquisition sales) after applying current period foreign exchange rates to the prior year period. We use the term “core sales growth” to refer to the measure of comparing current period core net sales with the corresponding period of the prior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utilizes these adjusted financial measures to assess the run-rate of its continuing operations against those of prior periods without the distortion of these factors. The Company believes that these non-GAAP financial measures will be useful to investors as well to assess the continuing strength of the Company’s underlying operations. In addition, adjusted EPS is used as a criterion to measure and pay long-term incentive compensation and adjusted operating income is used as a criterion to measure and pay annual incentive compensation. These non-GAAP measures may not be comparable to similarly titled measures reported by other companies.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free cash flow to assess its cash flow performance. The Company believes free cash flow is an important measure of liquidity because it provides the Company and its investors a measurement of cash generated from operations that is available to pay dividends, repurchase shares and repay debt. In addition, free cash flow is used as a criterion to measure and pay annual incentive compensation. The Company’s measure of free cash flow may not be comparable to similarly titled measures reported by other companies.</w:t>
      </w:r>
    </w:p>
    <w:p>
      <w:pPr>
        <w:spacing w:after="0" w:line="1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ind w:left="580" w:right="7420" w:hanging="329"/>
        <w:spacing w:after="0" w:line="375" w:lineRule="auto"/>
        <w:tabs>
          <w:tab w:leader="none" w:pos="5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Not applicable.</w:t>
      </w:r>
    </w:p>
    <w:p>
      <w:pPr>
        <w:spacing w:after="0" w:line="1" w:lineRule="exact"/>
        <w:rPr>
          <w:rFonts w:ascii="Times New Roman" w:cs="Times New Roman" w:eastAsia="Times New Roman" w:hAnsi="Times New Roman"/>
          <w:sz w:val="18"/>
          <w:szCs w:val="18"/>
          <w:color w:val="auto"/>
        </w:rPr>
      </w:pPr>
    </w:p>
    <w:p>
      <w:pPr>
        <w:ind w:left="580" w:right="8280" w:hanging="329"/>
        <w:spacing w:after="0" w:line="375" w:lineRule="auto"/>
        <w:tabs>
          <w:tab w:leader="none" w:pos="5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Not applicable.</w:t>
      </w:r>
    </w:p>
    <w:p>
      <w:pPr>
        <w:spacing w:after="0" w:line="1" w:lineRule="exact"/>
        <w:rPr>
          <w:rFonts w:ascii="Times New Roman" w:cs="Times New Roman" w:eastAsia="Times New Roman" w:hAnsi="Times New Roman"/>
          <w:sz w:val="18"/>
          <w:szCs w:val="18"/>
          <w:color w:val="auto"/>
        </w:rPr>
      </w:pPr>
    </w:p>
    <w:p>
      <w:pPr>
        <w:ind w:left="580" w:right="8600" w:hanging="329"/>
        <w:spacing w:after="0" w:line="397" w:lineRule="auto"/>
        <w:tabs>
          <w:tab w:leader="none" w:pos="57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Shell Company Transactions Not applicable.</w:t>
      </w:r>
    </w:p>
    <w:p>
      <w:pPr>
        <w:spacing w:after="0" w:line="1" w:lineRule="exact"/>
        <w:rPr>
          <w:rFonts w:ascii="Times New Roman" w:cs="Times New Roman" w:eastAsia="Times New Roman" w:hAnsi="Times New Roman"/>
          <w:sz w:val="17"/>
          <w:szCs w:val="17"/>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6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Pentair plc press release dated October 27, 2026 announcing earnings for the third quarter of 2026</w:t>
      </w:r>
    </w:p>
    <w:p>
      <w:pPr>
        <w:spacing w:after="0" w:line="23" w:lineRule="exact"/>
        <w:rPr>
          <w:sz w:val="20"/>
          <w:szCs w:val="20"/>
          <w:color w:val="auto"/>
        </w:rPr>
      </w:pPr>
    </w:p>
    <w:p>
      <w:pPr>
        <w:ind w:left="1480" w:hanging="709"/>
        <w:spacing w:after="0"/>
        <w:tabs>
          <w:tab w:leader="none" w:pos="1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October 27, 2026.</w:t>
      </w:r>
    </w:p>
    <w:p>
      <w:pPr>
        <w:spacing w:after="0" w:line="9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Interim Executive Vice President and Chief Financial Officer</w:t>
      </w:r>
    </w:p>
    <w:p>
      <w:pPr>
        <w:spacing w:after="0" w:line="28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Jennifer M.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Jennifer M. Hensley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p>
      <w:pPr>
        <w:sectPr>
          <w:pgSz w:w="11900" w:h="16838" w:orient="portrait"/>
          <w:cols w:equalWidth="0" w:num="1">
            <w:col w:w="11020"/>
          </w:cols>
          <w:pgMar w:left="320" w:top="88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96278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Release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Pentair Reports Third Quarter 2026 Results</w:t>
      </w:r>
    </w:p>
    <w:p>
      <w:pPr>
        <w:spacing w:after="0" w:line="16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$976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$196 million with ROS of 20.1 percent; 24.8 percent on an adjusted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was $0.91 and adjusted EPS was $1.18</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results include approximately $8 million of International Emergency Economic Powers Act (“IEEPA”) refunds during the quarter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updates its full year 2026 GAAP EPS guidance to approximately $3.76, and reaffirms its previous full year adjusted EPS midpoint of approximately $4.70</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Reconciliations of GAAP to Non-GAAP measures are in the attached financial tables.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LONDON, United Kingdom — October 27, 2026 — Pentair plc (NYSE: PNR), a leader in helping the world sustainably move, improve and enjoy water, life’s most essential resource, today announced third quarter 2026 sales of $976 million. Sales were down 4 percent compared to sales for the same period last year. Excluding currency translation, acquisitions and divestitures, core sales declined 5 percent in the third quarter. Third quarter 2026 earnings per diluted share from continuing operations (“EPS”) were $0.91 compared to $1.12 in the third quarter of 2025, a 19 percent decrease. On an adjusted basis, the Company reported third quarter 2026 EPS of $1.18 compared to $1.24 in the third quarter of 2025, reflecting a 5 percent decrease. Adjusted operating income, reportable segment income, adjusted net income, free cash flow and adjusted EPS are described in the attached schedules.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 L. Stauch, Pentair’s President and Chief Executive Officer commented, “We delivered solid third-quarter results across sales, income and EPS. Our teams executed well during the quarter and responded with focus and urgency following a challenging second quarter in our Pool segment. We continue to make progress across our key priorities, while maintaining our commitment to serving customers, driving productivity and managing the business with discipline. We are encouraged by our performance and believe the actions we are taking are strengthening Pentair and positioning us for significant growth in 2027. We remain focused on finishing the year strong, delivering on our commitments and creating long-term value for our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quarter 2026 operating income was $196 million, down 15 percent compared to operating income for the third quarter of 2025, and return on sales (“ROS”) was 20.1 percent, a decrease of 260 basis points when compared to the third quarter of 2025. On an adjusted basis, the Company had adjusted operating income of $242 million for the third quarter of 2026, down 8 percent compared to adjusted operating income for the third quarter of 2025, and ROS was 24.8 percent, a decrease of 90 basis points when compared to the third quarter of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Flow sales were up 4 percent compared to sales for the same period last year. Excluding currency translation, acquisitions and divestitures, core sales grew 1 percent in the third quarter. Reportable segment income of $69 million was up 15 percent compared to the third quarter of 2025, and ROS was 26.2 percent, an increase of 250 basis points when compared to the third quarter of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 Solutions sales were up 1 percent compared to sales for the same period last year. Excluding currency translation, acquisitions and divestitures, core sales grew 1 percent in the third quarter. Reportable segment income of $121 million was up 16 percent compared to the third quarter of 2025, and ROS was 28.7 percent, an increase of 370 basis points when compared to the third quarter of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Pool sales were down 18 percent compared to sales for the same period last year. Excluding currency translation, acquisitions and divestitures, core sales declined 18 percent in the third quarter. Reportable segment income of $72 million was down 38 percent compared to the third quarter of 2025, and ROS was 24.6 percent, a decrease of 820 basis points when compared to the third quarter of 2025. Third quarter Pool performance reflected the completion of the inventory realignment with our major channel partners.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$169 million for the quarter compared to $196 million in the third quarter of 2025. Free cash flow for the quarter was $153 million compared to $179 million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RETURNS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Pentair paid a regular cash dividend of $0.27 per share in the third quarter of 2026. In addition, Pentair previously announced on September 21, 2026 that it will pay a regular quarterly cash dividend of $0.27 per share on November 6, 2026 to shareholders of record at the close of business on October 23, 2026. This year marks the 50th consecutive year that Pentair has increased its dividend.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Stauch concluded, “Our solid third-quarter performance increases our confidence in the full-year outlook and enables us to reaffirm the midpoint of our previous guidance range. We remain focused on disciplined execution and building on this momentum as we deliver a strong finish to the year and position ourselves for robust growth in 2027.”</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updates its estimated 2026 GAAP EPS from continuing operations to approximately $3.76, and reaffirms the midpoint of its previous guide and expects full year adjusted EPS of approximately $4.70. The Company also updates guidance of its estimated full year 2026 sales to be down approximately 3 percent on a reported basis. The Company’s full year 2026 guidance includes the right-sizing of channel inventory in preparation for the 2027 pool season and the acquisition of Taco Group Holdings (“Taco”).</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introduces estimated fourth quarter 2026 GAAP EPS from continuing operations guidance of approximately $1.07 and adjusted EPS of approximately $1.15. The Company expects fourth quarter sales to be up approximately 7 percent to 9 percent on a reported basis compared to the fourth quarter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Pentair President and Chief Executive Officer John L. Stauch, outgoing Interim Executive Vice President and Chief Financial Officer Robert P. Fishman and incoming Executive Vice President and Chief Financial Officer Robert W. Hau will discuss the Company’s third quarter 2026 results on a conference call with investors at 9:00 a.m. Eastern today. A live audio webcast of the call, along with the related presentation, can be accessed in the Investor Relations section of the Company’s website,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 shortly before the call begins.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are set forth in the attachments to this release and in the presentations, each of which can be found on Pentair’s website. The webcast and presentations will be archived at the Company’s website following the conclusion of the event.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2026, we reorganized the composition of our Flow and Water Solutions reportable segments to reflect how we are managing our business. As a result of this reorganization, our legacy residential and irrigation flow business moved from our Flow segment into our Water Solutions segment. The Pool segment remains unchanged. The applicable prior period amounts related to this change have been retrospectively reclassified to conform to the new composition. These changes have no impact on the Company’s historical consolidated financial performance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including the Taco acquisition; risks associated with operating foreign businesses; the impact of seasonality of sales and weather conditions; our ability to comply with laws and regulations; the impact of changes in laws, regulations and administrative policy, including those that limit U.S. or foreign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our Annual Report on Form 10-K for the year ended December 31, 2025 and our Quarterly Report on Form 10-Q for the quarter ended June 30, 2026. All forward-looking statements, including all financial forecasts, speak only as of the date of this release. Pentair assumes no obligation, and disclaims any obligation, to update the information contained in this release.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PENTAIR PLC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Pentair, we help the world sustainably move, improve and enjoy water, life’s most essential resource. From our residential and commercial water solutions, to industrial water management and everything in between, Pentair is a core large cap value S&amp;P 500 equity stock focused on smart, sustainable water solutions that help our planet and people thrive.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Pentair had revenue in 2025 of approximately $4.2 billion, and trades under the ticker symbol PNR. With approximately 9,000 global employees serving customers in more than 150 countries, we work to help improve lives and the environment around the world. To learn more, visit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PENTAIR CONTACTS</w:t>
            </w:r>
          </w:p>
        </w:tc>
        <w:tc>
          <w:tcPr>
            <w:tcW w:w="36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 Thompson</w:t>
            </w:r>
          </w:p>
        </w:tc>
        <w:tc>
          <w:tcPr>
            <w:tcW w:w="570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Rebecca Osborn</w:t>
            </w: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tc>
        <w:tc>
          <w:tcPr>
            <w:tcW w:w="570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Vice President, Communications</w:t>
            </w: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763-656-5575</w:t>
            </w:r>
          </w:p>
        </w:tc>
        <w:tc>
          <w:tcPr>
            <w:tcW w:w="570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Direct: 763-656-5589</w:t>
            </w:r>
          </w:p>
        </w:tc>
      </w:tr>
      <w:tr>
        <w:trPr>
          <w:trHeight w:val="194"/>
        </w:trPr>
        <w:tc>
          <w:tcPr>
            <w:tcW w:w="25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Email: jeff.thompson@pentair.com</w:t>
            </w:r>
          </w:p>
        </w:tc>
        <w:tc>
          <w:tcPr>
            <w:tcW w:w="5700" w:type="dxa"/>
            <w:vAlign w:val="bottom"/>
            <w:gridSpan w:val="2"/>
          </w:tcPr>
          <w:p>
            <w:pPr>
              <w:ind w:left="3080"/>
              <w:spacing w:after="0" w:line="194" w:lineRule="exact"/>
              <w:rPr>
                <w:sz w:val="20"/>
                <w:szCs w:val="20"/>
                <w:color w:val="auto"/>
              </w:rPr>
            </w:pPr>
            <w:r>
              <w:rPr>
                <w:rFonts w:ascii="Times New Roman" w:cs="Times New Roman" w:eastAsia="Times New Roman" w:hAnsi="Times New Roman"/>
                <w:sz w:val="18"/>
                <w:szCs w:val="18"/>
                <w:color w:val="auto"/>
                <w:w w:val="98"/>
              </w:rPr>
              <w:t>Email: rebecca.osborn@pentair.com</w:t>
            </w:r>
          </w:p>
        </w:tc>
      </w:tr>
      <w:tr>
        <w:trPr>
          <w:trHeight w:val="871"/>
        </w:trPr>
        <w:tc>
          <w:tcPr>
            <w:tcW w:w="56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60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(more)</w:t>
            </w:r>
          </w:p>
        </w:tc>
        <w:tc>
          <w:tcPr>
            <w:tcW w:w="21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86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per-share data</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976.4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3,155.5</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581.2</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603.4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1,877.0</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395.2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1,223.6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1,278.5</w:t>
            </w:r>
          </w:p>
        </w:tc>
        <w:tc>
          <w:tcPr>
            <w:tcW w:w="0" w:type="dxa"/>
            <w:vAlign w:val="bottom"/>
          </w:tcPr>
          <w:p>
            <w:pPr>
              <w:spacing w:after="0"/>
              <w:rPr>
                <w:sz w:val="1"/>
                <w:szCs w:val="1"/>
                <w:color w:val="auto"/>
              </w:rPr>
            </w:pPr>
          </w:p>
        </w:tc>
      </w:tr>
      <w:tr>
        <w:trPr>
          <w:trHeight w:val="214"/>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40.5 %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41.5 %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40.5 %</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175.9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579.6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552.6</w:t>
            </w:r>
          </w:p>
        </w:tc>
        <w:tc>
          <w:tcPr>
            <w:tcW w:w="0" w:type="dxa"/>
            <w:vAlign w:val="bottom"/>
          </w:tcPr>
          <w:p>
            <w:pPr>
              <w:spacing w:after="0"/>
              <w:rPr>
                <w:sz w:val="1"/>
                <w:szCs w:val="1"/>
                <w:color w:val="auto"/>
              </w:rPr>
            </w:pPr>
          </w:p>
        </w:tc>
      </w:tr>
      <w:tr>
        <w:trPr>
          <w:trHeight w:val="214"/>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18.0 %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19.7 %</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17.5 %</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572.4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652.5</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20.1 %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22.7 %</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19.4 %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20.7 %</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61.2</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1.4 %</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0" w:type="dxa"/>
            <w:vAlign w:val="bottom"/>
          </w:tcPr>
          <w:p>
            <w:pPr>
              <w:spacing w:after="0"/>
              <w:rPr>
                <w:sz w:val="1"/>
                <w:szCs w:val="1"/>
                <w:color w:val="auto"/>
              </w:rPr>
            </w:pPr>
          </w:p>
        </w:tc>
      </w:tr>
      <w:tr>
        <w:trPr>
          <w:trHeight w:val="208"/>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173.3</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509.6</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572.1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84.4</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16.3 %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15.0 %</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14.7 %</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14.8 %</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487.7</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ordinary share</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Basic</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Basic earnings per ordinary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Diluted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Diluted earnings per ordinary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ordinary shares outstanding</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159.6</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161.0</w:t>
            </w:r>
          </w:p>
        </w:tc>
        <w:tc>
          <w:tcPr>
            <w:tcW w:w="18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160.3</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161.8</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dividends paid per ordinary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88"/>
              </w:rPr>
              <w:t>5</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shd w:val="clear" w:color="auto" w:fill="CCEEFF"/>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20"/>
          </w:cols>
          <w:pgMar w:left="320" w:top="12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580" w:type="dxa"/>
            <w:vAlign w:val="bottom"/>
          </w:tcPr>
          <w:p>
            <w:pPr>
              <w:jc w:val="center"/>
              <w:ind w:left="345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758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40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4"/>
                <w:szCs w:val="14"/>
                <w:color w:val="auto"/>
              </w:rPr>
            </w:pPr>
          </w:p>
        </w:tc>
        <w:tc>
          <w:tcPr>
            <w:tcW w:w="15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4"/>
                <w:szCs w:val="14"/>
                <w:color w:val="auto"/>
              </w:rPr>
            </w:pPr>
          </w:p>
        </w:tc>
        <w:tc>
          <w:tcPr>
            <w:tcW w:w="15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Adjustments to reconcile net income from continuing operations to net cash provided by (used for)</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bridge financing fees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repayments of short-term borrowings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(repayments) borrowings of revolving long-term debt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20"/>
          </w:cols>
          <w:pgMar w:left="380" w:top="121"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88"/>
              </w:rPr>
              <w:t>7</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140" w:type="dxa"/>
            <w:vAlign w:val="bottom"/>
          </w:tcPr>
          <w:p>
            <w:pPr>
              <w:spacing w:after="0"/>
              <w:rPr>
                <w:sz w:val="24"/>
                <w:szCs w:val="24"/>
                <w:color w:val="auto"/>
              </w:rPr>
            </w:pPr>
          </w:p>
        </w:tc>
        <w:tc>
          <w:tcPr>
            <w:tcW w:w="26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760" w:type="dxa"/>
            <w:vAlign w:val="bottom"/>
            <w:gridSpan w:val="8"/>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Reconciliation of the GAAP Operating Activities Cash Flow to the Non-GAAP Free Cash Flow (Unaudited)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1"/>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4"/>
                <w:szCs w:val="14"/>
                <w:color w:val="auto"/>
              </w:rPr>
            </w:pPr>
          </w:p>
        </w:tc>
        <w:tc>
          <w:tcPr>
            <w:tcW w:w="132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4"/>
                <w:szCs w:val="14"/>
                <w:color w:val="auto"/>
              </w:rPr>
            </w:pPr>
          </w:p>
        </w:tc>
        <w:tc>
          <w:tcPr>
            <w:tcW w:w="1320" w:type="dxa"/>
            <w:vAlign w:val="bottom"/>
          </w:tcPr>
          <w:p>
            <w:pPr>
              <w:jc w:val="center"/>
              <w:ind w:right="9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4"/>
                <w:szCs w:val="14"/>
                <w:color w:val="auto"/>
              </w:rPr>
            </w:pPr>
          </w:p>
        </w:tc>
        <w:tc>
          <w:tcPr>
            <w:tcW w:w="134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7"/>
                <w:szCs w:val="17"/>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32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4"/>
                <w:szCs w:val="14"/>
                <w:color w:val="auto"/>
              </w:rPr>
            </w:pPr>
          </w:p>
        </w:tc>
        <w:tc>
          <w:tcPr>
            <w:tcW w:w="132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4"/>
                <w:szCs w:val="14"/>
                <w:color w:val="auto"/>
              </w:rPr>
            </w:pPr>
          </w:p>
        </w:tc>
        <w:tc>
          <w:tcPr>
            <w:tcW w:w="1320" w:type="dxa"/>
            <w:vAlign w:val="bottom"/>
          </w:tcPr>
          <w:p>
            <w:pPr>
              <w:jc w:val="center"/>
              <w:ind w:right="9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4"/>
                <w:szCs w:val="14"/>
                <w:color w:val="auto"/>
              </w:rPr>
            </w:pPr>
          </w:p>
        </w:tc>
        <w:tc>
          <w:tcPr>
            <w:tcW w:w="134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8</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40" w:type="dxa"/>
            <w:vAlign w:val="bottom"/>
            <w:gridSpan w:val="1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Supplemental Financial Information by Reportable Segment (Unaudited)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4"/>
                <w:szCs w:val="14"/>
                <w:color w:val="auto"/>
              </w:rPr>
            </w:pPr>
          </w:p>
        </w:tc>
        <w:tc>
          <w:tcPr>
            <w:tcW w:w="92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160" w:type="dxa"/>
            <w:vAlign w:val="bottom"/>
          </w:tcPr>
          <w:p>
            <w:pPr>
              <w:spacing w:after="0"/>
              <w:rPr>
                <w:sz w:val="14"/>
                <w:szCs w:val="14"/>
                <w:color w:val="auto"/>
              </w:rPr>
            </w:pPr>
          </w:p>
        </w:tc>
        <w:tc>
          <w:tcPr>
            <w:tcW w:w="9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Second</w:t>
            </w:r>
          </w:p>
        </w:tc>
        <w:tc>
          <w:tcPr>
            <w:tcW w:w="180" w:type="dxa"/>
            <w:vAlign w:val="bottom"/>
          </w:tcPr>
          <w:p>
            <w:pPr>
              <w:spacing w:after="0"/>
              <w:rPr>
                <w:sz w:val="14"/>
                <w:szCs w:val="14"/>
                <w:color w:val="auto"/>
              </w:rPr>
            </w:pPr>
          </w:p>
        </w:tc>
        <w:tc>
          <w:tcPr>
            <w:tcW w:w="8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Third</w:t>
            </w:r>
          </w:p>
        </w:tc>
        <w:tc>
          <w:tcPr>
            <w:tcW w:w="180" w:type="dxa"/>
            <w:vAlign w:val="bottom"/>
          </w:tcPr>
          <w:p>
            <w:pPr>
              <w:spacing w:after="0"/>
              <w:rPr>
                <w:sz w:val="14"/>
                <w:szCs w:val="14"/>
                <w:color w:val="auto"/>
              </w:rPr>
            </w:pPr>
          </w:p>
        </w:tc>
        <w:tc>
          <w:tcPr>
            <w:tcW w:w="88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Nine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160" w:type="dxa"/>
            <w:vAlign w:val="bottom"/>
          </w:tcPr>
          <w:p>
            <w:pPr>
              <w:spacing w:after="0"/>
              <w:rPr>
                <w:sz w:val="14"/>
                <w:szCs w:val="14"/>
                <w:color w:val="auto"/>
              </w:rPr>
            </w:pPr>
          </w:p>
        </w:tc>
        <w:tc>
          <w:tcPr>
            <w:tcW w:w="9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Second</w:t>
            </w:r>
          </w:p>
        </w:tc>
        <w:tc>
          <w:tcPr>
            <w:tcW w:w="180" w:type="dxa"/>
            <w:vAlign w:val="bottom"/>
          </w:tcPr>
          <w:p>
            <w:pPr>
              <w:spacing w:after="0"/>
              <w:rPr>
                <w:sz w:val="14"/>
                <w:szCs w:val="14"/>
                <w:color w:val="auto"/>
              </w:rPr>
            </w:pPr>
          </w:p>
        </w:tc>
        <w:tc>
          <w:tcPr>
            <w:tcW w:w="8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Third</w:t>
            </w:r>
          </w:p>
        </w:tc>
        <w:tc>
          <w:tcPr>
            <w:tcW w:w="180" w:type="dxa"/>
            <w:vAlign w:val="bottom"/>
          </w:tcPr>
          <w:p>
            <w:pPr>
              <w:spacing w:after="0"/>
              <w:rPr>
                <w:sz w:val="14"/>
                <w:szCs w:val="14"/>
                <w:color w:val="auto"/>
              </w:rPr>
            </w:pPr>
          </w:p>
        </w:tc>
        <w:tc>
          <w:tcPr>
            <w:tcW w:w="8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Nine</w:t>
            </w:r>
          </w:p>
        </w:tc>
        <w:tc>
          <w:tcPr>
            <w:tcW w:w="0" w:type="dxa"/>
            <w:vAlign w:val="bottom"/>
          </w:tcPr>
          <w:p>
            <w:pPr>
              <w:spacing w:after="0"/>
              <w:rPr>
                <w:sz w:val="1"/>
                <w:szCs w:val="1"/>
                <w:color w:val="auto"/>
              </w:rPr>
            </w:pPr>
          </w:p>
        </w:tc>
      </w:tr>
      <w:tr>
        <w:trPr>
          <w:trHeight w:val="243"/>
        </w:trPr>
        <w:tc>
          <w:tcPr>
            <w:tcW w:w="26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422.0</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421.9</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444.7</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415.9</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291.5</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925.2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383.9</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427.2</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354.3</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1,165.4</w:t>
            </w: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1,036.2</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932.3</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975.9</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2,944.4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1,010.0</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1,122.8</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1,021.6</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3,154.4</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2,945.7</w:t>
            </w: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3,155.5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Reportable segment income (loss)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257.4</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1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289.2</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253.8</w:t>
            </w:r>
          </w:p>
        </w:tc>
        <w:tc>
          <w:tcPr>
            <w:tcW w:w="1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261.4</w:t>
            </w:r>
          </w:p>
        </w:tc>
        <w:tc>
          <w:tcPr>
            <w:tcW w:w="1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270.3</w:t>
            </w:r>
          </w:p>
        </w:tc>
        <w:tc>
          <w:tcPr>
            <w:tcW w:w="1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279.9</w:t>
            </w:r>
          </w:p>
        </w:tc>
        <w:tc>
          <w:tcPr>
            <w:tcW w:w="1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866.2</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737.7</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801.8</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sales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sales</w:t>
            </w: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80" w:type="dxa"/>
            <w:vAlign w:val="bottom"/>
            <w:gridSpan w:val="11"/>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Ending December 31, 2026</w:t>
            </w: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520" w:type="dxa"/>
            <w:vAlign w:val="bottom"/>
            <w:gridSpan w:val="9"/>
          </w:tcPr>
          <w:p>
            <w:pPr>
              <w:jc w:val="center"/>
              <w:ind w:left="3632"/>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Forecast</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140" w:type="dxa"/>
            <w:vAlign w:val="bottom"/>
          </w:tcPr>
          <w:p>
            <w:pPr>
              <w:spacing w:after="0"/>
              <w:rPr>
                <w:sz w:val="14"/>
                <w:szCs w:val="14"/>
                <w:color w:val="auto"/>
              </w:rPr>
            </w:pPr>
          </w:p>
        </w:tc>
        <w:tc>
          <w:tcPr>
            <w:tcW w:w="880" w:type="dxa"/>
            <w:vAlign w:val="bottom"/>
          </w:tcPr>
          <w:p>
            <w:pPr>
              <w:jc w:val="right"/>
              <w:ind w:right="232"/>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140" w:type="dxa"/>
            <w:vAlign w:val="bottom"/>
          </w:tcPr>
          <w:p>
            <w:pPr>
              <w:spacing w:after="0"/>
              <w:rPr>
                <w:sz w:val="14"/>
                <w:szCs w:val="14"/>
                <w:color w:val="auto"/>
              </w:rPr>
            </w:pPr>
          </w:p>
        </w:tc>
        <w:tc>
          <w:tcPr>
            <w:tcW w:w="860" w:type="dxa"/>
            <w:vAlign w:val="bottom"/>
          </w:tcPr>
          <w:p>
            <w:pPr>
              <w:jc w:val="center"/>
              <w:ind w:right="72"/>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Second</w:t>
            </w:r>
          </w:p>
        </w:tc>
        <w:tc>
          <w:tcPr>
            <w:tcW w:w="140" w:type="dxa"/>
            <w:vAlign w:val="bottom"/>
          </w:tcPr>
          <w:p>
            <w:pPr>
              <w:spacing w:after="0"/>
              <w:rPr>
                <w:sz w:val="14"/>
                <w:szCs w:val="14"/>
                <w:color w:val="auto"/>
              </w:rPr>
            </w:pPr>
          </w:p>
        </w:tc>
        <w:tc>
          <w:tcPr>
            <w:tcW w:w="860" w:type="dxa"/>
            <w:vAlign w:val="bottom"/>
          </w:tcPr>
          <w:p>
            <w:pPr>
              <w:jc w:val="center"/>
              <w:ind w:right="52"/>
              <w:spacing w:after="0" w:line="169" w:lineRule="exact"/>
              <w:rPr>
                <w:sz w:val="20"/>
                <w:szCs w:val="20"/>
                <w:color w:val="auto"/>
              </w:rPr>
            </w:pPr>
            <w:r>
              <w:rPr>
                <w:rFonts w:ascii="Times New Roman" w:cs="Times New Roman" w:eastAsia="Times New Roman" w:hAnsi="Times New Roman"/>
                <w:sz w:val="18"/>
                <w:szCs w:val="18"/>
                <w:b w:val="1"/>
                <w:bCs w:val="1"/>
                <w:color w:val="auto"/>
                <w:w w:val="97"/>
              </w:rPr>
              <w:t>Third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center"/>
              <w:ind w:right="2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Fourth</w:t>
            </w:r>
          </w:p>
        </w:tc>
        <w:tc>
          <w:tcPr>
            <w:tcW w:w="1000" w:type="dxa"/>
            <w:vAlign w:val="bottom"/>
          </w:tcPr>
          <w:p>
            <w:pPr>
              <w:ind w:left="640"/>
              <w:spacing w:after="0" w:line="169" w:lineRule="exact"/>
              <w:rPr>
                <w:sz w:val="20"/>
                <w:szCs w:val="20"/>
                <w:color w:val="auto"/>
              </w:rPr>
            </w:pPr>
            <w:r>
              <w:rPr>
                <w:rFonts w:ascii="Times New Roman" w:cs="Times New Roman" w:eastAsia="Times New Roman" w:hAnsi="Times New Roman"/>
                <w:sz w:val="18"/>
                <w:szCs w:val="18"/>
                <w:b w:val="1"/>
                <w:bCs w:val="1"/>
                <w:color w:val="auto"/>
              </w:rPr>
              <w:t>Full</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9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1,036.7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932.6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Up 7% - 9%</w:t>
            </w:r>
          </w:p>
        </w:tc>
        <w:tc>
          <w:tcPr>
            <w:tcW w:w="1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Down 3%</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Up 16%</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Down 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20.3 %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17.9 %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 $</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4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Intangible amortization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259.1</w:t>
            </w: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236.6</w:t>
            </w:r>
          </w:p>
        </w:tc>
        <w:tc>
          <w:tcPr>
            <w:tcW w:w="1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Up 1%</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Down 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25.0 %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25.4 %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128.6</w:t>
            </w:r>
          </w:p>
        </w:tc>
        <w:tc>
          <w:tcPr>
            <w:tcW w:w="1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 $</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bridge financing fees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approx $</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approx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 $</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approx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10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approx</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approx $</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approx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hanging="252"/>
        <w:spacing w:after="0" w:line="229" w:lineRule="auto"/>
        <w:tabs>
          <w:tab w:leader="none" w:pos="219"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Forecasted intangible amortization does not include the impact of the Taco acquisition on October 1, 2026 as the initial accounting and preliminary purchase price allocation for the acquisition is incomplete.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460" w:type="dxa"/>
            <w:vAlign w:val="bottom"/>
          </w:tcPr>
          <w:p>
            <w:pPr>
              <w:spacing w:after="0"/>
              <w:rPr>
                <w:sz w:val="24"/>
                <w:szCs w:val="24"/>
                <w:color w:val="auto"/>
              </w:rPr>
            </w:pPr>
          </w:p>
        </w:tc>
        <w:tc>
          <w:tcPr>
            <w:tcW w:w="3140" w:type="dxa"/>
            <w:vAlign w:val="bottom"/>
            <w:gridSpan w:val="4"/>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20" w:type="dxa"/>
            <w:vAlign w:val="bottom"/>
            <w:gridSpan w:val="9"/>
          </w:tcPr>
          <w:p>
            <w:pPr>
              <w:jc w:val="center"/>
              <w:ind w:left="1151"/>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Ended December 31, 2025</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00" w:type="dxa"/>
            <w:vAlign w:val="bottom"/>
            <w:gridSpan w:val="5"/>
          </w:tcPr>
          <w:p>
            <w:pPr>
              <w:jc w:val="center"/>
              <w:ind w:left="3551"/>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90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0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80" w:type="dxa"/>
            <w:vAlign w:val="bottom"/>
          </w:tcPr>
          <w:p>
            <w:pPr>
              <w:spacing w:after="0"/>
              <w:rPr>
                <w:sz w:val="24"/>
                <w:szCs w:val="24"/>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1,010.4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1,022.0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1,020.5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4,176.0</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231.7</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205.0</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19.4 %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22.7 %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20.5 %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Deal-related costs and expenses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9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242.5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296.7</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251.7</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24.0 %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26.4 %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25.7 %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24.7 %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25.2 %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184.3</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161.8</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other post retirement mark-to-market loss</w:t>
            </w:r>
          </w:p>
        </w:tc>
        <w:tc>
          <w:tcPr>
            <w:tcW w:w="9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9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184.2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194.7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814.7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Sales Growth to Core Net Sales Growth by Reportable Segment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 (Unaudited)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6"/>
                <w:szCs w:val="16"/>
                <w:b w:val="1"/>
                <w:bCs w:val="1"/>
                <w:color w:val="auto"/>
              </w:rPr>
              <w:t>Q3 Net Sales Growth</w:t>
            </w: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26"/>
        </w:trPr>
        <w:tc>
          <w:tcPr>
            <w:tcW w:w="4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Core</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Acq. / Div.</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9"/>
                <w:szCs w:val="19"/>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Pentair</w:t>
            </w:r>
          </w:p>
        </w:tc>
        <w:tc>
          <w:tcPr>
            <w:tcW w:w="1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(5.5)%</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Flow</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 %</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Solutions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Pool</w:t>
            </w:r>
          </w:p>
        </w:tc>
        <w:tc>
          <w:tcPr>
            <w:tcW w:w="1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(17.8)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2026-10-27T07:03:35Z</dcterms:created>
  <dcterms:modified xsi:type="dcterms:W3CDTF">2026-10-27T07:03:35Z</dcterms:modified>
</cp:coreProperties>
</file>