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Pinkham Louis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5500 WAYZATA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GOLDEN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PENTAIR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58"/>
        <w:gridCol w:w="902"/>
        <w:gridCol w:w="771"/>
        <w:gridCol w:w="599"/>
        <w:gridCol w:w="350"/>
        <w:gridCol w:w="850"/>
        <w:gridCol w:w="459"/>
        <w:gridCol w:w="621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5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5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- Restricted Stock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pursuant to and subject to a vesting condition of the Pentair plc 2020 Share and Incentive Plan. Each restricted stock unit represents a right to receive one Pentair plc share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Wilson, Attorney-in-Fact for Louis V. Pinkham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0596" TargetMode="External"/><Relationship Id="rId5" Type="http://schemas.openxmlformats.org/officeDocument/2006/relationships/hyperlink" Target="http://www.sec.gov/cgi-bin/browse-edgar?action=getcompany&amp;CIK=00000773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3293</Characters>
  <CharactersWithSpaces>3834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